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66531" w14:textId="77777777" w:rsidR="00877BA5" w:rsidRDefault="00877BA5" w:rsidP="00676FA2">
      <w:pPr>
        <w:spacing w:after="240" w:line="240" w:lineRule="auto"/>
        <w:rPr>
          <w:rFonts w:eastAsia="Times New Roman" w:cstheme="minorHAnsi"/>
          <w:b/>
          <w:sz w:val="28"/>
          <w:u w:val="single"/>
          <w:lang w:eastAsia="en-AU"/>
        </w:rPr>
      </w:pPr>
      <w:bookmarkStart w:id="0" w:name="_GoBack"/>
      <w:bookmarkEnd w:id="0"/>
    </w:p>
    <w:bookmarkStart w:id="1" w:name="_MON_1740984295"/>
    <w:bookmarkEnd w:id="1"/>
    <w:p w14:paraId="738508DA" w14:textId="77777777" w:rsidR="00877BA5" w:rsidRDefault="007F685C" w:rsidP="00877BA5">
      <w:pPr>
        <w:spacing w:after="240" w:line="240" w:lineRule="auto"/>
        <w:jc w:val="center"/>
        <w:rPr>
          <w:rFonts w:eastAsia="Times New Roman" w:cstheme="minorHAnsi"/>
          <w:b/>
          <w:sz w:val="28"/>
          <w:u w:val="single"/>
          <w:lang w:eastAsia="en-AU"/>
        </w:rPr>
      </w:pPr>
      <w:r>
        <w:object w:dxaOrig="8431" w:dyaOrig="4951" w14:anchorId="49E9D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07.7pt" o:ole="" fillcolor="window">
            <v:imagedata r:id="rId8" o:title=""/>
          </v:shape>
          <o:OLEObject Type="Embed" ProgID="Word.Picture.8" ShapeID="_x0000_i1025" DrawAspect="Content" ObjectID="_1753269940" r:id="rId9"/>
        </w:object>
      </w:r>
    </w:p>
    <w:p w14:paraId="51B17D5E" w14:textId="77777777" w:rsidR="00877BA5" w:rsidRDefault="00877BA5" w:rsidP="00676FA2">
      <w:pPr>
        <w:spacing w:after="240" w:line="240" w:lineRule="auto"/>
        <w:rPr>
          <w:rFonts w:eastAsia="Times New Roman" w:cstheme="minorHAnsi"/>
          <w:b/>
          <w:sz w:val="28"/>
          <w:u w:val="single"/>
          <w:lang w:eastAsia="en-AU"/>
        </w:rPr>
      </w:pPr>
    </w:p>
    <w:p w14:paraId="212367D3" w14:textId="77777777" w:rsidR="00877BA5" w:rsidRDefault="00877BA5" w:rsidP="00676FA2">
      <w:pPr>
        <w:spacing w:after="240" w:line="240" w:lineRule="auto"/>
        <w:rPr>
          <w:rFonts w:eastAsia="Times New Roman" w:cstheme="minorHAnsi"/>
          <w:b/>
          <w:sz w:val="28"/>
          <w:u w:val="single"/>
          <w:lang w:eastAsia="en-AU"/>
        </w:rPr>
      </w:pPr>
    </w:p>
    <w:p w14:paraId="6652D9F9" w14:textId="77777777" w:rsidR="00877BA5" w:rsidRDefault="00877BA5" w:rsidP="00676FA2">
      <w:pPr>
        <w:spacing w:after="240" w:line="240" w:lineRule="auto"/>
        <w:rPr>
          <w:rFonts w:eastAsia="Times New Roman" w:cstheme="minorHAnsi"/>
          <w:b/>
          <w:sz w:val="28"/>
          <w:u w:val="single"/>
          <w:lang w:eastAsia="en-AU"/>
        </w:rPr>
      </w:pPr>
    </w:p>
    <w:p w14:paraId="13811ADF" w14:textId="77777777" w:rsidR="00877BA5" w:rsidRDefault="00877BA5" w:rsidP="00676FA2">
      <w:pPr>
        <w:spacing w:after="240" w:line="240" w:lineRule="auto"/>
        <w:rPr>
          <w:rFonts w:eastAsia="Times New Roman" w:cstheme="minorHAnsi"/>
          <w:b/>
          <w:sz w:val="28"/>
          <w:u w:val="single"/>
          <w:lang w:eastAsia="en-AU"/>
        </w:rPr>
      </w:pPr>
    </w:p>
    <w:p w14:paraId="5AF0A8B0" w14:textId="77777777" w:rsidR="00877BA5" w:rsidRPr="00A915E3" w:rsidRDefault="00877BA5" w:rsidP="00877BA5">
      <w:pPr>
        <w:spacing w:after="240" w:line="240" w:lineRule="auto"/>
        <w:jc w:val="center"/>
        <w:rPr>
          <w:rFonts w:eastAsia="Times New Roman" w:cstheme="minorHAnsi"/>
          <w:b/>
          <w:sz w:val="36"/>
          <w:lang w:eastAsia="en-AU"/>
        </w:rPr>
      </w:pPr>
      <w:r w:rsidRPr="00A915E3">
        <w:rPr>
          <w:rFonts w:eastAsia="Times New Roman" w:cstheme="minorHAnsi"/>
          <w:b/>
          <w:sz w:val="36"/>
          <w:lang w:eastAsia="en-AU"/>
        </w:rPr>
        <w:t>DVA Policy</w:t>
      </w:r>
    </w:p>
    <w:p w14:paraId="5D84534F" w14:textId="77777777" w:rsidR="00877BA5" w:rsidRPr="00A915E3" w:rsidRDefault="00BE00A5" w:rsidP="00877BA5">
      <w:pPr>
        <w:spacing w:after="240" w:line="240" w:lineRule="auto"/>
        <w:jc w:val="center"/>
        <w:rPr>
          <w:rFonts w:eastAsia="Times New Roman" w:cstheme="minorHAnsi"/>
          <w:b/>
          <w:sz w:val="36"/>
          <w:lang w:eastAsia="en-AU"/>
        </w:rPr>
      </w:pPr>
      <w:r>
        <w:rPr>
          <w:rFonts w:eastAsia="Times New Roman" w:cstheme="minorHAnsi"/>
          <w:b/>
          <w:sz w:val="36"/>
          <w:lang w:eastAsia="en-AU"/>
        </w:rPr>
        <w:t>Client Benefits’ Division</w:t>
      </w:r>
    </w:p>
    <w:p w14:paraId="387CE2B4" w14:textId="33C4F912" w:rsidR="00877BA5" w:rsidRPr="00BE00A5" w:rsidRDefault="00BE00A5" w:rsidP="00877BA5">
      <w:pPr>
        <w:spacing w:after="240" w:line="240" w:lineRule="auto"/>
        <w:jc w:val="center"/>
        <w:rPr>
          <w:rFonts w:eastAsia="Times New Roman" w:cstheme="minorHAnsi"/>
          <w:b/>
          <w:sz w:val="44"/>
          <w:lang w:eastAsia="en-AU"/>
        </w:rPr>
      </w:pPr>
      <w:r w:rsidRPr="00BE00A5">
        <w:rPr>
          <w:rFonts w:eastAsia="Times New Roman" w:cstheme="minorHAnsi"/>
          <w:b/>
          <w:sz w:val="44"/>
          <w:lang w:eastAsia="en-AU"/>
        </w:rPr>
        <w:t>Compensation Claim</w:t>
      </w:r>
      <w:r w:rsidR="00DA3D41">
        <w:rPr>
          <w:rFonts w:eastAsia="Times New Roman" w:cstheme="minorHAnsi"/>
          <w:b/>
          <w:sz w:val="44"/>
          <w:lang w:eastAsia="en-AU"/>
        </w:rPr>
        <w:t>s</w:t>
      </w:r>
      <w:r w:rsidR="00877BA5" w:rsidRPr="00BE00A5">
        <w:rPr>
          <w:rFonts w:eastAsia="Times New Roman" w:cstheme="minorHAnsi"/>
          <w:b/>
          <w:sz w:val="44"/>
          <w:lang w:eastAsia="en-AU"/>
        </w:rPr>
        <w:t xml:space="preserve"> Communication Standards</w:t>
      </w:r>
    </w:p>
    <w:p w14:paraId="2A11E789" w14:textId="77777777" w:rsidR="00877BA5" w:rsidRDefault="00877BA5" w:rsidP="00676FA2">
      <w:pPr>
        <w:spacing w:after="240" w:line="240" w:lineRule="auto"/>
        <w:rPr>
          <w:rFonts w:eastAsia="Times New Roman" w:cstheme="minorHAnsi"/>
          <w:b/>
          <w:sz w:val="28"/>
          <w:u w:val="single"/>
          <w:lang w:eastAsia="en-AU"/>
        </w:rPr>
      </w:pPr>
    </w:p>
    <w:p w14:paraId="0BEC4BF0" w14:textId="77777777" w:rsidR="00877BA5" w:rsidRDefault="00877BA5" w:rsidP="00676FA2">
      <w:pPr>
        <w:spacing w:after="240" w:line="240" w:lineRule="auto"/>
        <w:rPr>
          <w:rFonts w:eastAsia="Times New Roman" w:cstheme="minorHAnsi"/>
          <w:b/>
          <w:sz w:val="28"/>
          <w:u w:val="single"/>
          <w:lang w:eastAsia="en-AU"/>
        </w:rPr>
      </w:pPr>
    </w:p>
    <w:p w14:paraId="0329EF83" w14:textId="77777777" w:rsidR="00877BA5" w:rsidRDefault="00877BA5" w:rsidP="00676FA2">
      <w:pPr>
        <w:spacing w:after="240" w:line="240" w:lineRule="auto"/>
        <w:rPr>
          <w:rFonts w:eastAsia="Times New Roman" w:cstheme="minorHAnsi"/>
          <w:b/>
          <w:sz w:val="28"/>
          <w:u w:val="single"/>
          <w:lang w:eastAsia="en-AU"/>
        </w:rPr>
      </w:pPr>
    </w:p>
    <w:p w14:paraId="7AD62657" w14:textId="77777777" w:rsidR="00877BA5" w:rsidRDefault="00877BA5" w:rsidP="00676FA2">
      <w:pPr>
        <w:spacing w:after="240" w:line="240" w:lineRule="auto"/>
        <w:rPr>
          <w:rFonts w:eastAsia="Times New Roman" w:cstheme="minorHAnsi"/>
          <w:b/>
          <w:sz w:val="28"/>
          <w:u w:val="single"/>
          <w:lang w:eastAsia="en-AU"/>
        </w:rPr>
      </w:pPr>
    </w:p>
    <w:p w14:paraId="0489C8D4" w14:textId="77777777" w:rsidR="00877BA5" w:rsidRDefault="00877BA5" w:rsidP="00676FA2">
      <w:pPr>
        <w:spacing w:after="240" w:line="240" w:lineRule="auto"/>
        <w:rPr>
          <w:rFonts w:eastAsia="Times New Roman" w:cstheme="minorHAnsi"/>
          <w:b/>
          <w:sz w:val="28"/>
          <w:u w:val="single"/>
          <w:lang w:eastAsia="en-AU"/>
        </w:rPr>
      </w:pPr>
    </w:p>
    <w:p w14:paraId="34EA22BD" w14:textId="77777777" w:rsidR="00877BA5" w:rsidRDefault="00877BA5" w:rsidP="00676FA2">
      <w:pPr>
        <w:spacing w:after="240" w:line="240" w:lineRule="auto"/>
        <w:rPr>
          <w:rFonts w:eastAsia="Times New Roman" w:cstheme="minorHAnsi"/>
          <w:b/>
          <w:sz w:val="28"/>
          <w:u w:val="single"/>
          <w:lang w:eastAsia="en-AU"/>
        </w:rPr>
      </w:pPr>
    </w:p>
    <w:p w14:paraId="15438F92" w14:textId="77777777" w:rsidR="00877BA5" w:rsidRDefault="00877BA5" w:rsidP="00676FA2">
      <w:pPr>
        <w:spacing w:after="240" w:line="240" w:lineRule="auto"/>
        <w:rPr>
          <w:rFonts w:eastAsia="Times New Roman" w:cstheme="minorHAnsi"/>
          <w:b/>
          <w:sz w:val="28"/>
          <w:u w:val="single"/>
          <w:lang w:eastAsia="en-AU"/>
        </w:rPr>
      </w:pPr>
    </w:p>
    <w:p w14:paraId="5BE77E86" w14:textId="77777777" w:rsidR="00877BA5" w:rsidRDefault="00877BA5" w:rsidP="00676FA2">
      <w:pPr>
        <w:spacing w:after="240" w:line="240" w:lineRule="auto"/>
        <w:rPr>
          <w:rFonts w:eastAsia="Times New Roman" w:cstheme="minorHAnsi"/>
          <w:b/>
          <w:sz w:val="28"/>
          <w:u w:val="single"/>
          <w:lang w:eastAsia="en-AU"/>
        </w:rPr>
      </w:pPr>
    </w:p>
    <w:p w14:paraId="5AEDB425" w14:textId="77777777" w:rsidR="00877BA5" w:rsidRDefault="00877BA5" w:rsidP="00676FA2">
      <w:pPr>
        <w:spacing w:after="240" w:line="240" w:lineRule="auto"/>
        <w:rPr>
          <w:rFonts w:eastAsia="Times New Roman" w:cstheme="minorHAnsi"/>
          <w:b/>
          <w:sz w:val="28"/>
          <w:u w:val="single"/>
          <w:lang w:eastAsia="en-AU"/>
        </w:rPr>
      </w:pPr>
    </w:p>
    <w:p w14:paraId="6C24C4A2" w14:textId="77777777" w:rsidR="00872DE2" w:rsidRDefault="00872DE2" w:rsidP="00676FA2">
      <w:pPr>
        <w:spacing w:after="240" w:line="240" w:lineRule="auto"/>
        <w:rPr>
          <w:rFonts w:eastAsia="Times New Roman" w:cstheme="minorHAnsi"/>
          <w:b/>
          <w:sz w:val="28"/>
          <w:u w:val="single"/>
          <w:lang w:eastAsia="en-AU"/>
        </w:rPr>
      </w:pPr>
    </w:p>
    <w:p w14:paraId="599868D8" w14:textId="77777777" w:rsidR="00877BA5" w:rsidRDefault="00877BA5" w:rsidP="00676FA2">
      <w:pPr>
        <w:spacing w:after="240" w:line="240" w:lineRule="auto"/>
        <w:rPr>
          <w:rFonts w:eastAsia="Times New Roman" w:cstheme="minorHAnsi"/>
          <w:b/>
          <w:sz w:val="28"/>
          <w:u w:val="single"/>
          <w:lang w:eastAsia="en-AU"/>
        </w:rPr>
      </w:pPr>
    </w:p>
    <w:sdt>
      <w:sdtPr>
        <w:rPr>
          <w:rFonts w:asciiTheme="minorHAnsi" w:eastAsiaTheme="minorHAnsi" w:hAnsiTheme="minorHAnsi" w:cstheme="minorBidi"/>
          <w:color w:val="auto"/>
          <w:sz w:val="22"/>
          <w:szCs w:val="22"/>
          <w:lang w:val="en-AU"/>
        </w:rPr>
        <w:id w:val="2147242868"/>
        <w:docPartObj>
          <w:docPartGallery w:val="Table of Contents"/>
          <w:docPartUnique/>
        </w:docPartObj>
      </w:sdtPr>
      <w:sdtEndPr>
        <w:rPr>
          <w:b/>
          <w:bCs/>
          <w:noProof/>
        </w:rPr>
      </w:sdtEndPr>
      <w:sdtContent>
        <w:p w14:paraId="46FB192F" w14:textId="77777777" w:rsidR="00877BA5" w:rsidRPr="00A915E3" w:rsidRDefault="00877BA5" w:rsidP="003E40AF">
          <w:pPr>
            <w:pStyle w:val="TOCHeading"/>
            <w:rPr>
              <w:szCs w:val="24"/>
            </w:rPr>
          </w:pPr>
          <w:r w:rsidRPr="00A915E3">
            <w:rPr>
              <w:szCs w:val="24"/>
            </w:rPr>
            <w:t>Contents</w:t>
          </w:r>
        </w:p>
        <w:p w14:paraId="2A01FD70" w14:textId="77777777" w:rsidR="00877BA5" w:rsidRPr="00877BA5" w:rsidRDefault="00877BA5" w:rsidP="00877BA5">
          <w:pPr>
            <w:rPr>
              <w:sz w:val="24"/>
              <w:szCs w:val="24"/>
              <w:lang w:val="en-US"/>
            </w:rPr>
          </w:pPr>
        </w:p>
        <w:p w14:paraId="09C1BF41" w14:textId="10309576" w:rsidR="006B40DE" w:rsidRDefault="00877BA5">
          <w:pPr>
            <w:pStyle w:val="TOC3"/>
            <w:tabs>
              <w:tab w:val="right" w:leader="dot" w:pos="9016"/>
            </w:tabs>
            <w:rPr>
              <w:rFonts w:cstheme="minorBidi"/>
              <w:noProof/>
              <w:lang w:val="en-AU" w:eastAsia="en-AU"/>
            </w:rPr>
          </w:pPr>
          <w:r w:rsidRPr="00877BA5">
            <w:rPr>
              <w:sz w:val="24"/>
              <w:szCs w:val="24"/>
            </w:rPr>
            <w:fldChar w:fldCharType="begin"/>
          </w:r>
          <w:r w:rsidRPr="00877BA5">
            <w:rPr>
              <w:sz w:val="24"/>
              <w:szCs w:val="24"/>
            </w:rPr>
            <w:instrText xml:space="preserve"> TOC \o "1-3" \h \z \u </w:instrText>
          </w:r>
          <w:r w:rsidRPr="00877BA5">
            <w:rPr>
              <w:sz w:val="24"/>
              <w:szCs w:val="24"/>
            </w:rPr>
            <w:fldChar w:fldCharType="separate"/>
          </w:r>
          <w:hyperlink w:anchor="_Toc140237875" w:history="1">
            <w:r w:rsidR="006B40DE" w:rsidRPr="00BE062B">
              <w:rPr>
                <w:rStyle w:val="Hyperlink"/>
                <w:noProof/>
              </w:rPr>
              <w:t>Version Control</w:t>
            </w:r>
            <w:r w:rsidR="006B40DE">
              <w:rPr>
                <w:noProof/>
                <w:webHidden/>
              </w:rPr>
              <w:tab/>
            </w:r>
            <w:r w:rsidR="006B40DE">
              <w:rPr>
                <w:noProof/>
                <w:webHidden/>
              </w:rPr>
              <w:fldChar w:fldCharType="begin"/>
            </w:r>
            <w:r w:rsidR="006B40DE">
              <w:rPr>
                <w:noProof/>
                <w:webHidden/>
              </w:rPr>
              <w:instrText xml:space="preserve"> PAGEREF _Toc140237875 \h </w:instrText>
            </w:r>
            <w:r w:rsidR="006B40DE">
              <w:rPr>
                <w:noProof/>
                <w:webHidden/>
              </w:rPr>
            </w:r>
            <w:r w:rsidR="006B40DE">
              <w:rPr>
                <w:noProof/>
                <w:webHidden/>
              </w:rPr>
              <w:fldChar w:fldCharType="separate"/>
            </w:r>
            <w:r w:rsidR="006B40DE">
              <w:rPr>
                <w:noProof/>
                <w:webHidden/>
              </w:rPr>
              <w:t>2</w:t>
            </w:r>
            <w:r w:rsidR="006B40DE">
              <w:rPr>
                <w:noProof/>
                <w:webHidden/>
              </w:rPr>
              <w:fldChar w:fldCharType="end"/>
            </w:r>
          </w:hyperlink>
        </w:p>
        <w:p w14:paraId="68D2CC38" w14:textId="4A5E2E5D" w:rsidR="006B40DE" w:rsidRDefault="005925DF">
          <w:pPr>
            <w:pStyle w:val="TOC1"/>
            <w:tabs>
              <w:tab w:val="right" w:leader="dot" w:pos="9016"/>
            </w:tabs>
            <w:rPr>
              <w:rFonts w:cstheme="minorBidi"/>
              <w:noProof/>
              <w:lang w:val="en-AU" w:eastAsia="en-AU"/>
            </w:rPr>
          </w:pPr>
          <w:hyperlink w:anchor="_Toc140237876" w:history="1">
            <w:r w:rsidR="006B40DE" w:rsidRPr="00BE062B">
              <w:rPr>
                <w:rStyle w:val="Hyperlink"/>
                <w:b/>
                <w:noProof/>
              </w:rPr>
              <w:t>Introduction:</w:t>
            </w:r>
            <w:r w:rsidR="006B40DE">
              <w:rPr>
                <w:noProof/>
                <w:webHidden/>
              </w:rPr>
              <w:tab/>
            </w:r>
            <w:r w:rsidR="006B40DE">
              <w:rPr>
                <w:noProof/>
                <w:webHidden/>
              </w:rPr>
              <w:fldChar w:fldCharType="begin"/>
            </w:r>
            <w:r w:rsidR="006B40DE">
              <w:rPr>
                <w:noProof/>
                <w:webHidden/>
              </w:rPr>
              <w:instrText xml:space="preserve"> PAGEREF _Toc140237876 \h </w:instrText>
            </w:r>
            <w:r w:rsidR="006B40DE">
              <w:rPr>
                <w:noProof/>
                <w:webHidden/>
              </w:rPr>
            </w:r>
            <w:r w:rsidR="006B40DE">
              <w:rPr>
                <w:noProof/>
                <w:webHidden/>
              </w:rPr>
              <w:fldChar w:fldCharType="separate"/>
            </w:r>
            <w:r w:rsidR="006B40DE">
              <w:rPr>
                <w:noProof/>
                <w:webHidden/>
              </w:rPr>
              <w:t>3</w:t>
            </w:r>
            <w:r w:rsidR="006B40DE">
              <w:rPr>
                <w:noProof/>
                <w:webHidden/>
              </w:rPr>
              <w:fldChar w:fldCharType="end"/>
            </w:r>
          </w:hyperlink>
        </w:p>
        <w:p w14:paraId="79F1759A" w14:textId="24275AF5" w:rsidR="006B40DE" w:rsidRDefault="005925DF">
          <w:pPr>
            <w:pStyle w:val="TOC2"/>
            <w:tabs>
              <w:tab w:val="right" w:leader="dot" w:pos="9016"/>
            </w:tabs>
            <w:rPr>
              <w:rFonts w:eastAsiaTheme="minorEastAsia"/>
              <w:noProof/>
              <w:lang w:eastAsia="en-AU"/>
            </w:rPr>
          </w:pPr>
          <w:hyperlink w:anchor="_Toc140237877" w:history="1">
            <w:r w:rsidR="006B40DE" w:rsidRPr="00BE062B">
              <w:rPr>
                <w:rStyle w:val="Hyperlink"/>
                <w:noProof/>
              </w:rPr>
              <w:t>Purpose</w:t>
            </w:r>
            <w:r w:rsidR="006B40DE">
              <w:rPr>
                <w:noProof/>
                <w:webHidden/>
              </w:rPr>
              <w:tab/>
            </w:r>
            <w:r w:rsidR="006B40DE">
              <w:rPr>
                <w:noProof/>
                <w:webHidden/>
              </w:rPr>
              <w:fldChar w:fldCharType="begin"/>
            </w:r>
            <w:r w:rsidR="006B40DE">
              <w:rPr>
                <w:noProof/>
                <w:webHidden/>
              </w:rPr>
              <w:instrText xml:space="preserve"> PAGEREF _Toc140237877 \h </w:instrText>
            </w:r>
            <w:r w:rsidR="006B40DE">
              <w:rPr>
                <w:noProof/>
                <w:webHidden/>
              </w:rPr>
            </w:r>
            <w:r w:rsidR="006B40DE">
              <w:rPr>
                <w:noProof/>
                <w:webHidden/>
              </w:rPr>
              <w:fldChar w:fldCharType="separate"/>
            </w:r>
            <w:r w:rsidR="006B40DE">
              <w:rPr>
                <w:noProof/>
                <w:webHidden/>
              </w:rPr>
              <w:t>3</w:t>
            </w:r>
            <w:r w:rsidR="006B40DE">
              <w:rPr>
                <w:noProof/>
                <w:webHidden/>
              </w:rPr>
              <w:fldChar w:fldCharType="end"/>
            </w:r>
          </w:hyperlink>
        </w:p>
        <w:p w14:paraId="3F399F6A" w14:textId="17CCF5F9" w:rsidR="006B40DE" w:rsidRDefault="005925DF">
          <w:pPr>
            <w:pStyle w:val="TOC2"/>
            <w:tabs>
              <w:tab w:val="right" w:leader="dot" w:pos="9016"/>
            </w:tabs>
            <w:rPr>
              <w:rFonts w:eastAsiaTheme="minorEastAsia"/>
              <w:noProof/>
              <w:lang w:eastAsia="en-AU"/>
            </w:rPr>
          </w:pPr>
          <w:hyperlink w:anchor="_Toc140237878" w:history="1">
            <w:r w:rsidR="006B40DE" w:rsidRPr="00BE062B">
              <w:rPr>
                <w:rStyle w:val="Hyperlink"/>
                <w:noProof/>
              </w:rPr>
              <w:t>Application</w:t>
            </w:r>
            <w:r w:rsidR="006B40DE">
              <w:rPr>
                <w:noProof/>
                <w:webHidden/>
              </w:rPr>
              <w:tab/>
            </w:r>
            <w:r w:rsidR="006B40DE">
              <w:rPr>
                <w:noProof/>
                <w:webHidden/>
              </w:rPr>
              <w:fldChar w:fldCharType="begin"/>
            </w:r>
            <w:r w:rsidR="006B40DE">
              <w:rPr>
                <w:noProof/>
                <w:webHidden/>
              </w:rPr>
              <w:instrText xml:space="preserve"> PAGEREF _Toc140237878 \h </w:instrText>
            </w:r>
            <w:r w:rsidR="006B40DE">
              <w:rPr>
                <w:noProof/>
                <w:webHidden/>
              </w:rPr>
            </w:r>
            <w:r w:rsidR="006B40DE">
              <w:rPr>
                <w:noProof/>
                <w:webHidden/>
              </w:rPr>
              <w:fldChar w:fldCharType="separate"/>
            </w:r>
            <w:r w:rsidR="006B40DE">
              <w:rPr>
                <w:noProof/>
                <w:webHidden/>
              </w:rPr>
              <w:t>3</w:t>
            </w:r>
            <w:r w:rsidR="006B40DE">
              <w:rPr>
                <w:noProof/>
                <w:webHidden/>
              </w:rPr>
              <w:fldChar w:fldCharType="end"/>
            </w:r>
          </w:hyperlink>
        </w:p>
        <w:p w14:paraId="20A572C3" w14:textId="0FAE9304" w:rsidR="006B40DE" w:rsidRDefault="005925DF">
          <w:pPr>
            <w:pStyle w:val="TOC2"/>
            <w:tabs>
              <w:tab w:val="right" w:leader="dot" w:pos="9016"/>
            </w:tabs>
            <w:rPr>
              <w:rFonts w:eastAsiaTheme="minorEastAsia"/>
              <w:noProof/>
              <w:lang w:eastAsia="en-AU"/>
            </w:rPr>
          </w:pPr>
          <w:hyperlink w:anchor="_Toc140237879" w:history="1">
            <w:r w:rsidR="006B40DE" w:rsidRPr="00BE062B">
              <w:rPr>
                <w:rStyle w:val="Hyperlink"/>
                <w:noProof/>
              </w:rPr>
              <w:t>Commitment</w:t>
            </w:r>
            <w:r w:rsidR="006B40DE">
              <w:rPr>
                <w:noProof/>
                <w:webHidden/>
              </w:rPr>
              <w:tab/>
            </w:r>
            <w:r w:rsidR="006B40DE">
              <w:rPr>
                <w:noProof/>
                <w:webHidden/>
              </w:rPr>
              <w:fldChar w:fldCharType="begin"/>
            </w:r>
            <w:r w:rsidR="006B40DE">
              <w:rPr>
                <w:noProof/>
                <w:webHidden/>
              </w:rPr>
              <w:instrText xml:space="preserve"> PAGEREF _Toc140237879 \h </w:instrText>
            </w:r>
            <w:r w:rsidR="006B40DE">
              <w:rPr>
                <w:noProof/>
                <w:webHidden/>
              </w:rPr>
            </w:r>
            <w:r w:rsidR="006B40DE">
              <w:rPr>
                <w:noProof/>
                <w:webHidden/>
              </w:rPr>
              <w:fldChar w:fldCharType="separate"/>
            </w:r>
            <w:r w:rsidR="006B40DE">
              <w:rPr>
                <w:noProof/>
                <w:webHidden/>
              </w:rPr>
              <w:t>3</w:t>
            </w:r>
            <w:r w:rsidR="006B40DE">
              <w:rPr>
                <w:noProof/>
                <w:webHidden/>
              </w:rPr>
              <w:fldChar w:fldCharType="end"/>
            </w:r>
          </w:hyperlink>
        </w:p>
        <w:p w14:paraId="063060BC" w14:textId="502BED88" w:rsidR="006B40DE" w:rsidRDefault="005925DF">
          <w:pPr>
            <w:pStyle w:val="TOC2"/>
            <w:tabs>
              <w:tab w:val="right" w:leader="dot" w:pos="9016"/>
            </w:tabs>
            <w:rPr>
              <w:rFonts w:eastAsiaTheme="minorEastAsia"/>
              <w:noProof/>
              <w:lang w:eastAsia="en-AU"/>
            </w:rPr>
          </w:pPr>
          <w:hyperlink w:anchor="_Toc140237880" w:history="1">
            <w:r w:rsidR="006B40DE" w:rsidRPr="00BE062B">
              <w:rPr>
                <w:rStyle w:val="Hyperlink"/>
                <w:noProof/>
              </w:rPr>
              <w:t>Summary</w:t>
            </w:r>
            <w:r w:rsidR="006B40DE">
              <w:rPr>
                <w:noProof/>
                <w:webHidden/>
              </w:rPr>
              <w:tab/>
            </w:r>
            <w:r w:rsidR="006B40DE">
              <w:rPr>
                <w:noProof/>
                <w:webHidden/>
              </w:rPr>
              <w:fldChar w:fldCharType="begin"/>
            </w:r>
            <w:r w:rsidR="006B40DE">
              <w:rPr>
                <w:noProof/>
                <w:webHidden/>
              </w:rPr>
              <w:instrText xml:space="preserve"> PAGEREF _Toc140237880 \h </w:instrText>
            </w:r>
            <w:r w:rsidR="006B40DE">
              <w:rPr>
                <w:noProof/>
                <w:webHidden/>
              </w:rPr>
            </w:r>
            <w:r w:rsidR="006B40DE">
              <w:rPr>
                <w:noProof/>
                <w:webHidden/>
              </w:rPr>
              <w:fldChar w:fldCharType="separate"/>
            </w:r>
            <w:r w:rsidR="006B40DE">
              <w:rPr>
                <w:noProof/>
                <w:webHidden/>
              </w:rPr>
              <w:t>3</w:t>
            </w:r>
            <w:r w:rsidR="006B40DE">
              <w:rPr>
                <w:noProof/>
                <w:webHidden/>
              </w:rPr>
              <w:fldChar w:fldCharType="end"/>
            </w:r>
          </w:hyperlink>
        </w:p>
        <w:p w14:paraId="08FBC120" w14:textId="6099360D" w:rsidR="006B40DE" w:rsidRDefault="005925DF">
          <w:pPr>
            <w:pStyle w:val="TOC1"/>
            <w:tabs>
              <w:tab w:val="right" w:leader="dot" w:pos="9016"/>
            </w:tabs>
            <w:rPr>
              <w:rFonts w:cstheme="minorBidi"/>
              <w:noProof/>
              <w:lang w:val="en-AU" w:eastAsia="en-AU"/>
            </w:rPr>
          </w:pPr>
          <w:hyperlink w:anchor="_Toc140237881" w:history="1">
            <w:r w:rsidR="006B40DE" w:rsidRPr="00BE062B">
              <w:rPr>
                <w:rStyle w:val="Hyperlink"/>
                <w:b/>
                <w:noProof/>
              </w:rPr>
              <w:t>Frequency &amp; Mode of Contact during the Claims Process</w:t>
            </w:r>
            <w:r w:rsidR="006B40DE">
              <w:rPr>
                <w:noProof/>
                <w:webHidden/>
              </w:rPr>
              <w:tab/>
            </w:r>
            <w:r w:rsidR="006B40DE">
              <w:rPr>
                <w:noProof/>
                <w:webHidden/>
              </w:rPr>
              <w:fldChar w:fldCharType="begin"/>
            </w:r>
            <w:r w:rsidR="006B40DE">
              <w:rPr>
                <w:noProof/>
                <w:webHidden/>
              </w:rPr>
              <w:instrText xml:space="preserve"> PAGEREF _Toc140237881 \h </w:instrText>
            </w:r>
            <w:r w:rsidR="006B40DE">
              <w:rPr>
                <w:noProof/>
                <w:webHidden/>
              </w:rPr>
            </w:r>
            <w:r w:rsidR="006B40DE">
              <w:rPr>
                <w:noProof/>
                <w:webHidden/>
              </w:rPr>
              <w:fldChar w:fldCharType="separate"/>
            </w:r>
            <w:r w:rsidR="006B40DE">
              <w:rPr>
                <w:noProof/>
                <w:webHidden/>
              </w:rPr>
              <w:t>4</w:t>
            </w:r>
            <w:r w:rsidR="006B40DE">
              <w:rPr>
                <w:noProof/>
                <w:webHidden/>
              </w:rPr>
              <w:fldChar w:fldCharType="end"/>
            </w:r>
          </w:hyperlink>
        </w:p>
        <w:p w14:paraId="3D2C9E46" w14:textId="1963BC25" w:rsidR="006B40DE" w:rsidRDefault="005925DF">
          <w:pPr>
            <w:pStyle w:val="TOC3"/>
            <w:tabs>
              <w:tab w:val="right" w:leader="dot" w:pos="9016"/>
            </w:tabs>
            <w:rPr>
              <w:rFonts w:cstheme="minorBidi"/>
              <w:noProof/>
              <w:lang w:val="en-AU" w:eastAsia="en-AU"/>
            </w:rPr>
          </w:pPr>
          <w:hyperlink w:anchor="_Toc140237882" w:history="1">
            <w:r w:rsidR="006B40DE" w:rsidRPr="00BE062B">
              <w:rPr>
                <w:rStyle w:val="Hyperlink"/>
                <w:noProof/>
              </w:rPr>
              <w:t>Claim Acknowledgment Letter</w:t>
            </w:r>
            <w:r w:rsidR="006B40DE">
              <w:rPr>
                <w:noProof/>
                <w:webHidden/>
              </w:rPr>
              <w:tab/>
            </w:r>
            <w:r w:rsidR="006B40DE">
              <w:rPr>
                <w:noProof/>
                <w:webHidden/>
              </w:rPr>
              <w:fldChar w:fldCharType="begin"/>
            </w:r>
            <w:r w:rsidR="006B40DE">
              <w:rPr>
                <w:noProof/>
                <w:webHidden/>
              </w:rPr>
              <w:instrText xml:space="preserve"> PAGEREF _Toc140237882 \h </w:instrText>
            </w:r>
            <w:r w:rsidR="006B40DE">
              <w:rPr>
                <w:noProof/>
                <w:webHidden/>
              </w:rPr>
            </w:r>
            <w:r w:rsidR="006B40DE">
              <w:rPr>
                <w:noProof/>
                <w:webHidden/>
              </w:rPr>
              <w:fldChar w:fldCharType="separate"/>
            </w:r>
            <w:r w:rsidR="006B40DE">
              <w:rPr>
                <w:noProof/>
                <w:webHidden/>
              </w:rPr>
              <w:t>4</w:t>
            </w:r>
            <w:r w:rsidR="006B40DE">
              <w:rPr>
                <w:noProof/>
                <w:webHidden/>
              </w:rPr>
              <w:fldChar w:fldCharType="end"/>
            </w:r>
          </w:hyperlink>
        </w:p>
        <w:p w14:paraId="73C0BF5D" w14:textId="7C390A44" w:rsidR="006B40DE" w:rsidRDefault="005925DF">
          <w:pPr>
            <w:pStyle w:val="TOC3"/>
            <w:tabs>
              <w:tab w:val="right" w:leader="dot" w:pos="9016"/>
            </w:tabs>
            <w:rPr>
              <w:rFonts w:cstheme="minorBidi"/>
              <w:noProof/>
              <w:lang w:val="en-AU" w:eastAsia="en-AU"/>
            </w:rPr>
          </w:pPr>
          <w:hyperlink w:anchor="_Toc140237883" w:history="1">
            <w:r w:rsidR="006B40DE" w:rsidRPr="00BE062B">
              <w:rPr>
                <w:rStyle w:val="Hyperlink"/>
                <w:noProof/>
              </w:rPr>
              <w:t>Claim Administration</w:t>
            </w:r>
            <w:r w:rsidR="006B40DE">
              <w:rPr>
                <w:noProof/>
                <w:webHidden/>
              </w:rPr>
              <w:tab/>
            </w:r>
            <w:r w:rsidR="006B40DE">
              <w:rPr>
                <w:noProof/>
                <w:webHidden/>
              </w:rPr>
              <w:fldChar w:fldCharType="begin"/>
            </w:r>
            <w:r w:rsidR="006B40DE">
              <w:rPr>
                <w:noProof/>
                <w:webHidden/>
              </w:rPr>
              <w:instrText xml:space="preserve"> PAGEREF _Toc140237883 \h </w:instrText>
            </w:r>
            <w:r w:rsidR="006B40DE">
              <w:rPr>
                <w:noProof/>
                <w:webHidden/>
              </w:rPr>
            </w:r>
            <w:r w:rsidR="006B40DE">
              <w:rPr>
                <w:noProof/>
                <w:webHidden/>
              </w:rPr>
              <w:fldChar w:fldCharType="separate"/>
            </w:r>
            <w:r w:rsidR="006B40DE">
              <w:rPr>
                <w:noProof/>
                <w:webHidden/>
              </w:rPr>
              <w:t>4</w:t>
            </w:r>
            <w:r w:rsidR="006B40DE">
              <w:rPr>
                <w:noProof/>
                <w:webHidden/>
              </w:rPr>
              <w:fldChar w:fldCharType="end"/>
            </w:r>
          </w:hyperlink>
        </w:p>
        <w:p w14:paraId="447A4E1E" w14:textId="449AA835" w:rsidR="006B40DE" w:rsidRDefault="005925DF">
          <w:pPr>
            <w:pStyle w:val="TOC2"/>
            <w:tabs>
              <w:tab w:val="right" w:leader="dot" w:pos="9016"/>
            </w:tabs>
            <w:rPr>
              <w:rFonts w:eastAsiaTheme="minorEastAsia"/>
              <w:noProof/>
              <w:lang w:eastAsia="en-AU"/>
            </w:rPr>
          </w:pPr>
          <w:hyperlink w:anchor="_Toc140237884" w:history="1">
            <w:r w:rsidR="006B40DE" w:rsidRPr="00BE062B">
              <w:rPr>
                <w:rStyle w:val="Hyperlink"/>
                <w:b/>
                <w:noProof/>
              </w:rPr>
              <w:t>Claim Investigation</w:t>
            </w:r>
            <w:r w:rsidR="006B40DE">
              <w:rPr>
                <w:noProof/>
                <w:webHidden/>
              </w:rPr>
              <w:tab/>
            </w:r>
            <w:r w:rsidR="006B40DE">
              <w:rPr>
                <w:noProof/>
                <w:webHidden/>
              </w:rPr>
              <w:fldChar w:fldCharType="begin"/>
            </w:r>
            <w:r w:rsidR="006B40DE">
              <w:rPr>
                <w:noProof/>
                <w:webHidden/>
              </w:rPr>
              <w:instrText xml:space="preserve"> PAGEREF _Toc140237884 \h </w:instrText>
            </w:r>
            <w:r w:rsidR="006B40DE">
              <w:rPr>
                <w:noProof/>
                <w:webHidden/>
              </w:rPr>
            </w:r>
            <w:r w:rsidR="006B40DE">
              <w:rPr>
                <w:noProof/>
                <w:webHidden/>
              </w:rPr>
              <w:fldChar w:fldCharType="separate"/>
            </w:r>
            <w:r w:rsidR="006B40DE">
              <w:rPr>
                <w:noProof/>
                <w:webHidden/>
              </w:rPr>
              <w:t>4</w:t>
            </w:r>
            <w:r w:rsidR="006B40DE">
              <w:rPr>
                <w:noProof/>
                <w:webHidden/>
              </w:rPr>
              <w:fldChar w:fldCharType="end"/>
            </w:r>
          </w:hyperlink>
        </w:p>
        <w:p w14:paraId="2313AE24" w14:textId="29227B49" w:rsidR="006B40DE" w:rsidRDefault="005925DF">
          <w:pPr>
            <w:pStyle w:val="TOC3"/>
            <w:tabs>
              <w:tab w:val="right" w:leader="dot" w:pos="9016"/>
            </w:tabs>
            <w:rPr>
              <w:rFonts w:cstheme="minorBidi"/>
              <w:noProof/>
              <w:lang w:val="en-AU" w:eastAsia="en-AU"/>
            </w:rPr>
          </w:pPr>
          <w:hyperlink w:anchor="_Toc140237885" w:history="1">
            <w:r w:rsidR="006B40DE" w:rsidRPr="00BE062B">
              <w:rPr>
                <w:rStyle w:val="Hyperlink"/>
                <w:noProof/>
              </w:rPr>
              <w:t>Preliminary Phone Call</w:t>
            </w:r>
            <w:r w:rsidR="006B40DE">
              <w:rPr>
                <w:noProof/>
                <w:webHidden/>
              </w:rPr>
              <w:tab/>
            </w:r>
            <w:r w:rsidR="006B40DE">
              <w:rPr>
                <w:noProof/>
                <w:webHidden/>
              </w:rPr>
              <w:fldChar w:fldCharType="begin"/>
            </w:r>
            <w:r w:rsidR="006B40DE">
              <w:rPr>
                <w:noProof/>
                <w:webHidden/>
              </w:rPr>
              <w:instrText xml:space="preserve"> PAGEREF _Toc140237885 \h </w:instrText>
            </w:r>
            <w:r w:rsidR="006B40DE">
              <w:rPr>
                <w:noProof/>
                <w:webHidden/>
              </w:rPr>
            </w:r>
            <w:r w:rsidR="006B40DE">
              <w:rPr>
                <w:noProof/>
                <w:webHidden/>
              </w:rPr>
              <w:fldChar w:fldCharType="separate"/>
            </w:r>
            <w:r w:rsidR="006B40DE">
              <w:rPr>
                <w:noProof/>
                <w:webHidden/>
              </w:rPr>
              <w:t>4</w:t>
            </w:r>
            <w:r w:rsidR="006B40DE">
              <w:rPr>
                <w:noProof/>
                <w:webHidden/>
              </w:rPr>
              <w:fldChar w:fldCharType="end"/>
            </w:r>
          </w:hyperlink>
        </w:p>
        <w:p w14:paraId="450C5B5E" w14:textId="45CB52EC" w:rsidR="006B40DE" w:rsidRDefault="005925DF">
          <w:pPr>
            <w:pStyle w:val="TOC3"/>
            <w:tabs>
              <w:tab w:val="right" w:leader="dot" w:pos="9016"/>
            </w:tabs>
            <w:rPr>
              <w:rFonts w:cstheme="minorBidi"/>
              <w:noProof/>
              <w:lang w:val="en-AU" w:eastAsia="en-AU"/>
            </w:rPr>
          </w:pPr>
          <w:hyperlink w:anchor="_Toc140237886" w:history="1">
            <w:r w:rsidR="006B40DE" w:rsidRPr="00BE062B">
              <w:rPr>
                <w:rStyle w:val="Hyperlink"/>
                <w:noProof/>
              </w:rPr>
              <w:t>Claim Progress Updates</w:t>
            </w:r>
            <w:r w:rsidR="006B40DE">
              <w:rPr>
                <w:noProof/>
                <w:webHidden/>
              </w:rPr>
              <w:tab/>
            </w:r>
            <w:r w:rsidR="006B40DE">
              <w:rPr>
                <w:noProof/>
                <w:webHidden/>
              </w:rPr>
              <w:fldChar w:fldCharType="begin"/>
            </w:r>
            <w:r w:rsidR="006B40DE">
              <w:rPr>
                <w:noProof/>
                <w:webHidden/>
              </w:rPr>
              <w:instrText xml:space="preserve"> PAGEREF _Toc140237886 \h </w:instrText>
            </w:r>
            <w:r w:rsidR="006B40DE">
              <w:rPr>
                <w:noProof/>
                <w:webHidden/>
              </w:rPr>
            </w:r>
            <w:r w:rsidR="006B40DE">
              <w:rPr>
                <w:noProof/>
                <w:webHidden/>
              </w:rPr>
              <w:fldChar w:fldCharType="separate"/>
            </w:r>
            <w:r w:rsidR="006B40DE">
              <w:rPr>
                <w:noProof/>
                <w:webHidden/>
              </w:rPr>
              <w:t>5</w:t>
            </w:r>
            <w:r w:rsidR="006B40DE">
              <w:rPr>
                <w:noProof/>
                <w:webHidden/>
              </w:rPr>
              <w:fldChar w:fldCharType="end"/>
            </w:r>
          </w:hyperlink>
        </w:p>
        <w:p w14:paraId="0619F926" w14:textId="73A26B72" w:rsidR="006B40DE" w:rsidRDefault="005925DF">
          <w:pPr>
            <w:pStyle w:val="TOC3"/>
            <w:tabs>
              <w:tab w:val="right" w:leader="dot" w:pos="9016"/>
            </w:tabs>
            <w:rPr>
              <w:rFonts w:cstheme="minorBidi"/>
              <w:noProof/>
              <w:lang w:val="en-AU" w:eastAsia="en-AU"/>
            </w:rPr>
          </w:pPr>
          <w:hyperlink w:anchor="_Toc140237887" w:history="1">
            <w:r w:rsidR="006B40DE" w:rsidRPr="00BE062B">
              <w:rPr>
                <w:rStyle w:val="Hyperlink"/>
                <w:noProof/>
              </w:rPr>
              <w:t>Pre-Determination Call</w:t>
            </w:r>
            <w:r w:rsidR="006B40DE">
              <w:rPr>
                <w:noProof/>
                <w:webHidden/>
              </w:rPr>
              <w:tab/>
            </w:r>
            <w:r w:rsidR="006B40DE">
              <w:rPr>
                <w:noProof/>
                <w:webHidden/>
              </w:rPr>
              <w:fldChar w:fldCharType="begin"/>
            </w:r>
            <w:r w:rsidR="006B40DE">
              <w:rPr>
                <w:noProof/>
                <w:webHidden/>
              </w:rPr>
              <w:instrText xml:space="preserve"> PAGEREF _Toc140237887 \h </w:instrText>
            </w:r>
            <w:r w:rsidR="006B40DE">
              <w:rPr>
                <w:noProof/>
                <w:webHidden/>
              </w:rPr>
            </w:r>
            <w:r w:rsidR="006B40DE">
              <w:rPr>
                <w:noProof/>
                <w:webHidden/>
              </w:rPr>
              <w:fldChar w:fldCharType="separate"/>
            </w:r>
            <w:r w:rsidR="006B40DE">
              <w:rPr>
                <w:noProof/>
                <w:webHidden/>
              </w:rPr>
              <w:t>5</w:t>
            </w:r>
            <w:r w:rsidR="006B40DE">
              <w:rPr>
                <w:noProof/>
                <w:webHidden/>
              </w:rPr>
              <w:fldChar w:fldCharType="end"/>
            </w:r>
          </w:hyperlink>
        </w:p>
        <w:p w14:paraId="2D77CBAC" w14:textId="7931BA24" w:rsidR="006B40DE" w:rsidRDefault="005925DF">
          <w:pPr>
            <w:pStyle w:val="TOC3"/>
            <w:tabs>
              <w:tab w:val="right" w:leader="dot" w:pos="9016"/>
            </w:tabs>
            <w:rPr>
              <w:rFonts w:cstheme="minorBidi"/>
              <w:noProof/>
              <w:lang w:val="en-AU" w:eastAsia="en-AU"/>
            </w:rPr>
          </w:pPr>
          <w:hyperlink w:anchor="_Toc140237888" w:history="1">
            <w:r w:rsidR="006B40DE" w:rsidRPr="00BE062B">
              <w:rPr>
                <w:rStyle w:val="Hyperlink"/>
                <w:rFonts w:eastAsia="Times New Roman"/>
                <w:noProof/>
                <w:lang w:eastAsia="en-AU"/>
              </w:rPr>
              <w:t>28 Day Reminder Letter</w:t>
            </w:r>
            <w:r w:rsidR="006B40DE">
              <w:rPr>
                <w:noProof/>
                <w:webHidden/>
              </w:rPr>
              <w:tab/>
            </w:r>
            <w:r w:rsidR="006B40DE">
              <w:rPr>
                <w:noProof/>
                <w:webHidden/>
              </w:rPr>
              <w:fldChar w:fldCharType="begin"/>
            </w:r>
            <w:r w:rsidR="006B40DE">
              <w:rPr>
                <w:noProof/>
                <w:webHidden/>
              </w:rPr>
              <w:instrText xml:space="preserve"> PAGEREF _Toc140237888 \h </w:instrText>
            </w:r>
            <w:r w:rsidR="006B40DE">
              <w:rPr>
                <w:noProof/>
                <w:webHidden/>
              </w:rPr>
            </w:r>
            <w:r w:rsidR="006B40DE">
              <w:rPr>
                <w:noProof/>
                <w:webHidden/>
              </w:rPr>
              <w:fldChar w:fldCharType="separate"/>
            </w:r>
            <w:r w:rsidR="006B40DE">
              <w:rPr>
                <w:noProof/>
                <w:webHidden/>
              </w:rPr>
              <w:t>5</w:t>
            </w:r>
            <w:r w:rsidR="006B40DE">
              <w:rPr>
                <w:noProof/>
                <w:webHidden/>
              </w:rPr>
              <w:fldChar w:fldCharType="end"/>
            </w:r>
          </w:hyperlink>
        </w:p>
        <w:p w14:paraId="67CD470B" w14:textId="791C4851" w:rsidR="006B40DE" w:rsidRDefault="005925DF">
          <w:pPr>
            <w:pStyle w:val="TOC3"/>
            <w:tabs>
              <w:tab w:val="right" w:leader="dot" w:pos="9016"/>
            </w:tabs>
            <w:rPr>
              <w:rFonts w:cstheme="minorBidi"/>
              <w:noProof/>
              <w:lang w:val="en-AU" w:eastAsia="en-AU"/>
            </w:rPr>
          </w:pPr>
          <w:hyperlink w:anchor="_Toc140237889" w:history="1">
            <w:r w:rsidR="006B40DE" w:rsidRPr="00BE062B">
              <w:rPr>
                <w:rStyle w:val="Hyperlink"/>
                <w:noProof/>
              </w:rPr>
              <w:t>Needs Assessment</w:t>
            </w:r>
            <w:r w:rsidR="006B40DE">
              <w:rPr>
                <w:noProof/>
                <w:webHidden/>
              </w:rPr>
              <w:tab/>
            </w:r>
            <w:r w:rsidR="006B40DE">
              <w:rPr>
                <w:noProof/>
                <w:webHidden/>
              </w:rPr>
              <w:fldChar w:fldCharType="begin"/>
            </w:r>
            <w:r w:rsidR="006B40DE">
              <w:rPr>
                <w:noProof/>
                <w:webHidden/>
              </w:rPr>
              <w:instrText xml:space="preserve"> PAGEREF _Toc140237889 \h </w:instrText>
            </w:r>
            <w:r w:rsidR="006B40DE">
              <w:rPr>
                <w:noProof/>
                <w:webHidden/>
              </w:rPr>
            </w:r>
            <w:r w:rsidR="006B40DE">
              <w:rPr>
                <w:noProof/>
                <w:webHidden/>
              </w:rPr>
              <w:fldChar w:fldCharType="separate"/>
            </w:r>
            <w:r w:rsidR="006B40DE">
              <w:rPr>
                <w:noProof/>
                <w:webHidden/>
              </w:rPr>
              <w:t>6</w:t>
            </w:r>
            <w:r w:rsidR="006B40DE">
              <w:rPr>
                <w:noProof/>
                <w:webHidden/>
              </w:rPr>
              <w:fldChar w:fldCharType="end"/>
            </w:r>
          </w:hyperlink>
        </w:p>
        <w:p w14:paraId="492B6EBA" w14:textId="68848153" w:rsidR="006B40DE" w:rsidRDefault="005925DF">
          <w:pPr>
            <w:pStyle w:val="TOC1"/>
            <w:tabs>
              <w:tab w:val="right" w:leader="dot" w:pos="9016"/>
            </w:tabs>
            <w:rPr>
              <w:rFonts w:cstheme="minorBidi"/>
              <w:noProof/>
              <w:lang w:val="en-AU" w:eastAsia="en-AU"/>
            </w:rPr>
          </w:pPr>
          <w:hyperlink w:anchor="_Toc140237890" w:history="1">
            <w:r w:rsidR="006B40DE" w:rsidRPr="00BE062B">
              <w:rPr>
                <w:rStyle w:val="Hyperlink"/>
                <w:b/>
                <w:noProof/>
              </w:rPr>
              <w:t>Related Policies &amp; Procedural Guidance</w:t>
            </w:r>
            <w:r w:rsidR="006B40DE">
              <w:rPr>
                <w:noProof/>
                <w:webHidden/>
              </w:rPr>
              <w:tab/>
            </w:r>
            <w:r w:rsidR="006B40DE">
              <w:rPr>
                <w:noProof/>
                <w:webHidden/>
              </w:rPr>
              <w:fldChar w:fldCharType="begin"/>
            </w:r>
            <w:r w:rsidR="006B40DE">
              <w:rPr>
                <w:noProof/>
                <w:webHidden/>
              </w:rPr>
              <w:instrText xml:space="preserve"> PAGEREF _Toc140237890 \h </w:instrText>
            </w:r>
            <w:r w:rsidR="006B40DE">
              <w:rPr>
                <w:noProof/>
                <w:webHidden/>
              </w:rPr>
            </w:r>
            <w:r w:rsidR="006B40DE">
              <w:rPr>
                <w:noProof/>
                <w:webHidden/>
              </w:rPr>
              <w:fldChar w:fldCharType="separate"/>
            </w:r>
            <w:r w:rsidR="006B40DE">
              <w:rPr>
                <w:noProof/>
                <w:webHidden/>
              </w:rPr>
              <w:t>7</w:t>
            </w:r>
            <w:r w:rsidR="006B40DE">
              <w:rPr>
                <w:noProof/>
                <w:webHidden/>
              </w:rPr>
              <w:fldChar w:fldCharType="end"/>
            </w:r>
          </w:hyperlink>
        </w:p>
        <w:p w14:paraId="30DDAF49" w14:textId="561BF639" w:rsidR="00877BA5" w:rsidRDefault="00877BA5">
          <w:r w:rsidRPr="00877BA5">
            <w:rPr>
              <w:b/>
              <w:bCs/>
              <w:noProof/>
              <w:sz w:val="24"/>
              <w:szCs w:val="24"/>
            </w:rPr>
            <w:fldChar w:fldCharType="end"/>
          </w:r>
        </w:p>
      </w:sdtContent>
    </w:sdt>
    <w:p w14:paraId="439A53EB" w14:textId="77777777" w:rsidR="00877BA5" w:rsidRDefault="00877BA5" w:rsidP="00877BA5">
      <w:pPr>
        <w:rPr>
          <w:rFonts w:eastAsia="Times New Roman" w:cstheme="minorHAnsi"/>
          <w:b/>
          <w:sz w:val="28"/>
          <w:u w:val="single"/>
          <w:lang w:eastAsia="en-AU"/>
        </w:rPr>
      </w:pPr>
    </w:p>
    <w:p w14:paraId="12923464" w14:textId="77777777" w:rsidR="00FD4BF6" w:rsidRDefault="00FD4BF6" w:rsidP="00FD4BF6">
      <w:pPr>
        <w:pStyle w:val="Heading3"/>
      </w:pPr>
      <w:bookmarkStart w:id="2" w:name="_Toc138235589"/>
      <w:bookmarkStart w:id="3" w:name="_Toc140237875"/>
      <w:r>
        <w:t>Version Control</w:t>
      </w:r>
      <w:bookmarkEnd w:id="2"/>
      <w:bookmarkEnd w:id="3"/>
    </w:p>
    <w:p w14:paraId="0DF0A7E3" w14:textId="77777777" w:rsidR="00FD4BF6" w:rsidRPr="0094415E" w:rsidRDefault="00FD4BF6" w:rsidP="00FD4BF6">
      <w:pPr>
        <w:pStyle w:val="NoSpacing"/>
      </w:pPr>
    </w:p>
    <w:tbl>
      <w:tblPr>
        <w:tblStyle w:val="TableGrid"/>
        <w:tblW w:w="0" w:type="auto"/>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none" w:sz="0" w:space="0" w:color="auto"/>
          <w:insideV w:val="none" w:sz="0" w:space="0" w:color="auto"/>
        </w:tblBorders>
        <w:tblLook w:val="04A0" w:firstRow="1" w:lastRow="0" w:firstColumn="1" w:lastColumn="0" w:noHBand="0" w:noVBand="1"/>
      </w:tblPr>
      <w:tblGrid>
        <w:gridCol w:w="2249"/>
        <w:gridCol w:w="2131"/>
        <w:gridCol w:w="2687"/>
        <w:gridCol w:w="1929"/>
      </w:tblGrid>
      <w:tr w:rsidR="00F06485" w14:paraId="00B21DB9" w14:textId="77777777" w:rsidTr="00F06485">
        <w:tc>
          <w:tcPr>
            <w:tcW w:w="2249" w:type="dxa"/>
            <w:shd w:val="clear" w:color="auto" w:fill="BDD6EE" w:themeFill="accent1" w:themeFillTint="66"/>
          </w:tcPr>
          <w:p w14:paraId="646574D9" w14:textId="77777777" w:rsidR="00FD4BF6" w:rsidRPr="0008380E" w:rsidRDefault="00FD4BF6" w:rsidP="00F06485">
            <w:pPr>
              <w:pStyle w:val="NoSpacing"/>
              <w:rPr>
                <w:rFonts w:eastAsiaTheme="majorEastAsia" w:cstheme="minorHAnsi"/>
                <w:b/>
              </w:rPr>
            </w:pPr>
            <w:r w:rsidRPr="0008380E">
              <w:rPr>
                <w:rFonts w:eastAsiaTheme="majorEastAsia" w:cstheme="minorHAnsi"/>
                <w:b/>
              </w:rPr>
              <w:t>Date of Change</w:t>
            </w:r>
          </w:p>
        </w:tc>
        <w:tc>
          <w:tcPr>
            <w:tcW w:w="2131" w:type="dxa"/>
            <w:shd w:val="clear" w:color="auto" w:fill="BDD6EE" w:themeFill="accent1" w:themeFillTint="66"/>
          </w:tcPr>
          <w:p w14:paraId="23408A51" w14:textId="77777777" w:rsidR="00FD4BF6" w:rsidRPr="0008380E" w:rsidRDefault="00FD4BF6" w:rsidP="00F06485">
            <w:pPr>
              <w:pStyle w:val="NoSpacing"/>
              <w:rPr>
                <w:rFonts w:eastAsiaTheme="majorEastAsia" w:cstheme="minorHAnsi"/>
                <w:b/>
              </w:rPr>
            </w:pPr>
            <w:r w:rsidRPr="0008380E">
              <w:rPr>
                <w:rFonts w:eastAsiaTheme="majorEastAsia" w:cstheme="minorHAnsi"/>
                <w:b/>
              </w:rPr>
              <w:t>Summary of Changes</w:t>
            </w:r>
          </w:p>
        </w:tc>
        <w:tc>
          <w:tcPr>
            <w:tcW w:w="2687" w:type="dxa"/>
            <w:shd w:val="clear" w:color="auto" w:fill="BDD6EE" w:themeFill="accent1" w:themeFillTint="66"/>
          </w:tcPr>
          <w:p w14:paraId="7E0704F6" w14:textId="77777777" w:rsidR="00FD4BF6" w:rsidRPr="0008380E" w:rsidRDefault="00FD4BF6" w:rsidP="00F06485">
            <w:pPr>
              <w:pStyle w:val="NoSpacing"/>
              <w:rPr>
                <w:rFonts w:eastAsiaTheme="majorEastAsia" w:cstheme="minorHAnsi"/>
                <w:b/>
              </w:rPr>
            </w:pPr>
            <w:r w:rsidRPr="0008380E">
              <w:rPr>
                <w:rFonts w:eastAsiaTheme="majorEastAsia" w:cstheme="minorHAnsi"/>
                <w:b/>
              </w:rPr>
              <w:t>Reason</w:t>
            </w:r>
          </w:p>
        </w:tc>
        <w:tc>
          <w:tcPr>
            <w:tcW w:w="1929" w:type="dxa"/>
            <w:shd w:val="clear" w:color="auto" w:fill="BDD6EE" w:themeFill="accent1" w:themeFillTint="66"/>
          </w:tcPr>
          <w:p w14:paraId="6E5652C4" w14:textId="77777777" w:rsidR="00FD4BF6" w:rsidRPr="0008380E" w:rsidRDefault="00F06485" w:rsidP="00F06485">
            <w:pPr>
              <w:pStyle w:val="NoSpacing"/>
              <w:rPr>
                <w:rFonts w:eastAsiaTheme="majorEastAsia" w:cstheme="minorHAnsi"/>
                <w:b/>
              </w:rPr>
            </w:pPr>
            <w:r>
              <w:rPr>
                <w:rFonts w:eastAsiaTheme="majorEastAsia" w:cstheme="minorHAnsi"/>
                <w:b/>
              </w:rPr>
              <w:t xml:space="preserve"> </w:t>
            </w:r>
            <w:r w:rsidR="00FD4BF6" w:rsidRPr="0008380E">
              <w:rPr>
                <w:rFonts w:eastAsiaTheme="majorEastAsia" w:cstheme="minorHAnsi"/>
                <w:b/>
              </w:rPr>
              <w:t>Approved by</w:t>
            </w:r>
          </w:p>
        </w:tc>
      </w:tr>
    </w:tbl>
    <w:p w14:paraId="4C2AE0B4" w14:textId="77777777" w:rsidR="00FD4BF6" w:rsidRDefault="00FD4BF6" w:rsidP="00FD4BF6">
      <w:pPr>
        <w:pStyle w:val="NoSpacing"/>
        <w:rPr>
          <w:lang w:eastAsia="en-AU"/>
        </w:rPr>
      </w:pPr>
    </w:p>
    <w:tbl>
      <w:tblPr>
        <w:tblStyle w:val="TableGrid"/>
        <w:tblW w:w="0" w:type="auto"/>
        <w:tblBorders>
          <w:top w:val="single" w:sz="2" w:space="0" w:color="2E74B5" w:themeColor="accent1" w:themeShade="BF"/>
          <w:left w:val="single" w:sz="4" w:space="0" w:color="2E74B5" w:themeColor="accent1" w:themeShade="BF"/>
          <w:bottom w:val="single" w:sz="2" w:space="0" w:color="2E74B5" w:themeColor="accent1" w:themeShade="BF"/>
          <w:right w:val="single" w:sz="2"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249"/>
        <w:gridCol w:w="2131"/>
        <w:gridCol w:w="2687"/>
        <w:gridCol w:w="1929"/>
      </w:tblGrid>
      <w:tr w:rsidR="00FD4BF6" w:rsidRPr="0094415E" w14:paraId="22EA974C" w14:textId="77777777" w:rsidTr="00EF4AB7">
        <w:tc>
          <w:tcPr>
            <w:tcW w:w="2249" w:type="dxa"/>
            <w:shd w:val="clear" w:color="auto" w:fill="FFFFFF" w:themeFill="background1"/>
          </w:tcPr>
          <w:p w14:paraId="23FB3076" w14:textId="6E8E3A9D" w:rsidR="00FD4BF6" w:rsidRPr="0094415E" w:rsidRDefault="00435F5A" w:rsidP="00EF4AB7">
            <w:pPr>
              <w:pStyle w:val="NoSpacing"/>
              <w:rPr>
                <w:rFonts w:eastAsiaTheme="majorEastAsia" w:cstheme="minorHAnsi"/>
                <w:sz w:val="20"/>
                <w:szCs w:val="20"/>
              </w:rPr>
            </w:pPr>
            <w:r w:rsidRPr="00435F5A">
              <w:rPr>
                <w:rFonts w:eastAsiaTheme="majorEastAsia" w:cstheme="minorHAnsi"/>
                <w:sz w:val="20"/>
                <w:szCs w:val="20"/>
              </w:rPr>
              <w:t xml:space="preserve">July </w:t>
            </w:r>
            <w:r w:rsidR="00FD4BF6" w:rsidRPr="00435F5A">
              <w:rPr>
                <w:rFonts w:eastAsiaTheme="majorEastAsia" w:cstheme="minorHAnsi"/>
                <w:sz w:val="20"/>
                <w:szCs w:val="20"/>
              </w:rPr>
              <w:t>2023</w:t>
            </w:r>
          </w:p>
          <w:p w14:paraId="767EE05A" w14:textId="77777777" w:rsidR="00FD4BF6" w:rsidRPr="0094415E" w:rsidRDefault="00FD4BF6" w:rsidP="00EF4AB7">
            <w:pPr>
              <w:pStyle w:val="NoSpacing"/>
              <w:rPr>
                <w:rFonts w:eastAsiaTheme="majorEastAsia" w:cstheme="minorHAnsi"/>
                <w:sz w:val="20"/>
                <w:szCs w:val="20"/>
              </w:rPr>
            </w:pPr>
          </w:p>
        </w:tc>
        <w:tc>
          <w:tcPr>
            <w:tcW w:w="2131" w:type="dxa"/>
            <w:shd w:val="clear" w:color="auto" w:fill="FFFFFF" w:themeFill="background1"/>
          </w:tcPr>
          <w:p w14:paraId="7C71D374" w14:textId="31CA66A6" w:rsidR="00FD4BF6" w:rsidRPr="0094415E" w:rsidRDefault="00FD4BF6" w:rsidP="00EF4AB7">
            <w:pPr>
              <w:pStyle w:val="NoSpacing"/>
              <w:rPr>
                <w:rFonts w:eastAsiaTheme="majorEastAsia" w:cstheme="minorHAnsi"/>
                <w:sz w:val="20"/>
                <w:szCs w:val="20"/>
              </w:rPr>
            </w:pPr>
            <w:r w:rsidRPr="0094415E">
              <w:rPr>
                <w:rFonts w:eastAsiaTheme="majorEastAsia" w:cstheme="minorHAnsi"/>
                <w:sz w:val="20"/>
                <w:szCs w:val="20"/>
              </w:rPr>
              <w:t>New Policy</w:t>
            </w:r>
            <w:r w:rsidR="001A6BF2">
              <w:rPr>
                <w:rFonts w:eastAsiaTheme="majorEastAsia" w:cstheme="minorHAnsi"/>
                <w:sz w:val="20"/>
                <w:szCs w:val="20"/>
              </w:rPr>
              <w:t xml:space="preserve"> – to replace Open Door Policy 2013</w:t>
            </w:r>
          </w:p>
          <w:p w14:paraId="35CA0599" w14:textId="77777777" w:rsidR="00FD4BF6" w:rsidRPr="0094415E" w:rsidRDefault="00FD4BF6" w:rsidP="00EF4AB7">
            <w:pPr>
              <w:pStyle w:val="NoSpacing"/>
              <w:rPr>
                <w:rFonts w:eastAsiaTheme="majorEastAsia" w:cstheme="minorHAnsi"/>
                <w:sz w:val="20"/>
                <w:szCs w:val="20"/>
              </w:rPr>
            </w:pPr>
          </w:p>
        </w:tc>
        <w:tc>
          <w:tcPr>
            <w:tcW w:w="2687" w:type="dxa"/>
            <w:shd w:val="clear" w:color="auto" w:fill="FFFFFF" w:themeFill="background1"/>
          </w:tcPr>
          <w:p w14:paraId="22458D2F" w14:textId="77777777" w:rsidR="00FD4BF6" w:rsidRPr="0094415E" w:rsidRDefault="00FD4BF6" w:rsidP="00EF4AB7">
            <w:pPr>
              <w:pStyle w:val="NoSpacing"/>
              <w:rPr>
                <w:rFonts w:eastAsiaTheme="majorEastAsia" w:cstheme="minorHAnsi"/>
                <w:sz w:val="20"/>
                <w:szCs w:val="20"/>
              </w:rPr>
            </w:pPr>
            <w:r w:rsidRPr="0094415E">
              <w:rPr>
                <w:rFonts w:eastAsiaTheme="majorEastAsia" w:cstheme="minorHAnsi"/>
                <w:sz w:val="20"/>
                <w:szCs w:val="20"/>
              </w:rPr>
              <w:t>To outline the expected frequency and mode of contact DVA expects its staff to have with clients during the DVA compensation claims process.</w:t>
            </w:r>
          </w:p>
        </w:tc>
        <w:tc>
          <w:tcPr>
            <w:tcW w:w="1929" w:type="dxa"/>
            <w:shd w:val="clear" w:color="auto" w:fill="FFFFFF" w:themeFill="background1"/>
          </w:tcPr>
          <w:p w14:paraId="61460C4E" w14:textId="0612D5D6" w:rsidR="00FD4BF6" w:rsidRPr="0094415E" w:rsidRDefault="001A6BF2" w:rsidP="00EF4AB7">
            <w:pPr>
              <w:pStyle w:val="NoSpacing"/>
              <w:rPr>
                <w:rFonts w:eastAsiaTheme="majorEastAsia" w:cstheme="minorHAnsi"/>
                <w:sz w:val="20"/>
                <w:szCs w:val="20"/>
              </w:rPr>
            </w:pPr>
            <w:r>
              <w:rPr>
                <w:rFonts w:eastAsiaTheme="majorEastAsia" w:cstheme="minorHAnsi"/>
                <w:sz w:val="20"/>
                <w:szCs w:val="20"/>
              </w:rPr>
              <w:t>Deputy Secretary, Enabling &amp; Commemorations Group</w:t>
            </w:r>
          </w:p>
          <w:p w14:paraId="5752EA12" w14:textId="77777777" w:rsidR="00FD4BF6" w:rsidRPr="0094415E" w:rsidRDefault="00FD4BF6" w:rsidP="00EF4AB7">
            <w:pPr>
              <w:pStyle w:val="NoSpacing"/>
              <w:rPr>
                <w:rFonts w:eastAsiaTheme="majorEastAsia" w:cstheme="minorHAnsi"/>
                <w:sz w:val="20"/>
                <w:szCs w:val="20"/>
              </w:rPr>
            </w:pPr>
          </w:p>
        </w:tc>
      </w:tr>
    </w:tbl>
    <w:p w14:paraId="1CBB0186" w14:textId="77777777" w:rsidR="00877BA5" w:rsidRDefault="00877BA5" w:rsidP="00DA67D8">
      <w:pPr>
        <w:tabs>
          <w:tab w:val="left" w:pos="6342"/>
          <w:tab w:val="left" w:pos="6536"/>
        </w:tabs>
        <w:rPr>
          <w:rFonts w:eastAsia="Times New Roman" w:cstheme="minorHAnsi"/>
          <w:b/>
          <w:sz w:val="28"/>
          <w:u w:val="single"/>
          <w:lang w:eastAsia="en-AU"/>
        </w:rPr>
      </w:pPr>
    </w:p>
    <w:p w14:paraId="4D362D06" w14:textId="77777777" w:rsidR="00877BA5" w:rsidRDefault="00877BA5" w:rsidP="00877BA5">
      <w:pPr>
        <w:rPr>
          <w:rFonts w:eastAsia="Times New Roman" w:cstheme="minorHAnsi"/>
          <w:b/>
          <w:sz w:val="28"/>
          <w:u w:val="single"/>
          <w:lang w:eastAsia="en-AU"/>
        </w:rPr>
      </w:pPr>
    </w:p>
    <w:p w14:paraId="326A13A0" w14:textId="77777777" w:rsidR="00877BA5" w:rsidRDefault="00877BA5" w:rsidP="00877BA5">
      <w:pPr>
        <w:rPr>
          <w:rFonts w:eastAsia="Times New Roman" w:cstheme="minorHAnsi"/>
          <w:b/>
          <w:sz w:val="28"/>
          <w:u w:val="single"/>
          <w:lang w:eastAsia="en-AU"/>
        </w:rPr>
      </w:pPr>
    </w:p>
    <w:p w14:paraId="2A7FAFCD" w14:textId="77777777" w:rsidR="004F2CAE" w:rsidRDefault="004F2CAE" w:rsidP="00877BA5">
      <w:pPr>
        <w:rPr>
          <w:rFonts w:eastAsia="Times New Roman" w:cstheme="minorHAnsi"/>
          <w:b/>
          <w:sz w:val="28"/>
          <w:u w:val="single"/>
          <w:lang w:eastAsia="en-AU"/>
        </w:rPr>
      </w:pPr>
    </w:p>
    <w:p w14:paraId="7F881AAB" w14:textId="77777777" w:rsidR="004F2CAE" w:rsidRDefault="004F2CAE" w:rsidP="00877BA5">
      <w:pPr>
        <w:rPr>
          <w:rFonts w:eastAsia="Times New Roman" w:cstheme="minorHAnsi"/>
          <w:b/>
          <w:sz w:val="28"/>
          <w:u w:val="single"/>
          <w:lang w:eastAsia="en-AU"/>
        </w:rPr>
      </w:pPr>
    </w:p>
    <w:p w14:paraId="2374121A" w14:textId="77777777" w:rsidR="00676FA2" w:rsidRPr="00DA67D8" w:rsidRDefault="00877BA5" w:rsidP="00DA67D8">
      <w:pPr>
        <w:pStyle w:val="Heading1"/>
        <w:rPr>
          <w:b/>
        </w:rPr>
      </w:pPr>
      <w:bookmarkStart w:id="4" w:name="_Toc140237876"/>
      <w:r w:rsidRPr="00DA67D8">
        <w:rPr>
          <w:b/>
        </w:rPr>
        <w:lastRenderedPageBreak/>
        <w:t>Introduction</w:t>
      </w:r>
      <w:r w:rsidR="00676FA2" w:rsidRPr="00DA67D8">
        <w:rPr>
          <w:b/>
        </w:rPr>
        <w:t>:</w:t>
      </w:r>
      <w:bookmarkEnd w:id="4"/>
    </w:p>
    <w:p w14:paraId="36E72C37" w14:textId="77777777" w:rsidR="0048351B" w:rsidRDefault="0048351B" w:rsidP="00644964">
      <w:pPr>
        <w:pStyle w:val="Heading2"/>
        <w:rPr>
          <w:rFonts w:eastAsia="Times New Roman"/>
          <w:lang w:eastAsia="en-AU"/>
        </w:rPr>
      </w:pPr>
    </w:p>
    <w:p w14:paraId="5D97F95E" w14:textId="7D47B0C6" w:rsidR="00867E51" w:rsidRPr="00867E51" w:rsidRDefault="00867E51" w:rsidP="006B40DE">
      <w:pPr>
        <w:pStyle w:val="Heading2"/>
        <w:spacing w:after="120"/>
      </w:pPr>
      <w:bookmarkStart w:id="5" w:name="_Toc140237877"/>
      <w:r>
        <w:t>Purpose</w:t>
      </w:r>
      <w:bookmarkEnd w:id="5"/>
    </w:p>
    <w:p w14:paraId="2A467E9D" w14:textId="77777777" w:rsidR="00F7793A" w:rsidRPr="00EC3F2D" w:rsidRDefault="00F7793A" w:rsidP="00F7793A">
      <w:pPr>
        <w:spacing w:after="240" w:line="240" w:lineRule="auto"/>
        <w:rPr>
          <w:rFonts w:eastAsia="Times New Roman" w:cstheme="minorHAnsi"/>
          <w:lang w:eastAsia="en-AU"/>
        </w:rPr>
      </w:pPr>
      <w:r w:rsidRPr="00EC3F2D">
        <w:rPr>
          <w:rFonts w:eastAsia="Times New Roman" w:cstheme="minorHAnsi"/>
          <w:lang w:eastAsia="en-AU"/>
        </w:rPr>
        <w:t xml:space="preserve">The purpose of this instruction is to </w:t>
      </w:r>
      <w:r>
        <w:rPr>
          <w:rFonts w:eastAsia="Times New Roman" w:cstheme="minorHAnsi"/>
          <w:lang w:eastAsia="en-AU"/>
        </w:rPr>
        <w:t xml:space="preserve">provide advice around the expected communication </w:t>
      </w:r>
      <w:r w:rsidR="00C26C1A">
        <w:rPr>
          <w:rFonts w:eastAsia="Times New Roman" w:cstheme="minorHAnsi"/>
          <w:lang w:eastAsia="en-AU"/>
        </w:rPr>
        <w:t>standards</w:t>
      </w:r>
      <w:r>
        <w:rPr>
          <w:rFonts w:eastAsia="Times New Roman" w:cstheme="minorHAnsi"/>
          <w:lang w:eastAsia="en-AU"/>
        </w:rPr>
        <w:t xml:space="preserve"> for </w:t>
      </w:r>
      <w:r w:rsidR="005D00F0">
        <w:rPr>
          <w:rFonts w:eastAsia="Times New Roman" w:cstheme="minorHAnsi"/>
          <w:lang w:eastAsia="en-AU"/>
        </w:rPr>
        <w:t xml:space="preserve">staff </w:t>
      </w:r>
      <w:r w:rsidR="00C26C1A">
        <w:rPr>
          <w:rFonts w:eastAsia="Times New Roman" w:cstheme="minorHAnsi"/>
          <w:lang w:eastAsia="en-AU"/>
        </w:rPr>
        <w:t>i</w:t>
      </w:r>
      <w:r>
        <w:rPr>
          <w:rFonts w:eastAsia="Times New Roman" w:cstheme="minorHAnsi"/>
          <w:lang w:eastAsia="en-AU"/>
        </w:rPr>
        <w:t>n the Client Benefits Division (CBD),</w:t>
      </w:r>
      <w:r w:rsidRPr="00EC3F2D">
        <w:rPr>
          <w:rFonts w:eastAsia="Times New Roman" w:cstheme="minorHAnsi"/>
          <w:lang w:eastAsia="en-AU"/>
        </w:rPr>
        <w:t xml:space="preserve"> </w:t>
      </w:r>
      <w:r w:rsidR="00C26C1A">
        <w:rPr>
          <w:rFonts w:eastAsia="Times New Roman" w:cstheme="minorHAnsi"/>
          <w:lang w:eastAsia="en-AU"/>
        </w:rPr>
        <w:t xml:space="preserve">to help guide client expectations and </w:t>
      </w:r>
      <w:r w:rsidRPr="00EC3F2D">
        <w:rPr>
          <w:rFonts w:eastAsia="Times New Roman" w:cstheme="minorHAnsi"/>
          <w:lang w:eastAsia="en-AU"/>
        </w:rPr>
        <w:t xml:space="preserve">to deliver </w:t>
      </w:r>
      <w:r>
        <w:rPr>
          <w:rFonts w:eastAsia="Times New Roman" w:cstheme="minorHAnsi"/>
          <w:lang w:eastAsia="en-AU"/>
        </w:rPr>
        <w:t>minimum</w:t>
      </w:r>
      <w:r w:rsidRPr="00EC3F2D">
        <w:rPr>
          <w:rFonts w:eastAsia="Times New Roman" w:cstheme="minorHAnsi"/>
          <w:lang w:eastAsia="en-AU"/>
        </w:rPr>
        <w:t xml:space="preserve"> client service </w:t>
      </w:r>
      <w:r>
        <w:rPr>
          <w:rFonts w:eastAsia="Times New Roman" w:cstheme="minorHAnsi"/>
          <w:lang w:eastAsia="en-AU"/>
        </w:rPr>
        <w:t>standards during the</w:t>
      </w:r>
      <w:r w:rsidRPr="00676FA2">
        <w:rPr>
          <w:rFonts w:eastAsia="Times New Roman" w:cstheme="minorHAnsi"/>
          <w:lang w:eastAsia="en-AU"/>
        </w:rPr>
        <w:t xml:space="preserve"> claim process. </w:t>
      </w:r>
    </w:p>
    <w:p w14:paraId="6D74235A" w14:textId="77777777" w:rsidR="00C26C1A" w:rsidRDefault="00F7793A" w:rsidP="00F7793A">
      <w:pPr>
        <w:spacing w:after="240" w:line="240" w:lineRule="auto"/>
        <w:rPr>
          <w:rFonts w:eastAsia="Times New Roman" w:cstheme="minorHAnsi"/>
          <w:lang w:eastAsia="en-AU"/>
        </w:rPr>
      </w:pPr>
      <w:r>
        <w:rPr>
          <w:rFonts w:eastAsia="Times New Roman" w:cstheme="minorHAnsi"/>
          <w:lang w:eastAsia="en-AU"/>
        </w:rPr>
        <w:t>DVA recognises that some claimants may</w:t>
      </w:r>
      <w:r w:rsidR="00BF5C2E">
        <w:rPr>
          <w:rFonts w:eastAsia="Times New Roman" w:cstheme="minorHAnsi"/>
          <w:lang w:eastAsia="en-AU"/>
        </w:rPr>
        <w:t xml:space="preserve"> experience feelings of </w:t>
      </w:r>
      <w:r w:rsidRPr="00EC3F2D">
        <w:rPr>
          <w:rFonts w:eastAsia="Times New Roman" w:cstheme="minorHAnsi"/>
          <w:lang w:eastAsia="en-AU"/>
        </w:rPr>
        <w:t>uncertainty during a claim for compensation</w:t>
      </w:r>
      <w:r w:rsidR="00BF5C2E">
        <w:rPr>
          <w:rFonts w:eastAsia="Times New Roman" w:cstheme="minorHAnsi"/>
          <w:lang w:eastAsia="en-AU"/>
        </w:rPr>
        <w:t xml:space="preserve">. </w:t>
      </w:r>
      <w:r>
        <w:rPr>
          <w:rFonts w:eastAsia="Times New Roman" w:cstheme="minorHAnsi"/>
          <w:lang w:eastAsia="en-AU"/>
        </w:rPr>
        <w:t>Regular c</w:t>
      </w:r>
      <w:r w:rsidRPr="00EC3F2D">
        <w:rPr>
          <w:rFonts w:eastAsia="Times New Roman" w:cstheme="minorHAnsi"/>
          <w:lang w:eastAsia="en-AU"/>
        </w:rPr>
        <w:t xml:space="preserve">ommunication </w:t>
      </w:r>
      <w:r w:rsidRPr="00676FA2">
        <w:rPr>
          <w:rFonts w:eastAsia="Times New Roman" w:cstheme="minorHAnsi"/>
          <w:lang w:eastAsia="en-AU"/>
        </w:rPr>
        <w:t>throughout the claims</w:t>
      </w:r>
      <w:r w:rsidRPr="00EC3F2D">
        <w:rPr>
          <w:rFonts w:eastAsia="Times New Roman" w:cstheme="minorHAnsi"/>
          <w:lang w:eastAsia="en-AU"/>
        </w:rPr>
        <w:t xml:space="preserve"> process can alleviate a significant amount of concern</w:t>
      </w:r>
      <w:r w:rsidR="00EF2D07">
        <w:rPr>
          <w:rFonts w:eastAsia="Times New Roman" w:cstheme="minorHAnsi"/>
          <w:lang w:eastAsia="en-AU"/>
        </w:rPr>
        <w:t xml:space="preserve"> and</w:t>
      </w:r>
      <w:r w:rsidRPr="00EC3F2D">
        <w:rPr>
          <w:rFonts w:eastAsia="Times New Roman" w:cstheme="minorHAnsi"/>
          <w:lang w:eastAsia="en-AU"/>
        </w:rPr>
        <w:t xml:space="preserve"> worry</w:t>
      </w:r>
      <w:r>
        <w:rPr>
          <w:rFonts w:eastAsia="Times New Roman" w:cstheme="minorHAnsi"/>
          <w:lang w:eastAsia="en-AU"/>
        </w:rPr>
        <w:t>, and</w:t>
      </w:r>
      <w:r w:rsidR="00EF2D07">
        <w:rPr>
          <w:rFonts w:eastAsia="Times New Roman" w:cstheme="minorHAnsi"/>
          <w:lang w:eastAsia="en-AU"/>
        </w:rPr>
        <w:t xml:space="preserve"> help to</w:t>
      </w:r>
      <w:r>
        <w:rPr>
          <w:rFonts w:eastAsia="Times New Roman" w:cstheme="minorHAnsi"/>
          <w:lang w:eastAsia="en-AU"/>
        </w:rPr>
        <w:t xml:space="preserve"> improve the</w:t>
      </w:r>
      <w:r w:rsidR="005D00F0">
        <w:rPr>
          <w:rFonts w:eastAsia="Times New Roman" w:cstheme="minorHAnsi"/>
          <w:lang w:eastAsia="en-AU"/>
        </w:rPr>
        <w:t>ir</w:t>
      </w:r>
      <w:r w:rsidR="005A5D3B">
        <w:rPr>
          <w:rFonts w:eastAsia="Times New Roman" w:cstheme="minorHAnsi"/>
          <w:lang w:eastAsia="en-AU"/>
        </w:rPr>
        <w:t xml:space="preserve"> </w:t>
      </w:r>
      <w:r>
        <w:rPr>
          <w:rFonts w:eastAsia="Times New Roman" w:cstheme="minorHAnsi"/>
          <w:lang w:eastAsia="en-AU"/>
        </w:rPr>
        <w:t>DVA</w:t>
      </w:r>
      <w:r w:rsidR="00C26C1A">
        <w:rPr>
          <w:rFonts w:eastAsia="Times New Roman" w:cstheme="minorHAnsi"/>
          <w:lang w:eastAsia="en-AU"/>
        </w:rPr>
        <w:t xml:space="preserve"> experience</w:t>
      </w:r>
      <w:r w:rsidRPr="00EC3F2D">
        <w:rPr>
          <w:rFonts w:eastAsia="Times New Roman" w:cstheme="minorHAnsi"/>
          <w:lang w:eastAsia="en-AU"/>
        </w:rPr>
        <w:t xml:space="preserve">. </w:t>
      </w:r>
    </w:p>
    <w:p w14:paraId="1B7D1721" w14:textId="77777777" w:rsidR="00C26C1A" w:rsidRDefault="00C26C1A" w:rsidP="00C26C1A">
      <w:pPr>
        <w:pStyle w:val="NoSpacing"/>
      </w:pPr>
      <w:r>
        <w:t xml:space="preserve">The CBD Communication Standards outline the frequency and mode of contact staff are expected to have with veterans during the compensation claims process.  The policy applies across all Acts and claim types and includes: </w:t>
      </w:r>
    </w:p>
    <w:p w14:paraId="28ED01F7" w14:textId="77777777" w:rsidR="00C26C1A" w:rsidRPr="00C26C1A" w:rsidRDefault="00C26C1A" w:rsidP="00C26C1A">
      <w:pPr>
        <w:pStyle w:val="NoSpacing"/>
      </w:pPr>
    </w:p>
    <w:p w14:paraId="27712451" w14:textId="77777777" w:rsidR="00C26C1A" w:rsidRDefault="00C26C1A" w:rsidP="00C26C1A">
      <w:pPr>
        <w:pStyle w:val="NoSpacing"/>
        <w:numPr>
          <w:ilvl w:val="0"/>
          <w:numId w:val="4"/>
        </w:numPr>
      </w:pPr>
      <w:r>
        <w:t xml:space="preserve">The frequency and mode of contact veterans can expect from the Department during the compensation claims process, </w:t>
      </w:r>
    </w:p>
    <w:p w14:paraId="3A8B0B1F" w14:textId="77777777" w:rsidR="003F4EE7" w:rsidRDefault="003F4EE7" w:rsidP="00C26C1A">
      <w:pPr>
        <w:pStyle w:val="NoSpacing"/>
        <w:numPr>
          <w:ilvl w:val="0"/>
          <w:numId w:val="4"/>
        </w:numPr>
      </w:pPr>
      <w:r>
        <w:t xml:space="preserve">Information </w:t>
      </w:r>
      <w:r w:rsidR="00C51BA4">
        <w:t xml:space="preserve">and expectations </w:t>
      </w:r>
      <w:r>
        <w:t xml:space="preserve">regarding </w:t>
      </w:r>
      <w:r w:rsidR="00C51BA4">
        <w:t xml:space="preserve">the 28 Day Reminder letters, Needs Assessment process, and Pre-Determination Calls. </w:t>
      </w:r>
    </w:p>
    <w:p w14:paraId="033679FC" w14:textId="77777777" w:rsidR="00C51BA4" w:rsidRDefault="00C51BA4" w:rsidP="00C51BA4">
      <w:pPr>
        <w:pStyle w:val="NoSpacing"/>
        <w:numPr>
          <w:ilvl w:val="0"/>
          <w:numId w:val="4"/>
        </w:numPr>
      </w:pPr>
      <w:r>
        <w:t>Links to related policies and procedural guidance</w:t>
      </w:r>
    </w:p>
    <w:p w14:paraId="7CFC014D" w14:textId="19A388DB" w:rsidR="00C51BA4" w:rsidRDefault="00C51BA4" w:rsidP="00DF2A4C">
      <w:pPr>
        <w:pStyle w:val="Heading2"/>
        <w:rPr>
          <w:rFonts w:asciiTheme="minorHAnsi" w:eastAsia="Times New Roman" w:hAnsiTheme="minorHAnsi" w:cstheme="minorHAnsi"/>
          <w:color w:val="auto"/>
          <w:sz w:val="22"/>
          <w:szCs w:val="22"/>
          <w:lang w:eastAsia="en-AU"/>
        </w:rPr>
      </w:pPr>
    </w:p>
    <w:p w14:paraId="6ACADDF5" w14:textId="68D7FB95" w:rsidR="00BE00A5" w:rsidRPr="00BE00A5" w:rsidRDefault="00DF2A4C" w:rsidP="006B40DE">
      <w:pPr>
        <w:pStyle w:val="Heading2"/>
        <w:spacing w:after="120"/>
      </w:pPr>
      <w:bookmarkStart w:id="6" w:name="_Toc140237878"/>
      <w:r>
        <w:t>Application</w:t>
      </w:r>
      <w:bookmarkEnd w:id="6"/>
    </w:p>
    <w:p w14:paraId="03B1EAEE" w14:textId="77777777" w:rsidR="006A1E0B" w:rsidRDefault="00DF2A4C" w:rsidP="00DF2A4C">
      <w:r>
        <w:t>This policy applies to all</w:t>
      </w:r>
      <w:r w:rsidR="00867E51">
        <w:t xml:space="preserve"> </w:t>
      </w:r>
      <w:r w:rsidR="00F7793A">
        <w:t>CBD</w:t>
      </w:r>
      <w:r w:rsidR="00867E51">
        <w:t xml:space="preserve"> </w:t>
      </w:r>
      <w:r w:rsidR="009E5AD3">
        <w:t xml:space="preserve">staff </w:t>
      </w:r>
      <w:r w:rsidR="00013EB9">
        <w:t xml:space="preserve">who process </w:t>
      </w:r>
      <w:r w:rsidR="00BE00A5">
        <w:t xml:space="preserve">compensation </w:t>
      </w:r>
      <w:r w:rsidR="00013EB9">
        <w:t>claims</w:t>
      </w:r>
      <w:r>
        <w:t xml:space="preserve">. </w:t>
      </w:r>
    </w:p>
    <w:p w14:paraId="5B8E67BA" w14:textId="77777777" w:rsidR="006A1E0B" w:rsidRDefault="006A1E0B" w:rsidP="00DA67D8">
      <w:pPr>
        <w:pStyle w:val="NoSpacing"/>
      </w:pPr>
    </w:p>
    <w:p w14:paraId="012E3E6A" w14:textId="77777777" w:rsidR="00442F30" w:rsidRDefault="006A1E0B" w:rsidP="006B40DE">
      <w:pPr>
        <w:pStyle w:val="Heading2"/>
        <w:spacing w:after="120"/>
      </w:pPr>
      <w:bookmarkStart w:id="7" w:name="_Toc140237879"/>
      <w:r>
        <w:t>Commitment</w:t>
      </w:r>
      <w:bookmarkEnd w:id="7"/>
    </w:p>
    <w:p w14:paraId="661D14F0" w14:textId="6AE62197" w:rsidR="006A1E0B" w:rsidRDefault="006A1E0B" w:rsidP="00DA67D8">
      <w:r>
        <w:t>A review of thi</w:t>
      </w:r>
      <w:r w:rsidR="00084617">
        <w:t xml:space="preserve">s policy will be conducted </w:t>
      </w:r>
      <w:r w:rsidR="004E0F2A">
        <w:t>in mid-2024</w:t>
      </w:r>
      <w:r w:rsidR="00644FA8">
        <w:t>.</w:t>
      </w:r>
      <w:r w:rsidR="00084617">
        <w:t xml:space="preserve"> </w:t>
      </w:r>
      <w:r w:rsidR="006B40DE">
        <w:br/>
      </w:r>
    </w:p>
    <w:p w14:paraId="04B93061" w14:textId="0F40028D" w:rsidR="00872DE2" w:rsidRPr="006B40DE" w:rsidRDefault="006B40DE" w:rsidP="006B40DE">
      <w:pPr>
        <w:pStyle w:val="Heading2"/>
        <w:spacing w:after="120"/>
      </w:pPr>
      <w:bookmarkStart w:id="8" w:name="_Toc140237880"/>
      <w:r>
        <w:t>Summary</w:t>
      </w:r>
      <w:bookmarkEnd w:id="8"/>
      <w:r w:rsidR="00B014EA">
        <w:t xml:space="preserve"> of Key Contact Points</w:t>
      </w:r>
    </w:p>
    <w:tbl>
      <w:tblPr>
        <w:tblStyle w:val="TableGrid"/>
        <w:tblW w:w="0" w:type="auto"/>
        <w:tblInd w:w="-5" w:type="dxa"/>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none" w:sz="0" w:space="0" w:color="auto"/>
          <w:insideV w:val="none" w:sz="0" w:space="0" w:color="auto"/>
        </w:tblBorders>
        <w:tblLook w:val="04A0" w:firstRow="1" w:lastRow="0" w:firstColumn="1" w:lastColumn="0" w:noHBand="0" w:noVBand="1"/>
      </w:tblPr>
      <w:tblGrid>
        <w:gridCol w:w="2249"/>
        <w:gridCol w:w="2131"/>
        <w:gridCol w:w="2687"/>
        <w:gridCol w:w="1859"/>
      </w:tblGrid>
      <w:tr w:rsidR="006B40DE" w14:paraId="323C34E3" w14:textId="77777777" w:rsidTr="0059229B">
        <w:tc>
          <w:tcPr>
            <w:tcW w:w="2249" w:type="dxa"/>
            <w:shd w:val="clear" w:color="auto" w:fill="BDD6EE" w:themeFill="accent1" w:themeFillTint="66"/>
          </w:tcPr>
          <w:p w14:paraId="17F0C3E0" w14:textId="77777777" w:rsidR="006B40DE" w:rsidRPr="0008380E" w:rsidRDefault="006B40DE" w:rsidP="0059229B">
            <w:pPr>
              <w:pStyle w:val="NoSpacing"/>
              <w:rPr>
                <w:rFonts w:eastAsiaTheme="majorEastAsia" w:cstheme="minorHAnsi"/>
                <w:b/>
              </w:rPr>
            </w:pPr>
            <w:r>
              <w:rPr>
                <w:rFonts w:eastAsiaTheme="majorEastAsia" w:cstheme="minorHAnsi"/>
                <w:b/>
              </w:rPr>
              <w:t>Key Contact Points</w:t>
            </w:r>
          </w:p>
        </w:tc>
        <w:tc>
          <w:tcPr>
            <w:tcW w:w="2131" w:type="dxa"/>
            <w:shd w:val="clear" w:color="auto" w:fill="BDD6EE" w:themeFill="accent1" w:themeFillTint="66"/>
          </w:tcPr>
          <w:p w14:paraId="0A972CDD" w14:textId="77777777" w:rsidR="006B40DE" w:rsidRPr="0008380E" w:rsidRDefault="006B40DE" w:rsidP="0059229B">
            <w:pPr>
              <w:pStyle w:val="NoSpacing"/>
              <w:rPr>
                <w:rFonts w:eastAsiaTheme="majorEastAsia" w:cstheme="minorHAnsi"/>
                <w:b/>
              </w:rPr>
            </w:pPr>
            <w:r>
              <w:rPr>
                <w:rFonts w:eastAsiaTheme="majorEastAsia" w:cstheme="minorHAnsi"/>
                <w:b/>
              </w:rPr>
              <w:t>Timeframe</w:t>
            </w:r>
          </w:p>
        </w:tc>
        <w:tc>
          <w:tcPr>
            <w:tcW w:w="2687" w:type="dxa"/>
            <w:shd w:val="clear" w:color="auto" w:fill="BDD6EE" w:themeFill="accent1" w:themeFillTint="66"/>
          </w:tcPr>
          <w:p w14:paraId="64A0CE82" w14:textId="77777777" w:rsidR="006B40DE" w:rsidRPr="0008380E" w:rsidRDefault="006B40DE" w:rsidP="0059229B">
            <w:pPr>
              <w:pStyle w:val="NoSpacing"/>
              <w:rPr>
                <w:rFonts w:eastAsiaTheme="majorEastAsia" w:cstheme="minorHAnsi"/>
                <w:b/>
              </w:rPr>
            </w:pPr>
            <w:r w:rsidRPr="0008380E">
              <w:rPr>
                <w:rFonts w:eastAsiaTheme="majorEastAsia" w:cstheme="minorHAnsi"/>
                <w:b/>
              </w:rPr>
              <w:t>Reason</w:t>
            </w:r>
          </w:p>
        </w:tc>
        <w:tc>
          <w:tcPr>
            <w:tcW w:w="1854" w:type="dxa"/>
            <w:shd w:val="clear" w:color="auto" w:fill="BDD6EE" w:themeFill="accent1" w:themeFillTint="66"/>
          </w:tcPr>
          <w:p w14:paraId="081F4239" w14:textId="77777777" w:rsidR="006B40DE" w:rsidRPr="0008380E" w:rsidRDefault="006B40DE" w:rsidP="0059229B">
            <w:pPr>
              <w:pStyle w:val="NoSpacing"/>
              <w:rPr>
                <w:rFonts w:eastAsiaTheme="majorEastAsia" w:cstheme="minorHAnsi"/>
                <w:b/>
              </w:rPr>
            </w:pPr>
            <w:r>
              <w:rPr>
                <w:rFonts w:eastAsiaTheme="majorEastAsia" w:cstheme="minorHAnsi"/>
                <w:b/>
              </w:rPr>
              <w:t xml:space="preserve"> </w:t>
            </w:r>
          </w:p>
        </w:tc>
      </w:tr>
      <w:tr w:rsidR="006B40DE" w:rsidRPr="0094415E" w14:paraId="3FD411D5" w14:textId="77777777" w:rsidTr="0059229B">
        <w:tblPrEx>
          <w:tblBorders>
            <w:top w:val="single" w:sz="2" w:space="0" w:color="2E74B5" w:themeColor="accent1" w:themeShade="BF"/>
            <w:left w:val="single" w:sz="4" w:space="0" w:color="2E74B5" w:themeColor="accent1" w:themeShade="BF"/>
            <w:bottom w:val="single" w:sz="2" w:space="0" w:color="2E74B5" w:themeColor="accent1" w:themeShade="BF"/>
            <w:right w:val="single" w:sz="2" w:space="0" w:color="2E74B5" w:themeColor="accent1" w:themeShade="BF"/>
            <w:insideH w:val="single" w:sz="4" w:space="0" w:color="2E74B5" w:themeColor="accent1" w:themeShade="BF"/>
            <w:insideV w:val="single" w:sz="4" w:space="0" w:color="2E74B5" w:themeColor="accent1" w:themeShade="BF"/>
          </w:tblBorders>
        </w:tblPrEx>
        <w:tc>
          <w:tcPr>
            <w:tcW w:w="2249" w:type="dxa"/>
            <w:shd w:val="clear" w:color="auto" w:fill="FFFFFF" w:themeFill="background1"/>
            <w:vAlign w:val="center"/>
          </w:tcPr>
          <w:p w14:paraId="4AC5BA70" w14:textId="77777777" w:rsidR="006B40DE" w:rsidRPr="0094415E" w:rsidRDefault="006B40DE" w:rsidP="0059229B">
            <w:pPr>
              <w:pStyle w:val="NoSpacing"/>
              <w:rPr>
                <w:rFonts w:eastAsiaTheme="majorEastAsia" w:cstheme="minorHAnsi"/>
                <w:sz w:val="20"/>
                <w:szCs w:val="20"/>
              </w:rPr>
            </w:pPr>
            <w:r>
              <w:rPr>
                <w:rFonts w:eastAsiaTheme="majorEastAsia" w:cstheme="minorHAnsi"/>
                <w:sz w:val="20"/>
                <w:szCs w:val="20"/>
              </w:rPr>
              <w:t>Claim Acknowledgment Letter</w:t>
            </w:r>
          </w:p>
        </w:tc>
        <w:tc>
          <w:tcPr>
            <w:tcW w:w="2131" w:type="dxa"/>
            <w:shd w:val="clear" w:color="auto" w:fill="FFFFFF" w:themeFill="background1"/>
            <w:vAlign w:val="center"/>
          </w:tcPr>
          <w:p w14:paraId="1E8E2997" w14:textId="77777777" w:rsidR="006B40DE" w:rsidRPr="0094415E" w:rsidRDefault="006B40DE" w:rsidP="0059229B">
            <w:pPr>
              <w:pStyle w:val="NoSpacing"/>
              <w:rPr>
                <w:rFonts w:eastAsiaTheme="majorEastAsia" w:cstheme="minorHAnsi"/>
                <w:sz w:val="20"/>
                <w:szCs w:val="20"/>
              </w:rPr>
            </w:pPr>
            <w:r>
              <w:rPr>
                <w:rFonts w:eastAsiaTheme="majorEastAsia" w:cstheme="minorHAnsi"/>
                <w:sz w:val="20"/>
                <w:szCs w:val="20"/>
              </w:rPr>
              <w:t>No later than 5 working days from registration</w:t>
            </w:r>
          </w:p>
        </w:tc>
        <w:tc>
          <w:tcPr>
            <w:tcW w:w="4546" w:type="dxa"/>
            <w:gridSpan w:val="2"/>
            <w:shd w:val="clear" w:color="auto" w:fill="FFFFFF" w:themeFill="background1"/>
            <w:vAlign w:val="center"/>
          </w:tcPr>
          <w:p w14:paraId="4EDE4399" w14:textId="77777777" w:rsidR="006B40DE" w:rsidRPr="0094415E" w:rsidRDefault="006B40DE" w:rsidP="0059229B">
            <w:pPr>
              <w:pStyle w:val="NoSpacing"/>
              <w:rPr>
                <w:rFonts w:eastAsiaTheme="majorEastAsia" w:cstheme="minorHAnsi"/>
                <w:sz w:val="20"/>
                <w:szCs w:val="20"/>
              </w:rPr>
            </w:pPr>
            <w:r>
              <w:rPr>
                <w:rFonts w:eastAsiaTheme="majorEastAsia" w:cstheme="minorHAnsi"/>
                <w:sz w:val="20"/>
                <w:szCs w:val="20"/>
              </w:rPr>
              <w:t>Acknowledging receipt of claim</w:t>
            </w:r>
          </w:p>
        </w:tc>
      </w:tr>
      <w:tr w:rsidR="006B40DE" w:rsidRPr="0094415E" w14:paraId="5EB142E0" w14:textId="77777777" w:rsidTr="0059229B">
        <w:tblPrEx>
          <w:tblBorders>
            <w:top w:val="single" w:sz="2" w:space="0" w:color="2E74B5" w:themeColor="accent1" w:themeShade="BF"/>
            <w:left w:val="single" w:sz="4" w:space="0" w:color="2E74B5" w:themeColor="accent1" w:themeShade="BF"/>
            <w:bottom w:val="single" w:sz="2" w:space="0" w:color="2E74B5" w:themeColor="accent1" w:themeShade="BF"/>
            <w:right w:val="single" w:sz="2" w:space="0" w:color="2E74B5" w:themeColor="accent1" w:themeShade="BF"/>
            <w:insideH w:val="single" w:sz="4" w:space="0" w:color="2E74B5" w:themeColor="accent1" w:themeShade="BF"/>
            <w:insideV w:val="single" w:sz="4" w:space="0" w:color="2E74B5" w:themeColor="accent1" w:themeShade="BF"/>
          </w:tblBorders>
        </w:tblPrEx>
        <w:tc>
          <w:tcPr>
            <w:tcW w:w="2249" w:type="dxa"/>
            <w:shd w:val="clear" w:color="auto" w:fill="FFFFFF" w:themeFill="background1"/>
            <w:vAlign w:val="center"/>
          </w:tcPr>
          <w:p w14:paraId="45BCFCA2"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Claim Administration (Initial liability only)</w:t>
            </w:r>
          </w:p>
        </w:tc>
        <w:tc>
          <w:tcPr>
            <w:tcW w:w="2131" w:type="dxa"/>
            <w:shd w:val="clear" w:color="auto" w:fill="FFFFFF" w:themeFill="background1"/>
            <w:vAlign w:val="center"/>
          </w:tcPr>
          <w:p w14:paraId="7E34AE09"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30 day intervals</w:t>
            </w:r>
          </w:p>
        </w:tc>
        <w:tc>
          <w:tcPr>
            <w:tcW w:w="4546" w:type="dxa"/>
            <w:gridSpan w:val="2"/>
            <w:shd w:val="clear" w:color="auto" w:fill="FFFFFF" w:themeFill="background1"/>
            <w:vAlign w:val="center"/>
          </w:tcPr>
          <w:p w14:paraId="460591A5"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To inform clients that their claims is still in queue, and/or request additional information to support their claim</w:t>
            </w:r>
          </w:p>
        </w:tc>
      </w:tr>
      <w:tr w:rsidR="006B40DE" w:rsidRPr="0094415E" w14:paraId="36B23850" w14:textId="77777777" w:rsidTr="0059229B">
        <w:tblPrEx>
          <w:tblBorders>
            <w:top w:val="single" w:sz="2" w:space="0" w:color="2E74B5" w:themeColor="accent1" w:themeShade="BF"/>
            <w:left w:val="single" w:sz="4" w:space="0" w:color="2E74B5" w:themeColor="accent1" w:themeShade="BF"/>
            <w:bottom w:val="single" w:sz="2" w:space="0" w:color="2E74B5" w:themeColor="accent1" w:themeShade="BF"/>
            <w:right w:val="single" w:sz="2" w:space="0" w:color="2E74B5" w:themeColor="accent1" w:themeShade="BF"/>
            <w:insideH w:val="single" w:sz="4" w:space="0" w:color="2E74B5" w:themeColor="accent1" w:themeShade="BF"/>
            <w:insideV w:val="single" w:sz="4" w:space="0" w:color="2E74B5" w:themeColor="accent1" w:themeShade="BF"/>
          </w:tblBorders>
        </w:tblPrEx>
        <w:tc>
          <w:tcPr>
            <w:tcW w:w="2249" w:type="dxa"/>
            <w:shd w:val="clear" w:color="auto" w:fill="FFFFFF" w:themeFill="background1"/>
            <w:vAlign w:val="center"/>
          </w:tcPr>
          <w:p w14:paraId="515F86B5"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Preliminary phone call</w:t>
            </w:r>
          </w:p>
        </w:tc>
        <w:tc>
          <w:tcPr>
            <w:tcW w:w="2131" w:type="dxa"/>
            <w:shd w:val="clear" w:color="auto" w:fill="FFFFFF" w:themeFill="background1"/>
            <w:vAlign w:val="center"/>
          </w:tcPr>
          <w:p w14:paraId="58BFA6D8"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No later than 14 days after allocation</w:t>
            </w:r>
          </w:p>
        </w:tc>
        <w:tc>
          <w:tcPr>
            <w:tcW w:w="4546" w:type="dxa"/>
            <w:gridSpan w:val="2"/>
            <w:shd w:val="clear" w:color="auto" w:fill="FFFFFF" w:themeFill="background1"/>
            <w:vAlign w:val="center"/>
          </w:tcPr>
          <w:p w14:paraId="4B70852F"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Introductory phone call to client to set expectations of the claims process</w:t>
            </w:r>
          </w:p>
        </w:tc>
      </w:tr>
      <w:tr w:rsidR="006B40DE" w:rsidRPr="0094415E" w14:paraId="71E1447D" w14:textId="77777777" w:rsidTr="0059229B">
        <w:tblPrEx>
          <w:tblBorders>
            <w:top w:val="single" w:sz="2" w:space="0" w:color="2E74B5" w:themeColor="accent1" w:themeShade="BF"/>
            <w:left w:val="single" w:sz="4" w:space="0" w:color="2E74B5" w:themeColor="accent1" w:themeShade="BF"/>
            <w:bottom w:val="single" w:sz="2" w:space="0" w:color="2E74B5" w:themeColor="accent1" w:themeShade="BF"/>
            <w:right w:val="single" w:sz="2" w:space="0" w:color="2E74B5" w:themeColor="accent1" w:themeShade="BF"/>
            <w:insideH w:val="single" w:sz="4" w:space="0" w:color="2E74B5" w:themeColor="accent1" w:themeShade="BF"/>
            <w:insideV w:val="single" w:sz="4" w:space="0" w:color="2E74B5" w:themeColor="accent1" w:themeShade="BF"/>
          </w:tblBorders>
        </w:tblPrEx>
        <w:tc>
          <w:tcPr>
            <w:tcW w:w="2249" w:type="dxa"/>
            <w:shd w:val="clear" w:color="auto" w:fill="FFFFFF" w:themeFill="background1"/>
            <w:vAlign w:val="center"/>
          </w:tcPr>
          <w:p w14:paraId="6E271F8A"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Claim progress updates</w:t>
            </w:r>
          </w:p>
        </w:tc>
        <w:tc>
          <w:tcPr>
            <w:tcW w:w="2131" w:type="dxa"/>
            <w:shd w:val="clear" w:color="auto" w:fill="FFFFFF" w:themeFill="background1"/>
            <w:vAlign w:val="center"/>
          </w:tcPr>
          <w:p w14:paraId="6DF1E019"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30 day intervals, unless by exception</w:t>
            </w:r>
          </w:p>
        </w:tc>
        <w:tc>
          <w:tcPr>
            <w:tcW w:w="4546" w:type="dxa"/>
            <w:gridSpan w:val="2"/>
            <w:shd w:val="clear" w:color="auto" w:fill="FFFFFF" w:themeFill="background1"/>
            <w:vAlign w:val="center"/>
          </w:tcPr>
          <w:p w14:paraId="732F1FBB"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To provide an update on the progress of the claim investigation</w:t>
            </w:r>
          </w:p>
        </w:tc>
      </w:tr>
      <w:tr w:rsidR="006B40DE" w:rsidRPr="0094415E" w14:paraId="122CAA7E" w14:textId="77777777" w:rsidTr="0059229B">
        <w:tblPrEx>
          <w:tblBorders>
            <w:top w:val="single" w:sz="2" w:space="0" w:color="2E74B5" w:themeColor="accent1" w:themeShade="BF"/>
            <w:left w:val="single" w:sz="4" w:space="0" w:color="2E74B5" w:themeColor="accent1" w:themeShade="BF"/>
            <w:bottom w:val="single" w:sz="2" w:space="0" w:color="2E74B5" w:themeColor="accent1" w:themeShade="BF"/>
            <w:right w:val="single" w:sz="2" w:space="0" w:color="2E74B5" w:themeColor="accent1" w:themeShade="BF"/>
            <w:insideH w:val="single" w:sz="4" w:space="0" w:color="2E74B5" w:themeColor="accent1" w:themeShade="BF"/>
            <w:insideV w:val="single" w:sz="4" w:space="0" w:color="2E74B5" w:themeColor="accent1" w:themeShade="BF"/>
          </w:tblBorders>
        </w:tblPrEx>
        <w:tc>
          <w:tcPr>
            <w:tcW w:w="2249" w:type="dxa"/>
            <w:shd w:val="clear" w:color="auto" w:fill="FFFFFF" w:themeFill="background1"/>
            <w:vAlign w:val="center"/>
          </w:tcPr>
          <w:p w14:paraId="6A0D5D7A"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Pre-Determination Call</w:t>
            </w:r>
          </w:p>
        </w:tc>
        <w:tc>
          <w:tcPr>
            <w:tcW w:w="2131" w:type="dxa"/>
            <w:shd w:val="clear" w:color="auto" w:fill="FFFFFF" w:themeFill="background1"/>
            <w:vAlign w:val="center"/>
          </w:tcPr>
          <w:p w14:paraId="1DC80B15"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Prior to claim completion</w:t>
            </w:r>
          </w:p>
        </w:tc>
        <w:tc>
          <w:tcPr>
            <w:tcW w:w="4546" w:type="dxa"/>
            <w:gridSpan w:val="2"/>
            <w:shd w:val="clear" w:color="auto" w:fill="FFFFFF" w:themeFill="background1"/>
            <w:vAlign w:val="center"/>
          </w:tcPr>
          <w:p w14:paraId="1E5DDE7A"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To inform clients that a determination is about to made, the likely outcome and the reasons for the decision</w:t>
            </w:r>
          </w:p>
        </w:tc>
      </w:tr>
      <w:tr w:rsidR="006B40DE" w:rsidRPr="0094415E" w14:paraId="2C3F110D" w14:textId="77777777" w:rsidTr="0059229B">
        <w:tblPrEx>
          <w:tblBorders>
            <w:top w:val="single" w:sz="2" w:space="0" w:color="2E74B5" w:themeColor="accent1" w:themeShade="BF"/>
            <w:left w:val="single" w:sz="4" w:space="0" w:color="2E74B5" w:themeColor="accent1" w:themeShade="BF"/>
            <w:bottom w:val="single" w:sz="2" w:space="0" w:color="2E74B5" w:themeColor="accent1" w:themeShade="BF"/>
            <w:right w:val="single" w:sz="2" w:space="0" w:color="2E74B5" w:themeColor="accent1" w:themeShade="BF"/>
            <w:insideH w:val="single" w:sz="4" w:space="0" w:color="2E74B5" w:themeColor="accent1" w:themeShade="BF"/>
            <w:insideV w:val="single" w:sz="4" w:space="0" w:color="2E74B5" w:themeColor="accent1" w:themeShade="BF"/>
          </w:tblBorders>
        </w:tblPrEx>
        <w:tc>
          <w:tcPr>
            <w:tcW w:w="2249" w:type="dxa"/>
            <w:shd w:val="clear" w:color="auto" w:fill="FFFFFF" w:themeFill="background1"/>
            <w:vAlign w:val="center"/>
          </w:tcPr>
          <w:p w14:paraId="569551C7"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28 Day reminder letter</w:t>
            </w:r>
          </w:p>
        </w:tc>
        <w:tc>
          <w:tcPr>
            <w:tcW w:w="2131" w:type="dxa"/>
            <w:shd w:val="clear" w:color="auto" w:fill="FFFFFF" w:themeFill="background1"/>
            <w:vAlign w:val="center"/>
          </w:tcPr>
          <w:p w14:paraId="396F2D5D"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As required</w:t>
            </w:r>
          </w:p>
        </w:tc>
        <w:tc>
          <w:tcPr>
            <w:tcW w:w="4546" w:type="dxa"/>
            <w:gridSpan w:val="2"/>
            <w:shd w:val="clear" w:color="auto" w:fill="FFFFFF" w:themeFill="background1"/>
            <w:vAlign w:val="center"/>
          </w:tcPr>
          <w:p w14:paraId="792C1C1A"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A final reminder to request information a client may be able to provide to finalise a claim</w:t>
            </w:r>
          </w:p>
        </w:tc>
      </w:tr>
      <w:tr w:rsidR="006B40DE" w:rsidRPr="0094415E" w14:paraId="05F1167A" w14:textId="77777777" w:rsidTr="0059229B">
        <w:tblPrEx>
          <w:tblBorders>
            <w:top w:val="single" w:sz="2" w:space="0" w:color="2E74B5" w:themeColor="accent1" w:themeShade="BF"/>
            <w:left w:val="single" w:sz="4" w:space="0" w:color="2E74B5" w:themeColor="accent1" w:themeShade="BF"/>
            <w:bottom w:val="single" w:sz="2" w:space="0" w:color="2E74B5" w:themeColor="accent1" w:themeShade="BF"/>
            <w:right w:val="single" w:sz="2" w:space="0" w:color="2E74B5" w:themeColor="accent1" w:themeShade="BF"/>
            <w:insideH w:val="single" w:sz="4" w:space="0" w:color="2E74B5" w:themeColor="accent1" w:themeShade="BF"/>
            <w:insideV w:val="single" w:sz="4" w:space="0" w:color="2E74B5" w:themeColor="accent1" w:themeShade="BF"/>
          </w:tblBorders>
        </w:tblPrEx>
        <w:tc>
          <w:tcPr>
            <w:tcW w:w="2249" w:type="dxa"/>
            <w:shd w:val="clear" w:color="auto" w:fill="FFFFFF" w:themeFill="background1"/>
            <w:vAlign w:val="center"/>
          </w:tcPr>
          <w:p w14:paraId="0A7DE017"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Needs Assessment</w:t>
            </w:r>
          </w:p>
        </w:tc>
        <w:tc>
          <w:tcPr>
            <w:tcW w:w="2131" w:type="dxa"/>
            <w:shd w:val="clear" w:color="auto" w:fill="FFFFFF" w:themeFill="background1"/>
            <w:vAlign w:val="center"/>
          </w:tcPr>
          <w:p w14:paraId="1A0A86F5"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Conducted following finalisation of an initial liability claim</w:t>
            </w:r>
          </w:p>
        </w:tc>
        <w:tc>
          <w:tcPr>
            <w:tcW w:w="4546" w:type="dxa"/>
            <w:gridSpan w:val="2"/>
            <w:shd w:val="clear" w:color="auto" w:fill="FFFFFF" w:themeFill="background1"/>
            <w:vAlign w:val="center"/>
          </w:tcPr>
          <w:p w14:paraId="20E82C1D" w14:textId="77777777" w:rsidR="006B40DE" w:rsidRDefault="006B40DE" w:rsidP="0059229B">
            <w:pPr>
              <w:pStyle w:val="NoSpacing"/>
              <w:rPr>
                <w:rFonts w:eastAsiaTheme="majorEastAsia" w:cstheme="minorHAnsi"/>
                <w:sz w:val="20"/>
                <w:szCs w:val="20"/>
              </w:rPr>
            </w:pPr>
            <w:r>
              <w:rPr>
                <w:rFonts w:eastAsiaTheme="majorEastAsia" w:cstheme="minorHAnsi"/>
                <w:sz w:val="20"/>
                <w:szCs w:val="20"/>
              </w:rPr>
              <w:t>To establish the needs of the veteran and identify benefits and services available</w:t>
            </w:r>
          </w:p>
        </w:tc>
      </w:tr>
    </w:tbl>
    <w:p w14:paraId="17F0551C" w14:textId="3BEC4EC3" w:rsidR="00D1536E" w:rsidRPr="00F33453" w:rsidRDefault="00A8480B" w:rsidP="00F33453">
      <w:pPr>
        <w:pStyle w:val="Heading1"/>
        <w:rPr>
          <w:b/>
        </w:rPr>
      </w:pPr>
      <w:bookmarkStart w:id="9" w:name="_Toc140237881"/>
      <w:r w:rsidRPr="00F33453">
        <w:rPr>
          <w:b/>
        </w:rPr>
        <w:lastRenderedPageBreak/>
        <w:t>Frequency &amp; Mode of Contact during the Claims Process</w:t>
      </w:r>
      <w:bookmarkEnd w:id="9"/>
    </w:p>
    <w:p w14:paraId="3EDBA115" w14:textId="54509058" w:rsidR="001318D5" w:rsidRDefault="001318D5" w:rsidP="00DA67D8">
      <w:pPr>
        <w:pStyle w:val="NoSpacing"/>
      </w:pPr>
    </w:p>
    <w:p w14:paraId="0ABF7AF9" w14:textId="77777777" w:rsidR="00C87EC4" w:rsidRPr="00A915E3" w:rsidRDefault="00C87EC4" w:rsidP="001318D5">
      <w:pPr>
        <w:pStyle w:val="Heading3"/>
      </w:pPr>
      <w:bookmarkStart w:id="10" w:name="_Toc140237882"/>
      <w:r w:rsidRPr="00A915E3">
        <w:t xml:space="preserve">Claim Acknowledgment </w:t>
      </w:r>
      <w:r w:rsidR="00C55D0B">
        <w:t>Letter</w:t>
      </w:r>
      <w:bookmarkEnd w:id="10"/>
    </w:p>
    <w:p w14:paraId="6EDD5BD9" w14:textId="77777777" w:rsidR="00C87EC4" w:rsidRPr="00202C1A" w:rsidRDefault="00C87EC4" w:rsidP="00C87EC4">
      <w:pPr>
        <w:pStyle w:val="NoSpacing"/>
      </w:pPr>
    </w:p>
    <w:p w14:paraId="3D199948" w14:textId="77777777" w:rsidR="00C55D0B" w:rsidRDefault="006A5934" w:rsidP="00C87EC4">
      <w:pPr>
        <w:pStyle w:val="NoSpacing"/>
      </w:pPr>
      <w:r>
        <w:t>Upon registration</w:t>
      </w:r>
      <w:r w:rsidR="004359F4">
        <w:t>, all</w:t>
      </w:r>
      <w:r w:rsidR="004F218B">
        <w:t xml:space="preserve"> claims must</w:t>
      </w:r>
      <w:r w:rsidR="00C87EC4">
        <w:t xml:space="preserve"> be acknowledged in writing</w:t>
      </w:r>
      <w:r w:rsidR="008C267F">
        <w:t xml:space="preserve"> </w:t>
      </w:r>
      <w:r w:rsidR="00DB43E0">
        <w:t>(</w:t>
      </w:r>
      <w:r w:rsidR="00B672D4">
        <w:t>no later than 5 working days</w:t>
      </w:r>
      <w:r w:rsidR="00DB43E0">
        <w:t>)</w:t>
      </w:r>
      <w:r w:rsidR="00B672D4">
        <w:t xml:space="preserve">, using the </w:t>
      </w:r>
      <w:r w:rsidR="008C267F">
        <w:t xml:space="preserve">Acknowledgement of Claims letter template generated in ISH. </w:t>
      </w:r>
      <w:r w:rsidR="00C55D0B">
        <w:t xml:space="preserve"> </w:t>
      </w:r>
    </w:p>
    <w:p w14:paraId="1A1A25F7" w14:textId="77777777" w:rsidR="00C87EC4" w:rsidRDefault="00C87EC4" w:rsidP="00C87EC4">
      <w:pPr>
        <w:pStyle w:val="NoSpacing"/>
      </w:pPr>
    </w:p>
    <w:p w14:paraId="782F4127" w14:textId="77777777" w:rsidR="00C87EC4" w:rsidRDefault="008C267F" w:rsidP="00C87EC4">
      <w:pPr>
        <w:pStyle w:val="NoSpacing"/>
      </w:pPr>
      <w:r>
        <w:t>Staff can</w:t>
      </w:r>
      <w:r w:rsidR="00DB2088">
        <w:t xml:space="preserve"> refer to </w:t>
      </w:r>
      <w:r w:rsidR="00C87EC4">
        <w:t xml:space="preserve">CLIK guidelines </w:t>
      </w:r>
      <w:r w:rsidR="00DB2088">
        <w:t>for information</w:t>
      </w:r>
      <w:r w:rsidR="00C87EC4">
        <w:t xml:space="preserve"> </w:t>
      </w:r>
      <w:r w:rsidR="00773A4F">
        <w:t xml:space="preserve">that is </w:t>
      </w:r>
      <w:r w:rsidR="00C87EC4">
        <w:t xml:space="preserve">required in acknowledgement letters to ensure communication with veterans is both appropriate and consistent. </w:t>
      </w:r>
    </w:p>
    <w:p w14:paraId="47E37FDC" w14:textId="77777777" w:rsidR="00644FA8" w:rsidRPr="00644FA8" w:rsidRDefault="005925DF" w:rsidP="00644FA8">
      <w:pPr>
        <w:pStyle w:val="NoSpacing"/>
        <w:rPr>
          <w:color w:val="0563C1" w:themeColor="hyperlink"/>
          <w:u w:val="single"/>
        </w:rPr>
      </w:pPr>
      <w:hyperlink r:id="rId10" w:history="1">
        <w:r w:rsidR="00644FA8">
          <w:rPr>
            <w:rStyle w:val="Hyperlink"/>
          </w:rPr>
          <w:t>1.1 Holding bays and acknowledgement | Compensation claims procedures, Pre-claim procedures (dva.gov.au)</w:t>
        </w:r>
      </w:hyperlink>
    </w:p>
    <w:p w14:paraId="7DACFD26" w14:textId="77777777" w:rsidR="006851A9" w:rsidRPr="00DA67D8" w:rsidRDefault="006851A9" w:rsidP="006851A9">
      <w:pPr>
        <w:rPr>
          <w:rFonts w:cstheme="minorHAnsi"/>
          <w:color w:val="4472C4" w:themeColor="accent5"/>
          <w:sz w:val="24"/>
        </w:rPr>
      </w:pPr>
    </w:p>
    <w:p w14:paraId="10102D61" w14:textId="627D30FD" w:rsidR="006B40DE" w:rsidRPr="006B40DE" w:rsidRDefault="00F67D48" w:rsidP="006B40DE">
      <w:pPr>
        <w:pStyle w:val="Heading3"/>
      </w:pPr>
      <w:bookmarkStart w:id="11" w:name="_Toc140237883"/>
      <w:r w:rsidRPr="00F33453">
        <w:rPr>
          <w:rStyle w:val="Heading2Char"/>
          <w:color w:val="1F4D78" w:themeColor="accent1" w:themeShade="7F"/>
          <w:sz w:val="24"/>
          <w:szCs w:val="24"/>
        </w:rPr>
        <w:t>Claim Administration</w:t>
      </w:r>
      <w:bookmarkEnd w:id="11"/>
      <w:r w:rsidR="006B40DE">
        <w:rPr>
          <w:rStyle w:val="Heading2Char"/>
          <w:color w:val="1F4D78" w:themeColor="accent1" w:themeShade="7F"/>
          <w:sz w:val="24"/>
          <w:szCs w:val="24"/>
        </w:rPr>
        <w:br/>
      </w:r>
    </w:p>
    <w:p w14:paraId="55D083E0" w14:textId="77777777" w:rsidR="006851A9" w:rsidRDefault="008E1636" w:rsidP="00F67D48">
      <w:pPr>
        <w:pStyle w:val="NoSpacing"/>
      </w:pPr>
      <w:r>
        <w:t>Where a</w:t>
      </w:r>
      <w:r w:rsidR="00F33453">
        <w:t>n Initial Liability</w:t>
      </w:r>
      <w:r>
        <w:t xml:space="preserve"> claim cannot be allocated for investigation </w:t>
      </w:r>
      <w:r w:rsidR="00D0734E">
        <w:t>within a reasonable timeframe</w:t>
      </w:r>
      <w:r w:rsidR="005343C5">
        <w:t xml:space="preserve">, contact will be made to claimants at </w:t>
      </w:r>
      <w:r>
        <w:t xml:space="preserve">30 day </w:t>
      </w:r>
      <w:r w:rsidR="005343C5">
        <w:t xml:space="preserve">intervals </w:t>
      </w:r>
      <w:r w:rsidR="002471C3">
        <w:t>until their claim is allocated</w:t>
      </w:r>
      <w:r>
        <w:t>.</w:t>
      </w:r>
      <w:r w:rsidR="002471C3">
        <w:t xml:space="preserve"> </w:t>
      </w:r>
    </w:p>
    <w:p w14:paraId="3B60115A" w14:textId="54F3ECEC" w:rsidR="001F32A8" w:rsidRDefault="001F32A8" w:rsidP="00F67D48">
      <w:pPr>
        <w:pStyle w:val="NoSpacing"/>
      </w:pPr>
    </w:p>
    <w:p w14:paraId="2CD4EF74" w14:textId="24696EF8" w:rsidR="004E0F2A" w:rsidRDefault="00706FFA" w:rsidP="00F67D48">
      <w:pPr>
        <w:pStyle w:val="NoSpacing"/>
      </w:pPr>
      <w:r>
        <w:rPr>
          <w:rFonts w:cstheme="minorHAnsi"/>
        </w:rPr>
        <w:t xml:space="preserve">Multiple modes of communication including </w:t>
      </w:r>
      <w:r w:rsidR="004E0F2A">
        <w:rPr>
          <w:rFonts w:cstheme="minorHAnsi"/>
        </w:rPr>
        <w:t>SMS</w:t>
      </w:r>
      <w:r w:rsidR="006A329C">
        <w:rPr>
          <w:rFonts w:cstheme="minorHAnsi"/>
        </w:rPr>
        <w:t>, email or letter</w:t>
      </w:r>
      <w:r w:rsidR="004E0F2A">
        <w:rPr>
          <w:rFonts w:cstheme="minorHAnsi"/>
        </w:rPr>
        <w:t xml:space="preserve"> can be used at 30, 60 and 90 days to inform clients that their claim is still in the queue, or to request additional information to support their claim. </w:t>
      </w:r>
    </w:p>
    <w:p w14:paraId="6F866F87" w14:textId="77777777" w:rsidR="006851A9" w:rsidRDefault="006851A9">
      <w:pPr>
        <w:rPr>
          <w:rFonts w:cstheme="minorHAnsi"/>
          <w:i/>
          <w:color w:val="4472C4" w:themeColor="accent5"/>
          <w:sz w:val="24"/>
        </w:rPr>
      </w:pPr>
    </w:p>
    <w:p w14:paraId="137172F9" w14:textId="77777777" w:rsidR="00D566D6" w:rsidRPr="00DA67D8" w:rsidRDefault="00624868" w:rsidP="006851A9">
      <w:pPr>
        <w:rPr>
          <w:rFonts w:cstheme="minorHAnsi"/>
          <w:b/>
          <w:i/>
          <w:color w:val="4472C4" w:themeColor="accent5"/>
          <w:sz w:val="24"/>
        </w:rPr>
      </w:pPr>
      <w:bookmarkStart w:id="12" w:name="_Toc140237884"/>
      <w:r w:rsidRPr="00DA67D8">
        <w:rPr>
          <w:rStyle w:val="Heading2Char"/>
          <w:b/>
        </w:rPr>
        <w:t>Claim</w:t>
      </w:r>
      <w:r w:rsidR="00BC7EF7" w:rsidRPr="00DA67D8">
        <w:rPr>
          <w:rStyle w:val="Heading2Char"/>
          <w:b/>
        </w:rPr>
        <w:t xml:space="preserve"> Investigation</w:t>
      </w:r>
      <w:bookmarkEnd w:id="12"/>
      <w:r w:rsidR="00311EB7" w:rsidRPr="00DA67D8">
        <w:rPr>
          <w:rStyle w:val="Heading2Char"/>
          <w:b/>
        </w:rPr>
        <w:tab/>
      </w:r>
      <w:r w:rsidR="00311EB7" w:rsidRPr="00DA67D8">
        <w:rPr>
          <w:b/>
          <w:sz w:val="24"/>
          <w:szCs w:val="26"/>
        </w:rPr>
        <w:tab/>
      </w:r>
      <w:r w:rsidR="00311EB7" w:rsidRPr="00DA67D8">
        <w:rPr>
          <w:b/>
          <w:sz w:val="24"/>
          <w:szCs w:val="26"/>
        </w:rPr>
        <w:tab/>
      </w:r>
      <w:r w:rsidR="00311EB7" w:rsidRPr="00DA67D8">
        <w:rPr>
          <w:b/>
          <w:sz w:val="24"/>
          <w:szCs w:val="26"/>
        </w:rPr>
        <w:tab/>
      </w:r>
      <w:r w:rsidR="00311EB7" w:rsidRPr="00DA67D8">
        <w:rPr>
          <w:b/>
          <w:sz w:val="24"/>
          <w:szCs w:val="26"/>
        </w:rPr>
        <w:tab/>
      </w:r>
      <w:r w:rsidR="00012369" w:rsidRPr="00DA67D8">
        <w:rPr>
          <w:b/>
          <w:sz w:val="24"/>
          <w:szCs w:val="26"/>
        </w:rPr>
        <w:tab/>
        <w:t xml:space="preserve">           </w:t>
      </w:r>
    </w:p>
    <w:p w14:paraId="025487B6" w14:textId="77777777" w:rsidR="00206A1C" w:rsidRDefault="00012369" w:rsidP="00206A1C">
      <w:r>
        <w:rPr>
          <w:noProof/>
          <w:sz w:val="26"/>
          <w:szCs w:val="26"/>
          <w:lang w:eastAsia="en-AU"/>
        </w:rPr>
        <mc:AlternateContent>
          <mc:Choice Requires="wps">
            <w:drawing>
              <wp:anchor distT="0" distB="0" distL="114300" distR="114300" simplePos="0" relativeHeight="251661312" behindDoc="0" locked="0" layoutInCell="1" allowOverlap="1" wp14:anchorId="634F4176" wp14:editId="728F4459">
                <wp:simplePos x="0" y="0"/>
                <wp:positionH relativeFrom="column">
                  <wp:posOffset>0</wp:posOffset>
                </wp:positionH>
                <wp:positionV relativeFrom="paragraph">
                  <wp:posOffset>0</wp:posOffset>
                </wp:positionV>
                <wp:extent cx="571500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71500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FD9CC4"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" strokecolor="windowText" strokeweight=".5pt">
                <v:stroke joinstyle="miter"/>
              </v:line>
            </w:pict>
          </mc:Fallback>
        </mc:AlternateContent>
      </w:r>
      <w:bookmarkStart w:id="13" w:name="_Toc136862640"/>
    </w:p>
    <w:p w14:paraId="7FE70F01" w14:textId="77777777" w:rsidR="00DB1DBE" w:rsidRPr="00D566D6" w:rsidRDefault="00C732EE" w:rsidP="006851A9">
      <w:pPr>
        <w:pStyle w:val="Heading3"/>
      </w:pPr>
      <w:bookmarkStart w:id="14" w:name="_Toc140237885"/>
      <w:r>
        <w:t xml:space="preserve">Preliminary </w:t>
      </w:r>
      <w:r w:rsidR="00DB1DBE" w:rsidRPr="00D566D6">
        <w:t>Phone Call</w:t>
      </w:r>
      <w:bookmarkEnd w:id="14"/>
      <w:r w:rsidR="00DB1DBE">
        <w:t xml:space="preserve"> </w:t>
      </w:r>
      <w:r w:rsidR="00DB1DBE">
        <w:tab/>
      </w:r>
      <w:r w:rsidR="00DB1DBE">
        <w:tab/>
      </w:r>
      <w:r w:rsidR="00DB1DBE">
        <w:tab/>
      </w:r>
      <w:r w:rsidR="00DB1DBE">
        <w:tab/>
      </w:r>
      <w:r w:rsidR="00DB1DBE">
        <w:tab/>
      </w:r>
      <w:r w:rsidR="00DB1DBE">
        <w:tab/>
        <w:t xml:space="preserve"> </w:t>
      </w:r>
    </w:p>
    <w:p w14:paraId="5E379AEA" w14:textId="77777777" w:rsidR="00DB1DBE" w:rsidRDefault="00DB1DBE" w:rsidP="00DB1DBE">
      <w:pPr>
        <w:pStyle w:val="NoSpacing"/>
      </w:pPr>
    </w:p>
    <w:p w14:paraId="163EF607" w14:textId="77777777" w:rsidR="00D22317" w:rsidRDefault="005343C5" w:rsidP="00D22317">
      <w:pPr>
        <w:pStyle w:val="NoSpacing"/>
      </w:pPr>
      <w:r>
        <w:t>A preliminary phone call should be made to the claimant as soon as practical following the allocation of the claim to a</w:t>
      </w:r>
      <w:r w:rsidR="008E1636">
        <w:t xml:space="preserve"> claim support officer or</w:t>
      </w:r>
      <w:r>
        <w:t xml:space="preserve"> </w:t>
      </w:r>
      <w:r w:rsidR="00D22317">
        <w:t>delegate,</w:t>
      </w:r>
      <w:r>
        <w:t xml:space="preserve"> </w:t>
      </w:r>
      <w:r w:rsidRPr="00500FA6">
        <w:t>a</w:t>
      </w:r>
      <w:r w:rsidRPr="00DA67D8">
        <w:t xml:space="preserve">nd no later than </w:t>
      </w:r>
      <w:r w:rsidR="00500FA6" w:rsidRPr="00DA67D8">
        <w:t xml:space="preserve">14 days after allocation. </w:t>
      </w:r>
      <w:r w:rsidR="00D22317" w:rsidRPr="00D22317">
        <w:t xml:space="preserve"> </w:t>
      </w:r>
    </w:p>
    <w:p w14:paraId="0871170E" w14:textId="77777777" w:rsidR="00D22317" w:rsidRPr="00202C1A" w:rsidRDefault="00D22317" w:rsidP="00D22317">
      <w:pPr>
        <w:pStyle w:val="NoSpacing"/>
      </w:pPr>
      <w:r>
        <w:t>In cases where telephone</w:t>
      </w:r>
      <w:r w:rsidR="00DB3954">
        <w:t xml:space="preserve"> contact is unsuccessful, it is recommended that staff send an SMS call back request and include their contact details. </w:t>
      </w:r>
      <w:r>
        <w:t xml:space="preserve"> </w:t>
      </w:r>
    </w:p>
    <w:p w14:paraId="758E2383" w14:textId="77777777" w:rsidR="005343C5" w:rsidRDefault="005343C5" w:rsidP="005D03DB">
      <w:pPr>
        <w:pStyle w:val="NoSpacing"/>
      </w:pPr>
    </w:p>
    <w:p w14:paraId="68F557F7" w14:textId="77777777" w:rsidR="005D03DB" w:rsidRDefault="00C732EE" w:rsidP="005D03DB">
      <w:pPr>
        <w:pStyle w:val="NoSpacing"/>
      </w:pPr>
      <w:r>
        <w:t>The preliminary</w:t>
      </w:r>
      <w:r w:rsidR="005E16B0">
        <w:t xml:space="preserve"> phone</w:t>
      </w:r>
      <w:r>
        <w:t xml:space="preserve"> call </w:t>
      </w:r>
      <w:r w:rsidR="005E16B0">
        <w:t>provides an opportunity for</w:t>
      </w:r>
      <w:r>
        <w:t xml:space="preserve"> </w:t>
      </w:r>
      <w:r w:rsidR="005D03DB">
        <w:t>a staff to:</w:t>
      </w:r>
    </w:p>
    <w:p w14:paraId="273C96D8" w14:textId="77777777" w:rsidR="005E16B0" w:rsidRDefault="005E16B0" w:rsidP="005D03DB">
      <w:pPr>
        <w:pStyle w:val="NoSpacing"/>
        <w:numPr>
          <w:ilvl w:val="0"/>
          <w:numId w:val="10"/>
        </w:numPr>
      </w:pPr>
      <w:r>
        <w:t xml:space="preserve">Request additional information </w:t>
      </w:r>
      <w:r w:rsidR="005D03DB">
        <w:t>required to process a</w:t>
      </w:r>
      <w:r>
        <w:t xml:space="preserve"> claim, </w:t>
      </w:r>
    </w:p>
    <w:p w14:paraId="5A739676" w14:textId="77777777" w:rsidR="005E16B0" w:rsidRDefault="00177E6B" w:rsidP="005E16B0">
      <w:pPr>
        <w:pStyle w:val="NoSpacing"/>
        <w:numPr>
          <w:ilvl w:val="0"/>
          <w:numId w:val="10"/>
        </w:numPr>
      </w:pPr>
      <w:r>
        <w:t>Inform</w:t>
      </w:r>
      <w:r w:rsidR="006851A9">
        <w:t xml:space="preserve"> veterans of the key milestones in the claim investigation process </w:t>
      </w:r>
      <w:r w:rsidR="005E16B0">
        <w:t>and to</w:t>
      </w:r>
      <w:r w:rsidR="006851A9">
        <w:t xml:space="preserve"> set expectations around </w:t>
      </w:r>
      <w:r w:rsidR="005E16B0">
        <w:t>processing timeframes or potential delays,</w:t>
      </w:r>
    </w:p>
    <w:p w14:paraId="1F601D56" w14:textId="77777777" w:rsidR="008E1636" w:rsidRDefault="005E16B0" w:rsidP="005E16B0">
      <w:pPr>
        <w:pStyle w:val="NoSpacing"/>
        <w:numPr>
          <w:ilvl w:val="0"/>
          <w:numId w:val="10"/>
        </w:numPr>
      </w:pPr>
      <w:r>
        <w:t xml:space="preserve">Check to see if there have been changes any circumstances </w:t>
      </w:r>
      <w:r w:rsidR="00500FA6">
        <w:t xml:space="preserve">that may impact on claim priority </w:t>
      </w:r>
      <w:r>
        <w:t>since claim lodgement</w:t>
      </w:r>
      <w:r w:rsidR="008E1636">
        <w:t>, and</w:t>
      </w:r>
    </w:p>
    <w:p w14:paraId="4552385F" w14:textId="77777777" w:rsidR="005E16B0" w:rsidRDefault="008E1636" w:rsidP="005E16B0">
      <w:pPr>
        <w:pStyle w:val="NoSpacing"/>
        <w:numPr>
          <w:ilvl w:val="0"/>
          <w:numId w:val="10"/>
        </w:numPr>
      </w:pPr>
      <w:r>
        <w:t xml:space="preserve">Obtain advice from the claimant as to the frequency and mode of contact regarding the claim that will best suits their needs. </w:t>
      </w:r>
    </w:p>
    <w:p w14:paraId="7E495CF7" w14:textId="77777777" w:rsidR="005E16B0" w:rsidRDefault="005E16B0" w:rsidP="005E16B0">
      <w:pPr>
        <w:pStyle w:val="NoSpacing"/>
        <w:ind w:left="360"/>
      </w:pPr>
    </w:p>
    <w:p w14:paraId="5F80625F" w14:textId="77777777" w:rsidR="005E16B0" w:rsidRDefault="005E16B0" w:rsidP="005E16B0">
      <w:pPr>
        <w:pStyle w:val="NoSpacing"/>
      </w:pPr>
      <w:r>
        <w:t xml:space="preserve">For consistent messaging around the key milestones in the claims process please see:  </w:t>
      </w:r>
    </w:p>
    <w:p w14:paraId="5B4AAD0D" w14:textId="77777777" w:rsidR="005E16B0" w:rsidRDefault="005925DF" w:rsidP="005E16B0">
      <w:pPr>
        <w:pStyle w:val="NoSpacing"/>
      </w:pPr>
      <w:hyperlink r:id="rId11" w:history="1">
        <w:r w:rsidR="005E16B0">
          <w:rPr>
            <w:rStyle w:val="Hyperlink"/>
          </w:rPr>
          <w:t>What to expect after you have submitted a compensation claim | Department of Veterans' Affairs (dva.gov.au)</w:t>
        </w:r>
      </w:hyperlink>
      <w:r w:rsidR="005E16B0">
        <w:t xml:space="preserve"> </w:t>
      </w:r>
    </w:p>
    <w:p w14:paraId="5ADDC40E" w14:textId="77777777" w:rsidR="003C67AE" w:rsidRDefault="003C67AE" w:rsidP="005E16B0">
      <w:pPr>
        <w:pStyle w:val="NoSpacing"/>
      </w:pPr>
    </w:p>
    <w:p w14:paraId="08B7425A" w14:textId="77777777" w:rsidR="006A1E0B" w:rsidRDefault="006A1E0B" w:rsidP="005E16B0">
      <w:pPr>
        <w:pStyle w:val="NoSpacing"/>
        <w:rPr>
          <w:rFonts w:cstheme="minorHAnsi"/>
        </w:rPr>
      </w:pPr>
      <w:r>
        <w:t>Following the preliminary phone call, staff should send a follow-up email confirming what was discussed</w:t>
      </w:r>
      <w:r w:rsidR="00D22317">
        <w:t xml:space="preserve">. </w:t>
      </w:r>
    </w:p>
    <w:p w14:paraId="7979346F" w14:textId="77777777" w:rsidR="006A1E0B" w:rsidRDefault="006A1E0B" w:rsidP="005E16B0">
      <w:pPr>
        <w:pStyle w:val="NoSpacing"/>
      </w:pPr>
    </w:p>
    <w:p w14:paraId="39DD79F0" w14:textId="77777777" w:rsidR="00624868" w:rsidRDefault="00624868" w:rsidP="00624868">
      <w:pPr>
        <w:pStyle w:val="Heading3"/>
      </w:pPr>
      <w:bookmarkStart w:id="15" w:name="_Toc140237886"/>
      <w:r>
        <w:lastRenderedPageBreak/>
        <w:t>Claim Progress</w:t>
      </w:r>
      <w:r w:rsidRPr="00A915E3">
        <w:t xml:space="preserve"> Updates</w:t>
      </w:r>
      <w:bookmarkEnd w:id="15"/>
      <w:r w:rsidRPr="00A915E3">
        <w:t xml:space="preserve"> </w:t>
      </w:r>
    </w:p>
    <w:p w14:paraId="009BD085" w14:textId="77777777" w:rsidR="00624868" w:rsidRDefault="00624868" w:rsidP="00624868">
      <w:pPr>
        <w:pStyle w:val="NoSpacing"/>
      </w:pPr>
    </w:p>
    <w:p w14:paraId="749B3A1B" w14:textId="77777777" w:rsidR="00500FA6" w:rsidRDefault="006A1E0B" w:rsidP="00624868">
      <w:pPr>
        <w:rPr>
          <w:rFonts w:cstheme="minorHAnsi"/>
        </w:rPr>
      </w:pPr>
      <w:r>
        <w:t xml:space="preserve">A </w:t>
      </w:r>
      <w:r w:rsidR="00500FA6" w:rsidRPr="001318D5">
        <w:t xml:space="preserve">claimant </w:t>
      </w:r>
      <w:r w:rsidR="00D0734E">
        <w:t>a</w:t>
      </w:r>
      <w:r w:rsidR="00DD5403">
        <w:t>nd/or their advocate</w:t>
      </w:r>
      <w:r w:rsidR="00D0734E">
        <w:t xml:space="preserve"> </w:t>
      </w:r>
      <w:r w:rsidR="00DD5403">
        <w:t xml:space="preserve">or representative </w:t>
      </w:r>
      <w:r>
        <w:t xml:space="preserve">is to </w:t>
      </w:r>
      <w:r w:rsidR="00500FA6" w:rsidRPr="001318D5">
        <w:t xml:space="preserve">be contacted every 30 days regarding the progress of their claim unless by agreement or at the request of the claimant (to be recorded in the claim contact notes). </w:t>
      </w:r>
      <w:r w:rsidR="00500FA6">
        <w:t xml:space="preserve">This contact </w:t>
      </w:r>
      <w:r w:rsidR="00500FA6">
        <w:rPr>
          <w:rFonts w:cstheme="minorHAnsi"/>
        </w:rPr>
        <w:t xml:space="preserve">can be made by SMS, email or telephone.  </w:t>
      </w:r>
    </w:p>
    <w:p w14:paraId="02111C11" w14:textId="77777777" w:rsidR="00624868" w:rsidRPr="00BD050C" w:rsidRDefault="00624868" w:rsidP="00624868">
      <w:pPr>
        <w:rPr>
          <w:rFonts w:cstheme="minorHAnsi"/>
        </w:rPr>
      </w:pPr>
      <w:r>
        <w:rPr>
          <w:rFonts w:cstheme="minorHAnsi"/>
        </w:rPr>
        <w:t xml:space="preserve">Progress updates may include:  </w:t>
      </w:r>
    </w:p>
    <w:p w14:paraId="656E79BC" w14:textId="77777777" w:rsidR="00624868" w:rsidRDefault="00624868" w:rsidP="00624868">
      <w:pPr>
        <w:pStyle w:val="ListParagraph"/>
        <w:numPr>
          <w:ilvl w:val="0"/>
          <w:numId w:val="15"/>
        </w:numPr>
        <w:rPr>
          <w:rFonts w:cstheme="minorHAnsi"/>
        </w:rPr>
      </w:pPr>
      <w:r>
        <w:rPr>
          <w:rFonts w:cstheme="minorHAnsi"/>
        </w:rPr>
        <w:t xml:space="preserve">Reminders of requests for </w:t>
      </w:r>
      <w:r w:rsidRPr="001545FB">
        <w:rPr>
          <w:rFonts w:cstheme="minorHAnsi"/>
        </w:rPr>
        <w:t xml:space="preserve">information needed to process </w:t>
      </w:r>
      <w:r>
        <w:rPr>
          <w:rFonts w:cstheme="minorHAnsi"/>
        </w:rPr>
        <w:t xml:space="preserve">a </w:t>
      </w:r>
      <w:r w:rsidRPr="001545FB">
        <w:rPr>
          <w:rFonts w:cstheme="minorHAnsi"/>
        </w:rPr>
        <w:t>claim</w:t>
      </w:r>
      <w:r>
        <w:rPr>
          <w:rFonts w:cstheme="minorHAnsi"/>
        </w:rPr>
        <w:t xml:space="preserve">,  </w:t>
      </w:r>
    </w:p>
    <w:p w14:paraId="5A411F07" w14:textId="77777777" w:rsidR="00624868" w:rsidRDefault="00624868" w:rsidP="00624868">
      <w:pPr>
        <w:pStyle w:val="ListParagraph"/>
        <w:numPr>
          <w:ilvl w:val="0"/>
          <w:numId w:val="15"/>
        </w:numPr>
        <w:rPr>
          <w:rFonts w:cstheme="minorHAnsi"/>
        </w:rPr>
      </w:pPr>
      <w:r>
        <w:rPr>
          <w:rFonts w:cstheme="minorHAnsi"/>
        </w:rPr>
        <w:t xml:space="preserve">provide </w:t>
      </w:r>
      <w:r w:rsidRPr="001545FB">
        <w:rPr>
          <w:rFonts w:cstheme="minorHAnsi"/>
        </w:rPr>
        <w:t>details of an</w:t>
      </w:r>
      <w:r>
        <w:rPr>
          <w:rFonts w:cstheme="minorHAnsi"/>
        </w:rPr>
        <w:t>y outstanding matters</w:t>
      </w:r>
      <w:r w:rsidRPr="001545FB">
        <w:rPr>
          <w:rFonts w:cstheme="minorHAnsi"/>
        </w:rPr>
        <w:t xml:space="preserve"> such as potential delays to medical reports</w:t>
      </w:r>
      <w:r>
        <w:rPr>
          <w:rFonts w:cstheme="minorHAnsi"/>
        </w:rPr>
        <w:t>,</w:t>
      </w:r>
    </w:p>
    <w:p w14:paraId="0F503872" w14:textId="77777777" w:rsidR="00624868" w:rsidRDefault="00624868" w:rsidP="00624868">
      <w:pPr>
        <w:pStyle w:val="ListParagraph"/>
        <w:numPr>
          <w:ilvl w:val="0"/>
          <w:numId w:val="15"/>
        </w:numPr>
        <w:rPr>
          <w:rFonts w:cstheme="minorHAnsi"/>
        </w:rPr>
      </w:pPr>
      <w:r>
        <w:rPr>
          <w:rFonts w:cstheme="minorHAnsi"/>
        </w:rPr>
        <w:t>confirm</w:t>
      </w:r>
      <w:r w:rsidRPr="001545FB">
        <w:rPr>
          <w:rFonts w:cstheme="minorHAnsi"/>
        </w:rPr>
        <w:t xml:space="preserve"> upcoming medical appointments</w:t>
      </w:r>
      <w:r>
        <w:rPr>
          <w:rFonts w:cstheme="minorHAnsi"/>
        </w:rPr>
        <w:t xml:space="preserve"> in respect to a claim, and</w:t>
      </w:r>
    </w:p>
    <w:p w14:paraId="13922C48" w14:textId="77777777" w:rsidR="00624868" w:rsidRPr="009F1290" w:rsidRDefault="00624868" w:rsidP="00624868">
      <w:pPr>
        <w:pStyle w:val="ListParagraph"/>
        <w:numPr>
          <w:ilvl w:val="0"/>
          <w:numId w:val="15"/>
        </w:numPr>
        <w:rPr>
          <w:rFonts w:cstheme="minorHAnsi"/>
        </w:rPr>
      </w:pPr>
      <w:r>
        <w:rPr>
          <w:rFonts w:cstheme="minorHAnsi"/>
        </w:rPr>
        <w:t>respond to any questions a client may have about their claim.</w:t>
      </w:r>
    </w:p>
    <w:p w14:paraId="69B988D7" w14:textId="77777777" w:rsidR="00500FA6" w:rsidRDefault="00624868" w:rsidP="00C732EE">
      <w:r>
        <w:t>Many staff already make routine contact with veterans throughout the claims process and understand the benefits of regular communication.  T</w:t>
      </w:r>
      <w:r w:rsidRPr="002945F4">
        <w:t xml:space="preserve">o ensure that the individual needs of each veteran is being taken into account, </w:t>
      </w:r>
      <w:r>
        <w:t>staff</w:t>
      </w:r>
      <w:r w:rsidRPr="002945F4">
        <w:t xml:space="preserve"> should maintain discretion, and </w:t>
      </w:r>
      <w:r>
        <w:t>exercise sound judgement</w:t>
      </w:r>
      <w:r w:rsidRPr="002945F4">
        <w:t xml:space="preserve"> where regular conta</w:t>
      </w:r>
      <w:r>
        <w:t xml:space="preserve">ct is being made.  </w:t>
      </w:r>
    </w:p>
    <w:p w14:paraId="0DC39346" w14:textId="77777777" w:rsidR="00500FA6" w:rsidRPr="001318D5" w:rsidRDefault="00500FA6" w:rsidP="00500FA6">
      <w:r w:rsidRPr="001318D5">
        <w:t>Some examples of where monthly contact may not be required are:</w:t>
      </w:r>
    </w:p>
    <w:p w14:paraId="22F59EE0" w14:textId="77777777" w:rsidR="00500FA6" w:rsidRPr="001318D5" w:rsidRDefault="00500FA6" w:rsidP="00500FA6">
      <w:pPr>
        <w:pStyle w:val="ListParagraph"/>
        <w:numPr>
          <w:ilvl w:val="0"/>
          <w:numId w:val="27"/>
        </w:numPr>
      </w:pPr>
      <w:r w:rsidRPr="001318D5">
        <w:t>Where the claim is awaiting a medical appointment and the claimant agrees contact will be made after the appointment takes place or the report is received.</w:t>
      </w:r>
    </w:p>
    <w:p w14:paraId="43DCC4ED" w14:textId="77777777" w:rsidR="00500FA6" w:rsidRPr="001318D5" w:rsidRDefault="00500FA6" w:rsidP="00500FA6">
      <w:pPr>
        <w:pStyle w:val="ListParagraph"/>
        <w:numPr>
          <w:ilvl w:val="0"/>
          <w:numId w:val="27"/>
        </w:numPr>
      </w:pPr>
      <w:r w:rsidRPr="001318D5">
        <w:t>The claimant specifically requests to be contacted less frequently.</w:t>
      </w:r>
    </w:p>
    <w:p w14:paraId="74511ABD" w14:textId="2892DF0F" w:rsidR="008B1528" w:rsidRDefault="00500FA6" w:rsidP="008B1528">
      <w:pPr>
        <w:spacing w:after="0"/>
      </w:pPr>
      <w:r w:rsidRPr="001318D5">
        <w:t xml:space="preserve">Specific contact requirements for Case Coordinated clients should be discussed with the Case Coordinator and recorded on the claim. </w:t>
      </w:r>
    </w:p>
    <w:p w14:paraId="2583FE52" w14:textId="77777777" w:rsidR="008B1528" w:rsidRPr="001318D5" w:rsidRDefault="008B1528" w:rsidP="008B1528">
      <w:pPr>
        <w:spacing w:after="0"/>
      </w:pPr>
    </w:p>
    <w:p w14:paraId="2A9795FE" w14:textId="4EC1DE17" w:rsidR="00A50B46" w:rsidRPr="00A915E3" w:rsidRDefault="00A50B46" w:rsidP="008B1528">
      <w:pPr>
        <w:pStyle w:val="Heading3"/>
      </w:pPr>
      <w:bookmarkStart w:id="16" w:name="_Toc140237887"/>
      <w:bookmarkEnd w:id="13"/>
      <w:r w:rsidRPr="00A915E3">
        <w:t>Pre-Determination Call</w:t>
      </w:r>
      <w:bookmarkEnd w:id="16"/>
    </w:p>
    <w:p w14:paraId="1461E86C" w14:textId="77777777" w:rsidR="00A50B46" w:rsidRDefault="00A50B46" w:rsidP="00FD4BF6">
      <w:pPr>
        <w:pStyle w:val="NoSpacing"/>
      </w:pPr>
    </w:p>
    <w:p w14:paraId="0B1E4517" w14:textId="77777777" w:rsidR="006A1E0B" w:rsidRDefault="006A1E0B" w:rsidP="006A1E0B">
      <w:pPr>
        <w:pStyle w:val="NoSpacing"/>
        <w:rPr>
          <w:rFonts w:cstheme="minorHAnsi"/>
          <w:szCs w:val="24"/>
          <w:shd w:val="clear" w:color="auto" w:fill="FFFFFF"/>
        </w:rPr>
      </w:pPr>
      <w:r>
        <w:rPr>
          <w:rFonts w:cstheme="minorHAnsi"/>
          <w:szCs w:val="24"/>
          <w:shd w:val="clear" w:color="auto" w:fill="FFFFFF"/>
        </w:rPr>
        <w:t xml:space="preserve">To ensure procedural fairness where an adverse decision is being made, DVA must provide clients with a reasonable opportunity to comment on a medical report or provide additional information to support their claim. This opportunity must be provided before the claim is determined. </w:t>
      </w:r>
    </w:p>
    <w:p w14:paraId="234D2C45" w14:textId="77777777" w:rsidR="00503699" w:rsidRDefault="00503699" w:rsidP="006A1E0B">
      <w:pPr>
        <w:pStyle w:val="NoSpacing"/>
        <w:rPr>
          <w:rFonts w:cstheme="minorHAnsi"/>
        </w:rPr>
      </w:pPr>
    </w:p>
    <w:p w14:paraId="62A80D49" w14:textId="77777777" w:rsidR="00503699" w:rsidRDefault="00503699" w:rsidP="00503699">
      <w:pPr>
        <w:pStyle w:val="NoSpacing"/>
        <w:rPr>
          <w:rFonts w:cstheme="minorHAnsi"/>
        </w:rPr>
      </w:pPr>
      <w:r>
        <w:rPr>
          <w:rFonts w:cstheme="minorHAnsi"/>
          <w:szCs w:val="24"/>
        </w:rPr>
        <w:t xml:space="preserve">A pre-determination call provides staff the opportunity to inform a veteran that a determination is about to be made, the likely outcome of the determination, and </w:t>
      </w:r>
      <w:r>
        <w:rPr>
          <w:rFonts w:cstheme="minorHAnsi"/>
        </w:rPr>
        <w:t>explain the reasons for the decision, in a much more effective and supportive way than a determination letter.</w:t>
      </w:r>
    </w:p>
    <w:p w14:paraId="64128887" w14:textId="77777777" w:rsidR="006A1E0B" w:rsidRDefault="006A1E0B" w:rsidP="006A1E0B">
      <w:pPr>
        <w:pStyle w:val="NoSpacing"/>
        <w:rPr>
          <w:rFonts w:cstheme="minorHAnsi"/>
        </w:rPr>
      </w:pPr>
    </w:p>
    <w:p w14:paraId="360C892C" w14:textId="77777777" w:rsidR="006A1E0B" w:rsidRDefault="006A1E0B" w:rsidP="006A1E0B">
      <w:pPr>
        <w:pStyle w:val="NoSpacing"/>
        <w:rPr>
          <w:rFonts w:cstheme="minorHAnsi"/>
        </w:rPr>
      </w:pPr>
      <w:r>
        <w:rPr>
          <w:rFonts w:cstheme="minorHAnsi"/>
        </w:rPr>
        <w:t>For further information see:</w:t>
      </w:r>
    </w:p>
    <w:p w14:paraId="19F72691" w14:textId="77777777" w:rsidR="006A1E0B" w:rsidRDefault="005925DF" w:rsidP="006A1E0B">
      <w:pPr>
        <w:spacing w:after="0" w:line="240" w:lineRule="auto"/>
        <w:rPr>
          <w:rFonts w:cstheme="minorHAnsi"/>
        </w:rPr>
      </w:pPr>
      <w:hyperlink r:id="rId12" w:history="1">
        <w:r w:rsidR="006A1E0B" w:rsidRPr="00DA67D8">
          <w:rPr>
            <w:rStyle w:val="Hyperlink"/>
            <w:rFonts w:cstheme="minorHAnsi"/>
          </w:rPr>
          <w:t>3.2 Natural Justice Considerations and Prior Warning of Adverse Decisions | Military Compensation SRCA Manuals and Resources Library, Liability Handbook, Ch 3 Determinations of Liability (dva.gov.au)</w:t>
        </w:r>
      </w:hyperlink>
      <w:r w:rsidR="006A1E0B" w:rsidRPr="00DA67D8">
        <w:rPr>
          <w:rFonts w:cstheme="minorHAnsi"/>
        </w:rPr>
        <w:t xml:space="preserve"> </w:t>
      </w:r>
    </w:p>
    <w:p w14:paraId="398F4A63" w14:textId="77777777" w:rsidR="00DD5403" w:rsidRDefault="00DD5403" w:rsidP="00FD4BF6">
      <w:pPr>
        <w:spacing w:after="0" w:line="240" w:lineRule="auto"/>
        <w:rPr>
          <w:rFonts w:ascii="Times New Roman" w:hAnsi="Times New Roman" w:cs="Times New Roman"/>
          <w:sz w:val="24"/>
          <w:szCs w:val="24"/>
          <w:lang w:eastAsia="en-AU"/>
        </w:rPr>
      </w:pPr>
    </w:p>
    <w:p w14:paraId="49259D45" w14:textId="77777777" w:rsidR="00DD5403" w:rsidRPr="00F67D48" w:rsidRDefault="006A1E0B" w:rsidP="00DD5403">
      <w:pPr>
        <w:pStyle w:val="Heading3"/>
        <w:rPr>
          <w:rStyle w:val="ui-provider"/>
          <w:rFonts w:asciiTheme="minorHAnsi" w:eastAsia="Times New Roman" w:hAnsiTheme="minorHAnsi" w:cstheme="minorBidi"/>
          <w:color w:val="auto"/>
          <w:sz w:val="22"/>
          <w:szCs w:val="22"/>
          <w:lang w:eastAsia="en-AU"/>
        </w:rPr>
      </w:pPr>
      <w:r w:rsidDel="008C267F">
        <w:t xml:space="preserve"> </w:t>
      </w:r>
      <w:bookmarkStart w:id="17" w:name="_Toc140237888"/>
      <w:r w:rsidR="00DD5403">
        <w:rPr>
          <w:rFonts w:eastAsia="Times New Roman"/>
          <w:lang w:eastAsia="en-AU"/>
        </w:rPr>
        <w:t>28 Day Reminder Letter</w:t>
      </w:r>
      <w:bookmarkEnd w:id="17"/>
      <w:r w:rsidR="00DD5403">
        <w:rPr>
          <w:rFonts w:eastAsia="Times New Roman"/>
          <w:lang w:eastAsia="en-AU"/>
        </w:rPr>
        <w:br/>
      </w:r>
    </w:p>
    <w:p w14:paraId="0F4F8860" w14:textId="77777777" w:rsidR="00DA3D41" w:rsidRDefault="00DA3D41" w:rsidP="00DA3D41">
      <w:pPr>
        <w:pStyle w:val="NoSpacing"/>
        <w:rPr>
          <w:rStyle w:val="ui-provider"/>
        </w:rPr>
      </w:pPr>
      <w:r>
        <w:rPr>
          <w:rStyle w:val="ui-provider"/>
        </w:rPr>
        <w:t xml:space="preserve">Throughout the claims process, staff may need to request additional documentation to support the investigation of a claim that only the client can provide. For example, claimant reports, contention information and witness statements. Where an information request has not been completed, staff can utilise any of the listed contact points to remind a claimant of the required information to finalise their claim. These reminders can be conducted through the use of SMS, telephone or email. </w:t>
      </w:r>
    </w:p>
    <w:p w14:paraId="792F9354" w14:textId="77777777" w:rsidR="00DA3D41" w:rsidRDefault="00DA3D41" w:rsidP="00DA3D41">
      <w:pPr>
        <w:pStyle w:val="NoSpacing"/>
        <w:rPr>
          <w:rStyle w:val="ui-provider"/>
        </w:rPr>
      </w:pPr>
    </w:p>
    <w:p w14:paraId="3133F028" w14:textId="30A90F47" w:rsidR="00DA3D41" w:rsidRDefault="00DA3D41" w:rsidP="00DA3D41">
      <w:pPr>
        <w:pStyle w:val="NoSpacing"/>
        <w:rPr>
          <w:rStyle w:val="ui-provider"/>
        </w:rPr>
      </w:pPr>
      <w:r>
        <w:rPr>
          <w:rStyle w:val="ui-provider"/>
        </w:rPr>
        <w:lastRenderedPageBreak/>
        <w:t xml:space="preserve">If numerous attempts to obtain the information fails and where the requested information could be provided by the client without unreasonable expense or inconvenience, staff may issue a final reminder in line with the 28 day reminder letter. </w:t>
      </w:r>
    </w:p>
    <w:p w14:paraId="6B37F3A5" w14:textId="60BBD488" w:rsidR="003D1685" w:rsidRPr="003D1685" w:rsidRDefault="003D1685" w:rsidP="00FD4BF6">
      <w:pPr>
        <w:spacing w:line="240" w:lineRule="auto"/>
        <w:rPr>
          <w:rFonts w:cstheme="minorHAnsi"/>
        </w:rPr>
      </w:pPr>
    </w:p>
    <w:p w14:paraId="5C8AF155" w14:textId="77777777" w:rsidR="005C14C5" w:rsidRPr="00A915E3" w:rsidRDefault="005C14C5" w:rsidP="00C732EE">
      <w:pPr>
        <w:pStyle w:val="Heading3"/>
      </w:pPr>
      <w:bookmarkStart w:id="18" w:name="_Toc140237889"/>
      <w:r w:rsidRPr="00A915E3">
        <w:t>Needs Assessment</w:t>
      </w:r>
      <w:bookmarkEnd w:id="18"/>
      <w:r w:rsidRPr="00A915E3">
        <w:t xml:space="preserve"> </w:t>
      </w:r>
    </w:p>
    <w:p w14:paraId="59593566" w14:textId="77777777" w:rsidR="005C14C5" w:rsidRDefault="005C14C5" w:rsidP="00CD4749">
      <w:pPr>
        <w:pStyle w:val="NoSpacing"/>
      </w:pPr>
    </w:p>
    <w:p w14:paraId="4E627CFE" w14:textId="77777777" w:rsidR="00872DE2" w:rsidRDefault="000265B0" w:rsidP="00872DE2">
      <w:r>
        <w:t>A Needs Assessment</w:t>
      </w:r>
      <w:r w:rsidR="00D1536E">
        <w:t xml:space="preserve"> </w:t>
      </w:r>
      <w:r w:rsidR="0050333D">
        <w:t xml:space="preserve">must </w:t>
      </w:r>
      <w:r>
        <w:t>be</w:t>
      </w:r>
      <w:r w:rsidR="005C14C5">
        <w:t xml:space="preserve"> conducted following the finalisation of an initial liability claim, to establish the needs of the veteran and to identify benefits and services available </w:t>
      </w:r>
      <w:r w:rsidR="00B03578">
        <w:t>including</w:t>
      </w:r>
      <w:r w:rsidR="005C14C5">
        <w:t xml:space="preserve"> Incapacity Payments, Permanent Impairment, and Rehabilitation &amp; Household Services. </w:t>
      </w:r>
      <w:r w:rsidR="00BF3CF5">
        <w:t xml:space="preserve">The Needs Assessment where possible should be conducted by phone call. </w:t>
      </w:r>
    </w:p>
    <w:p w14:paraId="33620E8A" w14:textId="77777777" w:rsidR="00D1536E" w:rsidRDefault="00D1536E" w:rsidP="00D1536E">
      <w:r>
        <w:t>Engaging directly with the client assists DVA to have a meaningful discussion about their needs and to identify services that will support their wellbeing. The needs assessment process recognises</w:t>
      </w:r>
      <w:r>
        <w:rPr>
          <w:lang w:eastAsia="en-AU"/>
        </w:rPr>
        <w:t xml:space="preserve"> that a veterans’ needs can change along the course of the claims journey and that personal contact provides the best opportunity for these changes to be identified and acted upon.</w:t>
      </w:r>
    </w:p>
    <w:p w14:paraId="53D49E0C" w14:textId="77777777" w:rsidR="00DF2A4C" w:rsidRDefault="00DF2A4C" w:rsidP="003D1685">
      <w:pPr>
        <w:pStyle w:val="NoSpacing"/>
      </w:pPr>
    </w:p>
    <w:p w14:paraId="1EC00B00" w14:textId="77777777" w:rsidR="005A5D3B" w:rsidRDefault="005A5D3B" w:rsidP="00DA67D8">
      <w:pPr>
        <w:pStyle w:val="Heading2"/>
      </w:pPr>
    </w:p>
    <w:p w14:paraId="5B233190" w14:textId="77777777" w:rsidR="00A055F6" w:rsidRDefault="00A055F6">
      <w:pPr>
        <w:rPr>
          <w:rFonts w:asciiTheme="majorHAnsi" w:eastAsiaTheme="majorEastAsia" w:hAnsiTheme="majorHAnsi" w:cstheme="majorBidi"/>
          <w:b/>
          <w:color w:val="2E74B5" w:themeColor="accent1" w:themeShade="BF"/>
          <w:sz w:val="32"/>
          <w:szCs w:val="32"/>
        </w:rPr>
      </w:pPr>
      <w:r>
        <w:rPr>
          <w:b/>
        </w:rPr>
        <w:br w:type="page"/>
      </w:r>
    </w:p>
    <w:p w14:paraId="4872D445" w14:textId="7F8CE467" w:rsidR="003F4EE7" w:rsidRPr="00FD4BF6" w:rsidRDefault="00A8480B" w:rsidP="00FD4BF6">
      <w:pPr>
        <w:pStyle w:val="Heading1"/>
        <w:rPr>
          <w:b/>
        </w:rPr>
      </w:pPr>
      <w:bookmarkStart w:id="19" w:name="_Toc140237890"/>
      <w:r w:rsidRPr="00FD4BF6">
        <w:rPr>
          <w:b/>
        </w:rPr>
        <w:lastRenderedPageBreak/>
        <w:t>Related P</w:t>
      </w:r>
      <w:r w:rsidR="003F4EE7" w:rsidRPr="00FD4BF6">
        <w:rPr>
          <w:b/>
        </w:rPr>
        <w:t>olicies</w:t>
      </w:r>
      <w:r w:rsidRPr="00FD4BF6">
        <w:rPr>
          <w:b/>
        </w:rPr>
        <w:t xml:space="preserve"> &amp; </w:t>
      </w:r>
      <w:r w:rsidR="00C51BA4" w:rsidRPr="00FD4BF6">
        <w:rPr>
          <w:b/>
        </w:rPr>
        <w:t>Procedural Guidance</w:t>
      </w:r>
      <w:bookmarkEnd w:id="19"/>
    </w:p>
    <w:p w14:paraId="784629AA" w14:textId="77777777" w:rsidR="00C51BA4" w:rsidRDefault="00C51BA4" w:rsidP="00DF144D">
      <w:pPr>
        <w:pStyle w:val="NoSpacing"/>
      </w:pPr>
    </w:p>
    <w:p w14:paraId="36B94D5A" w14:textId="77777777" w:rsidR="00DF144D" w:rsidRDefault="00DF144D" w:rsidP="00C732EE">
      <w:pPr>
        <w:pStyle w:val="NoSpacing"/>
      </w:pPr>
      <w:r>
        <w:t>Client Communication Procedures</w:t>
      </w:r>
      <w:r w:rsidR="00C51BA4">
        <w:t xml:space="preserve">: </w:t>
      </w:r>
    </w:p>
    <w:p w14:paraId="7DD9536D" w14:textId="77777777" w:rsidR="00DF144D" w:rsidRDefault="005925DF" w:rsidP="00C51BA4">
      <w:pPr>
        <w:pStyle w:val="NoSpacing"/>
      </w:pPr>
      <w:hyperlink r:id="rId13" w:history="1">
        <w:r w:rsidR="00DF144D">
          <w:rPr>
            <w:rStyle w:val="Hyperlink"/>
          </w:rPr>
          <w:t>Client communication procedures | Compensation claims procedures, Communication procedures (dva.gov.au)</w:t>
        </w:r>
      </w:hyperlink>
    </w:p>
    <w:p w14:paraId="156285B8" w14:textId="77777777" w:rsidR="00C51BA4" w:rsidRDefault="00C51BA4" w:rsidP="00C51BA4">
      <w:pPr>
        <w:pStyle w:val="NoSpacing"/>
      </w:pPr>
    </w:p>
    <w:p w14:paraId="7FB0A6E7" w14:textId="77777777" w:rsidR="00A8480B" w:rsidRDefault="00A8480B" w:rsidP="00C732EE">
      <w:pPr>
        <w:pStyle w:val="NoSpacing"/>
      </w:pPr>
      <w:r>
        <w:t xml:space="preserve">Communicating with Representatives: </w:t>
      </w:r>
    </w:p>
    <w:p w14:paraId="36FFDB90" w14:textId="77777777" w:rsidR="00DF144D" w:rsidRDefault="005925DF" w:rsidP="00C51BA4">
      <w:pPr>
        <w:pStyle w:val="NoSpacing"/>
      </w:pPr>
      <w:hyperlink r:id="rId14" w:history="1">
        <w:r w:rsidR="00A8480B">
          <w:rPr>
            <w:rStyle w:val="Hyperlink"/>
          </w:rPr>
          <w:t>Client representation and withdrawal of consent | Compensation claims procedures, Foundations, Client representation (dva.gov.au)</w:t>
        </w:r>
      </w:hyperlink>
    </w:p>
    <w:p w14:paraId="1096EFAB" w14:textId="77777777" w:rsidR="00C51BA4" w:rsidRPr="00A8480B" w:rsidRDefault="00C51BA4" w:rsidP="00C51BA4">
      <w:pPr>
        <w:pStyle w:val="NoSpacing"/>
      </w:pPr>
    </w:p>
    <w:p w14:paraId="09752A1F" w14:textId="77777777" w:rsidR="00DF144D" w:rsidRDefault="004F218B" w:rsidP="00C732EE">
      <w:pPr>
        <w:pStyle w:val="NoSpacing"/>
        <w:rPr>
          <w:rFonts w:cstheme="minorHAnsi"/>
        </w:rPr>
      </w:pPr>
      <w:r>
        <w:rPr>
          <w:rFonts w:cstheme="minorHAnsi"/>
        </w:rPr>
        <w:t>Coordinated</w:t>
      </w:r>
      <w:r w:rsidR="00A8480B">
        <w:rPr>
          <w:rFonts w:cstheme="minorHAnsi"/>
        </w:rPr>
        <w:t xml:space="preserve"> Client Support and T&amp;C</w:t>
      </w:r>
    </w:p>
    <w:p w14:paraId="6EDDA72C" w14:textId="77777777" w:rsidR="00DF144D" w:rsidRDefault="005925DF" w:rsidP="00C51BA4">
      <w:pPr>
        <w:pStyle w:val="NoSpacing"/>
      </w:pPr>
      <w:hyperlink r:id="rId15" w:history="1">
        <w:r w:rsidR="00A8480B">
          <w:rPr>
            <w:rStyle w:val="Hyperlink"/>
          </w:rPr>
          <w:t>8.Engaging with Coordinated Client Support and T&amp;C | Compensation claims procedures, Communication procedures (dva.gov.au)</w:t>
        </w:r>
      </w:hyperlink>
    </w:p>
    <w:p w14:paraId="486340DD" w14:textId="77777777" w:rsidR="00C51BA4" w:rsidRDefault="00C51BA4" w:rsidP="00C51BA4">
      <w:pPr>
        <w:pStyle w:val="NoSpacing"/>
        <w:rPr>
          <w:rFonts w:cstheme="minorHAnsi"/>
        </w:rPr>
      </w:pPr>
    </w:p>
    <w:p w14:paraId="22BC3E1F" w14:textId="77777777" w:rsidR="00DF144D" w:rsidRDefault="00DF144D" w:rsidP="00C732EE">
      <w:pPr>
        <w:pStyle w:val="NoSpacing"/>
        <w:rPr>
          <w:rFonts w:cstheme="minorHAnsi"/>
        </w:rPr>
      </w:pPr>
      <w:r>
        <w:rPr>
          <w:rFonts w:cstheme="minorHAnsi"/>
        </w:rPr>
        <w:t>SMS</w:t>
      </w:r>
    </w:p>
    <w:p w14:paraId="2AA7EAF4" w14:textId="77777777" w:rsidR="00DF144D" w:rsidRDefault="005925DF" w:rsidP="00C51BA4">
      <w:pPr>
        <w:pStyle w:val="NoSpacing"/>
        <w:rPr>
          <w:rStyle w:val="Hyperlink"/>
        </w:rPr>
      </w:pPr>
      <w:hyperlink r:id="rId16" w:history="1">
        <w:r w:rsidR="00DF144D">
          <w:rPr>
            <w:rStyle w:val="Hyperlink"/>
          </w:rPr>
          <w:t>SMS | Compensation claims procedures, Communication procedures (dva.gov.au)</w:t>
        </w:r>
      </w:hyperlink>
    </w:p>
    <w:p w14:paraId="06ED5541" w14:textId="77777777" w:rsidR="00DB3954" w:rsidRDefault="00DB3954" w:rsidP="00C51BA4">
      <w:pPr>
        <w:pStyle w:val="NoSpacing"/>
        <w:rPr>
          <w:rStyle w:val="Hyperlink"/>
        </w:rPr>
      </w:pPr>
    </w:p>
    <w:p w14:paraId="59EC6472" w14:textId="77777777" w:rsidR="00DB3954" w:rsidRPr="00DB3954" w:rsidRDefault="00DB3954" w:rsidP="00C51BA4">
      <w:pPr>
        <w:pStyle w:val="NoSpacing"/>
      </w:pPr>
      <w:r w:rsidRPr="00DB3954">
        <w:t>Written communication &amp; signature blocks:</w:t>
      </w:r>
    </w:p>
    <w:p w14:paraId="5CD64E57" w14:textId="77777777" w:rsidR="00DB3954" w:rsidRPr="00A8480B" w:rsidRDefault="005925DF" w:rsidP="00C51BA4">
      <w:pPr>
        <w:pStyle w:val="NoSpacing"/>
        <w:rPr>
          <w:rFonts w:cstheme="minorHAnsi"/>
        </w:rPr>
      </w:pPr>
      <w:hyperlink r:id="rId17" w:history="1">
        <w:r w:rsidR="00DB3954">
          <w:rPr>
            <w:rStyle w:val="Hyperlink"/>
          </w:rPr>
          <w:t>Written communication | Compensation claims procedures, Communication procedures (dva.gov.au)</w:t>
        </w:r>
      </w:hyperlink>
    </w:p>
    <w:p w14:paraId="24885326" w14:textId="77777777" w:rsidR="00A8480B" w:rsidRDefault="00A8480B" w:rsidP="00A8480B">
      <w:pPr>
        <w:pStyle w:val="NoSpacing"/>
        <w:ind w:left="720"/>
      </w:pPr>
    </w:p>
    <w:p w14:paraId="1CEA8FBB" w14:textId="77777777" w:rsidR="00A8480B" w:rsidRDefault="00A8480B" w:rsidP="00A8480B">
      <w:pPr>
        <w:pStyle w:val="NoSpacing"/>
        <w:ind w:left="720"/>
        <w:rPr>
          <w:rFonts w:cstheme="minorHAnsi"/>
        </w:rPr>
      </w:pPr>
    </w:p>
    <w:p w14:paraId="6D98B1E0" w14:textId="77777777" w:rsidR="00DF144D" w:rsidRPr="00DD1327" w:rsidRDefault="00DF144D" w:rsidP="00DF144D">
      <w:pPr>
        <w:pStyle w:val="NoSpacing"/>
        <w:rPr>
          <w:rFonts w:cstheme="minorHAnsi"/>
        </w:rPr>
      </w:pPr>
    </w:p>
    <w:p w14:paraId="3B68A269" w14:textId="20D55906" w:rsidR="004F218B" w:rsidRDefault="004F218B" w:rsidP="004F218B">
      <w:pPr>
        <w:pStyle w:val="Heading2"/>
        <w:rPr>
          <w:b/>
        </w:rPr>
      </w:pPr>
    </w:p>
    <w:p w14:paraId="382B6053" w14:textId="77777777" w:rsidR="006851A9" w:rsidRDefault="006851A9" w:rsidP="004F218B">
      <w:pPr>
        <w:pStyle w:val="Heading2"/>
        <w:rPr>
          <w:b/>
        </w:rPr>
      </w:pPr>
    </w:p>
    <w:p w14:paraId="731B233F" w14:textId="77777777" w:rsidR="006851A9" w:rsidRDefault="006851A9" w:rsidP="004F218B">
      <w:pPr>
        <w:pStyle w:val="Heading2"/>
        <w:rPr>
          <w:b/>
        </w:rPr>
      </w:pPr>
    </w:p>
    <w:p w14:paraId="73241295" w14:textId="77777777" w:rsidR="00646675" w:rsidRPr="005510CA" w:rsidRDefault="00DD1327" w:rsidP="00DF2A4C">
      <w:pPr>
        <w:spacing w:after="240" w:line="240" w:lineRule="auto"/>
        <w:rPr>
          <w:rFonts w:cstheme="minorHAnsi"/>
        </w:rPr>
      </w:pPr>
      <w:r>
        <w:rPr>
          <w:rFonts w:eastAsia="Times New Roman" w:cstheme="minorHAnsi"/>
          <w:lang w:eastAsia="en-AU"/>
        </w:rPr>
        <w:t xml:space="preserve"> </w:t>
      </w:r>
    </w:p>
    <w:sectPr w:rsidR="00646675" w:rsidRPr="005510CA" w:rsidSect="00877BA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0C9EA" w14:textId="77777777" w:rsidR="00D20711" w:rsidRDefault="00D20711" w:rsidP="00327D22">
      <w:pPr>
        <w:spacing w:after="0" w:line="240" w:lineRule="auto"/>
      </w:pPr>
      <w:r>
        <w:separator/>
      </w:r>
    </w:p>
  </w:endnote>
  <w:endnote w:type="continuationSeparator" w:id="0">
    <w:p w14:paraId="68F13AFA" w14:textId="77777777" w:rsidR="00D20711" w:rsidRDefault="00D20711" w:rsidP="0032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0A37C" w14:textId="77777777" w:rsidR="005925DF" w:rsidRDefault="00592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56CD" w14:textId="3AB894C3" w:rsidR="00DD1327" w:rsidRPr="002603BD" w:rsidRDefault="00DD1327">
    <w:pPr>
      <w:pStyle w:val="Footer"/>
      <w:rPr>
        <w:sz w:val="18"/>
      </w:rPr>
    </w:pPr>
    <w:r w:rsidRPr="002603BD">
      <w:rPr>
        <w:sz w:val="18"/>
      </w:rPr>
      <w:t xml:space="preserve">DVA Policy – </w:t>
    </w:r>
    <w:r w:rsidR="00F67D48">
      <w:rPr>
        <w:sz w:val="18"/>
      </w:rPr>
      <w:t xml:space="preserve">Compensation Claim </w:t>
    </w:r>
    <w:r w:rsidRPr="002603BD">
      <w:rPr>
        <w:sz w:val="18"/>
      </w:rPr>
      <w:t xml:space="preserve">Communication Standards – </w:t>
    </w:r>
    <w:r w:rsidR="00B014EA">
      <w:rPr>
        <w:sz w:val="18"/>
      </w:rPr>
      <w:t>Version 2</w:t>
    </w:r>
    <w:r w:rsidR="00990034">
      <w:rPr>
        <w:sz w:val="18"/>
      </w:rPr>
      <w:t xml:space="preserve">, </w:t>
    </w:r>
    <w:r w:rsidR="006B40DE">
      <w:rPr>
        <w:sz w:val="18"/>
      </w:rPr>
      <w:t>July</w:t>
    </w:r>
    <w:r w:rsidR="00BD050C">
      <w:rPr>
        <w:sz w:val="18"/>
      </w:rPr>
      <w:t xml:space="preserve"> </w:t>
    </w:r>
    <w:r w:rsidRPr="002603BD">
      <w:rPr>
        <w:sz w:val="18"/>
      </w:rPr>
      <w:t>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0E265" w14:textId="77777777" w:rsidR="005925DF" w:rsidRDefault="00592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0D00" w14:textId="77777777" w:rsidR="00D20711" w:rsidRDefault="00D20711" w:rsidP="00327D22">
      <w:pPr>
        <w:spacing w:after="0" w:line="240" w:lineRule="auto"/>
      </w:pPr>
      <w:r>
        <w:separator/>
      </w:r>
    </w:p>
  </w:footnote>
  <w:footnote w:type="continuationSeparator" w:id="0">
    <w:p w14:paraId="1C2A9758" w14:textId="77777777" w:rsidR="00D20711" w:rsidRDefault="00D20711" w:rsidP="0032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6442" w14:textId="77777777" w:rsidR="005925DF" w:rsidRDefault="00592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48C5" w14:textId="7D360520" w:rsidR="00327D22" w:rsidRPr="00327D22" w:rsidRDefault="00327D22" w:rsidP="00327D22">
    <w:pPr>
      <w:pStyle w:val="Header"/>
      <w:jc w:val="center"/>
      <w:rPr>
        <w:b/>
        <w:sz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3612" w14:textId="77777777" w:rsidR="005925DF" w:rsidRDefault="0059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2AE"/>
    <w:multiLevelType w:val="hybridMultilevel"/>
    <w:tmpl w:val="CA92F528"/>
    <w:lvl w:ilvl="0" w:tplc="FDAC326C">
      <w:start w:val="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DF6D47"/>
    <w:multiLevelType w:val="hybridMultilevel"/>
    <w:tmpl w:val="E4EA6F1A"/>
    <w:lvl w:ilvl="0" w:tplc="CAFA79D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F4177A"/>
    <w:multiLevelType w:val="hybridMultilevel"/>
    <w:tmpl w:val="5B2E6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768AC"/>
    <w:multiLevelType w:val="hybridMultilevel"/>
    <w:tmpl w:val="CA04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771BA"/>
    <w:multiLevelType w:val="hybridMultilevel"/>
    <w:tmpl w:val="D8609940"/>
    <w:lvl w:ilvl="0" w:tplc="8968D87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EB008C6"/>
    <w:multiLevelType w:val="hybridMultilevel"/>
    <w:tmpl w:val="5CBE7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604ED5"/>
    <w:multiLevelType w:val="hybridMultilevel"/>
    <w:tmpl w:val="10224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10B10"/>
    <w:multiLevelType w:val="hybridMultilevel"/>
    <w:tmpl w:val="197AB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5F4CEE"/>
    <w:multiLevelType w:val="hybridMultilevel"/>
    <w:tmpl w:val="7A30F508"/>
    <w:lvl w:ilvl="0" w:tplc="2D86F152">
      <w:start w:val="28"/>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25175"/>
    <w:multiLevelType w:val="hybridMultilevel"/>
    <w:tmpl w:val="D48C7CB2"/>
    <w:lvl w:ilvl="0" w:tplc="02A27BC0">
      <w:start w:val="1"/>
      <w:numFmt w:val="decimal"/>
      <w:lvlText w:val="%1."/>
      <w:lvlJc w:val="left"/>
      <w:pPr>
        <w:ind w:left="720" w:hanging="360"/>
      </w:pPr>
      <w:rPr>
        <w:rFonts w:asciiTheme="majorHAnsi" w:eastAsiaTheme="majorEastAsia" w:hAnsiTheme="majorHAnsi" w:cstheme="majorBidi" w:hint="default"/>
        <w:color w:val="2E74B5" w:themeColor="accent1" w:themeShade="BF"/>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2D7CA8"/>
    <w:multiLevelType w:val="hybridMultilevel"/>
    <w:tmpl w:val="98AED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28714A"/>
    <w:multiLevelType w:val="hybridMultilevel"/>
    <w:tmpl w:val="F1E685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876DF7"/>
    <w:multiLevelType w:val="hybridMultilevel"/>
    <w:tmpl w:val="CAD837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4324761E"/>
    <w:multiLevelType w:val="hybridMultilevel"/>
    <w:tmpl w:val="0BF05E00"/>
    <w:lvl w:ilvl="0" w:tplc="4B6A7CB8">
      <w:start w:val="8"/>
      <w:numFmt w:val="bullet"/>
      <w:lvlText w:val=""/>
      <w:lvlJc w:val="left"/>
      <w:pPr>
        <w:ind w:left="36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F147DD"/>
    <w:multiLevelType w:val="hybridMultilevel"/>
    <w:tmpl w:val="5CBE7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6778AA"/>
    <w:multiLevelType w:val="hybridMultilevel"/>
    <w:tmpl w:val="5CBE7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5F40F7"/>
    <w:multiLevelType w:val="hybridMultilevel"/>
    <w:tmpl w:val="98AED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626338"/>
    <w:multiLevelType w:val="hybridMultilevel"/>
    <w:tmpl w:val="F1D4145E"/>
    <w:lvl w:ilvl="0" w:tplc="1A0A5DB8">
      <w:start w:val="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9E341E"/>
    <w:multiLevelType w:val="multilevel"/>
    <w:tmpl w:val="5C406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FC28FE"/>
    <w:multiLevelType w:val="hybridMultilevel"/>
    <w:tmpl w:val="92E85F20"/>
    <w:lvl w:ilvl="0" w:tplc="A83476C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014758"/>
    <w:multiLevelType w:val="hybridMultilevel"/>
    <w:tmpl w:val="961ADC9C"/>
    <w:lvl w:ilvl="0" w:tplc="3A380790">
      <w:start w:val="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733E04"/>
    <w:multiLevelType w:val="hybridMultilevel"/>
    <w:tmpl w:val="CF70B9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C02614"/>
    <w:multiLevelType w:val="hybridMultilevel"/>
    <w:tmpl w:val="F46EE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55A9A"/>
    <w:multiLevelType w:val="hybridMultilevel"/>
    <w:tmpl w:val="5CBE7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0045E0"/>
    <w:multiLevelType w:val="hybridMultilevel"/>
    <w:tmpl w:val="AC744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3D1AC3"/>
    <w:multiLevelType w:val="hybridMultilevel"/>
    <w:tmpl w:val="B90A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9008F"/>
    <w:multiLevelType w:val="hybridMultilevel"/>
    <w:tmpl w:val="4476C294"/>
    <w:lvl w:ilvl="0" w:tplc="829C265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4D2830"/>
    <w:multiLevelType w:val="hybridMultilevel"/>
    <w:tmpl w:val="E572E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6"/>
  </w:num>
  <w:num w:numId="4">
    <w:abstractNumId w:val="19"/>
  </w:num>
  <w:num w:numId="5">
    <w:abstractNumId w:val="1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
  </w:num>
  <w:num w:numId="11">
    <w:abstractNumId w:val="13"/>
  </w:num>
  <w:num w:numId="12">
    <w:abstractNumId w:val="11"/>
  </w:num>
  <w:num w:numId="13">
    <w:abstractNumId w:val="15"/>
  </w:num>
  <w:num w:numId="14">
    <w:abstractNumId w:val="21"/>
  </w:num>
  <w:num w:numId="15">
    <w:abstractNumId w:val="12"/>
  </w:num>
  <w:num w:numId="16">
    <w:abstractNumId w:val="25"/>
  </w:num>
  <w:num w:numId="17">
    <w:abstractNumId w:val="5"/>
  </w:num>
  <w:num w:numId="18">
    <w:abstractNumId w:val="0"/>
  </w:num>
  <w:num w:numId="19">
    <w:abstractNumId w:val="8"/>
  </w:num>
  <w:num w:numId="20">
    <w:abstractNumId w:val="20"/>
  </w:num>
  <w:num w:numId="21">
    <w:abstractNumId w:val="14"/>
  </w:num>
  <w:num w:numId="22">
    <w:abstractNumId w:val="17"/>
  </w:num>
  <w:num w:numId="23">
    <w:abstractNumId w:val="18"/>
  </w:num>
  <w:num w:numId="24">
    <w:abstractNumId w:val="27"/>
  </w:num>
  <w:num w:numId="25">
    <w:abstractNumId w:val="23"/>
  </w:num>
  <w:num w:numId="26">
    <w:abstractNumId w:val="9"/>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A2"/>
    <w:rsid w:val="00012369"/>
    <w:rsid w:val="00013EB9"/>
    <w:rsid w:val="000265B0"/>
    <w:rsid w:val="00065298"/>
    <w:rsid w:val="00084617"/>
    <w:rsid w:val="0009059F"/>
    <w:rsid w:val="000905EE"/>
    <w:rsid w:val="00093205"/>
    <w:rsid w:val="000A6391"/>
    <w:rsid w:val="000A654F"/>
    <w:rsid w:val="00102A47"/>
    <w:rsid w:val="00106F4C"/>
    <w:rsid w:val="001318D5"/>
    <w:rsid w:val="00146B05"/>
    <w:rsid w:val="001545FB"/>
    <w:rsid w:val="00156E01"/>
    <w:rsid w:val="0016257C"/>
    <w:rsid w:val="00177E6B"/>
    <w:rsid w:val="00184002"/>
    <w:rsid w:val="001A6BF2"/>
    <w:rsid w:val="001D2EC9"/>
    <w:rsid w:val="001E058B"/>
    <w:rsid w:val="001E57F8"/>
    <w:rsid w:val="001F24B6"/>
    <w:rsid w:val="001F2596"/>
    <w:rsid w:val="001F32A8"/>
    <w:rsid w:val="00202C1A"/>
    <w:rsid w:val="00206A1C"/>
    <w:rsid w:val="00213B5C"/>
    <w:rsid w:val="00224A26"/>
    <w:rsid w:val="00244331"/>
    <w:rsid w:val="002471C3"/>
    <w:rsid w:val="002603BD"/>
    <w:rsid w:val="0026186E"/>
    <w:rsid w:val="002B276A"/>
    <w:rsid w:val="00300BE9"/>
    <w:rsid w:val="00311EB7"/>
    <w:rsid w:val="00321616"/>
    <w:rsid w:val="00322325"/>
    <w:rsid w:val="00327D22"/>
    <w:rsid w:val="00340BEB"/>
    <w:rsid w:val="00345A97"/>
    <w:rsid w:val="0035580E"/>
    <w:rsid w:val="0037280E"/>
    <w:rsid w:val="00374968"/>
    <w:rsid w:val="003908D6"/>
    <w:rsid w:val="0039126A"/>
    <w:rsid w:val="003B0078"/>
    <w:rsid w:val="003C1415"/>
    <w:rsid w:val="003C67AE"/>
    <w:rsid w:val="003D1685"/>
    <w:rsid w:val="003E40AF"/>
    <w:rsid w:val="003E4D02"/>
    <w:rsid w:val="003F3B2E"/>
    <w:rsid w:val="003F4EE7"/>
    <w:rsid w:val="003F5D2D"/>
    <w:rsid w:val="003F7776"/>
    <w:rsid w:val="00417042"/>
    <w:rsid w:val="004359F4"/>
    <w:rsid w:val="00435F5A"/>
    <w:rsid w:val="00436C29"/>
    <w:rsid w:val="00442F30"/>
    <w:rsid w:val="0048351B"/>
    <w:rsid w:val="004836A1"/>
    <w:rsid w:val="00485FA0"/>
    <w:rsid w:val="0049261F"/>
    <w:rsid w:val="00494794"/>
    <w:rsid w:val="004968E5"/>
    <w:rsid w:val="004C758B"/>
    <w:rsid w:val="004D1149"/>
    <w:rsid w:val="004E0F2A"/>
    <w:rsid w:val="004E105A"/>
    <w:rsid w:val="004E20C0"/>
    <w:rsid w:val="004F218B"/>
    <w:rsid w:val="004F2CAE"/>
    <w:rsid w:val="004F6122"/>
    <w:rsid w:val="00500FA6"/>
    <w:rsid w:val="0050333D"/>
    <w:rsid w:val="00503699"/>
    <w:rsid w:val="005343C5"/>
    <w:rsid w:val="00535BC8"/>
    <w:rsid w:val="0054410B"/>
    <w:rsid w:val="005448BE"/>
    <w:rsid w:val="005510CA"/>
    <w:rsid w:val="00573213"/>
    <w:rsid w:val="005925DF"/>
    <w:rsid w:val="00596198"/>
    <w:rsid w:val="005A5D3B"/>
    <w:rsid w:val="005C14C5"/>
    <w:rsid w:val="005D00F0"/>
    <w:rsid w:val="005D03DB"/>
    <w:rsid w:val="005E05E1"/>
    <w:rsid w:val="005E16B0"/>
    <w:rsid w:val="005F293A"/>
    <w:rsid w:val="00624868"/>
    <w:rsid w:val="00644964"/>
    <w:rsid w:val="00644FA8"/>
    <w:rsid w:val="00645007"/>
    <w:rsid w:val="00646675"/>
    <w:rsid w:val="006611F9"/>
    <w:rsid w:val="006701FF"/>
    <w:rsid w:val="0067362F"/>
    <w:rsid w:val="00676FA2"/>
    <w:rsid w:val="00684952"/>
    <w:rsid w:val="006851A9"/>
    <w:rsid w:val="006A1E0B"/>
    <w:rsid w:val="006A329C"/>
    <w:rsid w:val="006A5934"/>
    <w:rsid w:val="006B40DB"/>
    <w:rsid w:val="006B40DE"/>
    <w:rsid w:val="006C6D51"/>
    <w:rsid w:val="006F69C0"/>
    <w:rsid w:val="007061C7"/>
    <w:rsid w:val="00706FFA"/>
    <w:rsid w:val="00711B34"/>
    <w:rsid w:val="00733011"/>
    <w:rsid w:val="0073444D"/>
    <w:rsid w:val="00737CC9"/>
    <w:rsid w:val="00752EF8"/>
    <w:rsid w:val="00756B7D"/>
    <w:rsid w:val="0076118E"/>
    <w:rsid w:val="00761E4F"/>
    <w:rsid w:val="00773A4F"/>
    <w:rsid w:val="00776949"/>
    <w:rsid w:val="00781F67"/>
    <w:rsid w:val="007F1BB9"/>
    <w:rsid w:val="007F52A3"/>
    <w:rsid w:val="007F685C"/>
    <w:rsid w:val="00801BC6"/>
    <w:rsid w:val="00827295"/>
    <w:rsid w:val="00841C14"/>
    <w:rsid w:val="00867E51"/>
    <w:rsid w:val="00872DE2"/>
    <w:rsid w:val="00877696"/>
    <w:rsid w:val="00877BA5"/>
    <w:rsid w:val="00892B67"/>
    <w:rsid w:val="008A000F"/>
    <w:rsid w:val="008B1528"/>
    <w:rsid w:val="008B32FB"/>
    <w:rsid w:val="008C267F"/>
    <w:rsid w:val="008D6C4F"/>
    <w:rsid w:val="008E1636"/>
    <w:rsid w:val="008F0839"/>
    <w:rsid w:val="008F5BFB"/>
    <w:rsid w:val="00903BF6"/>
    <w:rsid w:val="00907DDC"/>
    <w:rsid w:val="0091137A"/>
    <w:rsid w:val="00937D31"/>
    <w:rsid w:val="009412CF"/>
    <w:rsid w:val="009425C8"/>
    <w:rsid w:val="00952AA9"/>
    <w:rsid w:val="009639CA"/>
    <w:rsid w:val="00965D52"/>
    <w:rsid w:val="00990034"/>
    <w:rsid w:val="009C0D7D"/>
    <w:rsid w:val="009E5AD3"/>
    <w:rsid w:val="009F1290"/>
    <w:rsid w:val="009F5083"/>
    <w:rsid w:val="00A055F6"/>
    <w:rsid w:val="00A27764"/>
    <w:rsid w:val="00A4453B"/>
    <w:rsid w:val="00A50B46"/>
    <w:rsid w:val="00A73A1B"/>
    <w:rsid w:val="00A8480B"/>
    <w:rsid w:val="00A915E3"/>
    <w:rsid w:val="00AB5A19"/>
    <w:rsid w:val="00AD3223"/>
    <w:rsid w:val="00B014EA"/>
    <w:rsid w:val="00B03578"/>
    <w:rsid w:val="00B059D5"/>
    <w:rsid w:val="00B27BF3"/>
    <w:rsid w:val="00B32CD7"/>
    <w:rsid w:val="00B455A9"/>
    <w:rsid w:val="00B56280"/>
    <w:rsid w:val="00B62E9E"/>
    <w:rsid w:val="00B672D4"/>
    <w:rsid w:val="00B752CB"/>
    <w:rsid w:val="00B94F59"/>
    <w:rsid w:val="00BC7EF7"/>
    <w:rsid w:val="00BD050C"/>
    <w:rsid w:val="00BE00A5"/>
    <w:rsid w:val="00BF3CF5"/>
    <w:rsid w:val="00BF5C2E"/>
    <w:rsid w:val="00C26C1A"/>
    <w:rsid w:val="00C366C6"/>
    <w:rsid w:val="00C51BA4"/>
    <w:rsid w:val="00C55D0B"/>
    <w:rsid w:val="00C6012B"/>
    <w:rsid w:val="00C732EE"/>
    <w:rsid w:val="00C86BC8"/>
    <w:rsid w:val="00C87EC4"/>
    <w:rsid w:val="00C9089E"/>
    <w:rsid w:val="00C97637"/>
    <w:rsid w:val="00CA064A"/>
    <w:rsid w:val="00CA6B4F"/>
    <w:rsid w:val="00CB132E"/>
    <w:rsid w:val="00CB4D6B"/>
    <w:rsid w:val="00CB7859"/>
    <w:rsid w:val="00CD4749"/>
    <w:rsid w:val="00CD5D2C"/>
    <w:rsid w:val="00D0734E"/>
    <w:rsid w:val="00D1536E"/>
    <w:rsid w:val="00D20711"/>
    <w:rsid w:val="00D22317"/>
    <w:rsid w:val="00D566D6"/>
    <w:rsid w:val="00D9783D"/>
    <w:rsid w:val="00DA2DD5"/>
    <w:rsid w:val="00DA3D41"/>
    <w:rsid w:val="00DA67D8"/>
    <w:rsid w:val="00DB1DBE"/>
    <w:rsid w:val="00DB2088"/>
    <w:rsid w:val="00DB3954"/>
    <w:rsid w:val="00DB43E0"/>
    <w:rsid w:val="00DC17AB"/>
    <w:rsid w:val="00DC7628"/>
    <w:rsid w:val="00DD1327"/>
    <w:rsid w:val="00DD5403"/>
    <w:rsid w:val="00DF144D"/>
    <w:rsid w:val="00DF2A4C"/>
    <w:rsid w:val="00DF47C6"/>
    <w:rsid w:val="00E06B61"/>
    <w:rsid w:val="00E57CD4"/>
    <w:rsid w:val="00EF2D07"/>
    <w:rsid w:val="00F06485"/>
    <w:rsid w:val="00F13F1E"/>
    <w:rsid w:val="00F33453"/>
    <w:rsid w:val="00F4110F"/>
    <w:rsid w:val="00F67D48"/>
    <w:rsid w:val="00F7793A"/>
    <w:rsid w:val="00F80BEF"/>
    <w:rsid w:val="00F828C7"/>
    <w:rsid w:val="00FA11E9"/>
    <w:rsid w:val="00FA6157"/>
    <w:rsid w:val="00FB5544"/>
    <w:rsid w:val="00FB6D9F"/>
    <w:rsid w:val="00FC75EB"/>
    <w:rsid w:val="00FD4BF6"/>
    <w:rsid w:val="00FF1D13"/>
    <w:rsid w:val="00FF46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AD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7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7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2C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2C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80E"/>
    <w:pPr>
      <w:ind w:left="720"/>
      <w:contextualSpacing/>
    </w:pPr>
  </w:style>
  <w:style w:type="paragraph" w:styleId="NoSpacing">
    <w:name w:val="No Spacing"/>
    <w:link w:val="NoSpacingChar"/>
    <w:uiPriority w:val="1"/>
    <w:qFormat/>
    <w:rsid w:val="005510CA"/>
    <w:pPr>
      <w:spacing w:after="0" w:line="240" w:lineRule="auto"/>
    </w:pPr>
  </w:style>
  <w:style w:type="character" w:styleId="CommentReference">
    <w:name w:val="annotation reference"/>
    <w:basedOn w:val="DefaultParagraphFont"/>
    <w:uiPriority w:val="99"/>
    <w:semiHidden/>
    <w:unhideWhenUsed/>
    <w:rsid w:val="00841C14"/>
    <w:rPr>
      <w:sz w:val="16"/>
      <w:szCs w:val="16"/>
    </w:rPr>
  </w:style>
  <w:style w:type="paragraph" w:styleId="CommentText">
    <w:name w:val="annotation text"/>
    <w:basedOn w:val="Normal"/>
    <w:link w:val="CommentTextChar"/>
    <w:uiPriority w:val="99"/>
    <w:semiHidden/>
    <w:unhideWhenUsed/>
    <w:rsid w:val="00841C14"/>
    <w:pPr>
      <w:spacing w:line="240" w:lineRule="auto"/>
    </w:pPr>
    <w:rPr>
      <w:sz w:val="20"/>
      <w:szCs w:val="20"/>
    </w:rPr>
  </w:style>
  <w:style w:type="character" w:customStyle="1" w:styleId="CommentTextChar">
    <w:name w:val="Comment Text Char"/>
    <w:basedOn w:val="DefaultParagraphFont"/>
    <w:link w:val="CommentText"/>
    <w:uiPriority w:val="99"/>
    <w:semiHidden/>
    <w:rsid w:val="00841C14"/>
    <w:rPr>
      <w:sz w:val="20"/>
      <w:szCs w:val="20"/>
    </w:rPr>
  </w:style>
  <w:style w:type="paragraph" w:styleId="CommentSubject">
    <w:name w:val="annotation subject"/>
    <w:basedOn w:val="CommentText"/>
    <w:next w:val="CommentText"/>
    <w:link w:val="CommentSubjectChar"/>
    <w:uiPriority w:val="99"/>
    <w:semiHidden/>
    <w:unhideWhenUsed/>
    <w:rsid w:val="00841C14"/>
    <w:rPr>
      <w:b/>
      <w:bCs/>
    </w:rPr>
  </w:style>
  <w:style w:type="character" w:customStyle="1" w:styleId="CommentSubjectChar">
    <w:name w:val="Comment Subject Char"/>
    <w:basedOn w:val="CommentTextChar"/>
    <w:link w:val="CommentSubject"/>
    <w:uiPriority w:val="99"/>
    <w:semiHidden/>
    <w:rsid w:val="00841C14"/>
    <w:rPr>
      <w:b/>
      <w:bCs/>
      <w:sz w:val="20"/>
      <w:szCs w:val="20"/>
    </w:rPr>
  </w:style>
  <w:style w:type="paragraph" w:styleId="BalloonText">
    <w:name w:val="Balloon Text"/>
    <w:basedOn w:val="Normal"/>
    <w:link w:val="BalloonTextChar"/>
    <w:uiPriority w:val="99"/>
    <w:semiHidden/>
    <w:unhideWhenUsed/>
    <w:rsid w:val="00841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C14"/>
    <w:rPr>
      <w:rFonts w:ascii="Segoe UI" w:hAnsi="Segoe UI" w:cs="Segoe UI"/>
      <w:sz w:val="18"/>
      <w:szCs w:val="18"/>
    </w:rPr>
  </w:style>
  <w:style w:type="paragraph" w:styleId="Header">
    <w:name w:val="header"/>
    <w:basedOn w:val="Normal"/>
    <w:link w:val="HeaderChar"/>
    <w:uiPriority w:val="99"/>
    <w:unhideWhenUsed/>
    <w:rsid w:val="00327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D22"/>
  </w:style>
  <w:style w:type="paragraph" w:styleId="Footer">
    <w:name w:val="footer"/>
    <w:basedOn w:val="Normal"/>
    <w:link w:val="FooterChar"/>
    <w:uiPriority w:val="99"/>
    <w:unhideWhenUsed/>
    <w:rsid w:val="00327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D22"/>
  </w:style>
  <w:style w:type="character" w:customStyle="1" w:styleId="Heading2Char">
    <w:name w:val="Heading 2 Char"/>
    <w:basedOn w:val="DefaultParagraphFont"/>
    <w:link w:val="Heading2"/>
    <w:uiPriority w:val="9"/>
    <w:rsid w:val="00877BA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77BA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77BA5"/>
    <w:pPr>
      <w:outlineLvl w:val="9"/>
    </w:pPr>
    <w:rPr>
      <w:lang w:val="en-US"/>
    </w:rPr>
  </w:style>
  <w:style w:type="paragraph" w:styleId="TOC2">
    <w:name w:val="toc 2"/>
    <w:basedOn w:val="Normal"/>
    <w:next w:val="Normal"/>
    <w:autoRedefine/>
    <w:uiPriority w:val="39"/>
    <w:unhideWhenUsed/>
    <w:rsid w:val="00877BA5"/>
    <w:pPr>
      <w:spacing w:after="100"/>
      <w:ind w:left="220"/>
    </w:pPr>
  </w:style>
  <w:style w:type="character" w:styleId="Hyperlink">
    <w:name w:val="Hyperlink"/>
    <w:basedOn w:val="DefaultParagraphFont"/>
    <w:uiPriority w:val="99"/>
    <w:unhideWhenUsed/>
    <w:rsid w:val="00877BA5"/>
    <w:rPr>
      <w:color w:val="0563C1" w:themeColor="hyperlink"/>
      <w:u w:val="single"/>
    </w:rPr>
  </w:style>
  <w:style w:type="paragraph" w:styleId="TOC1">
    <w:name w:val="toc 1"/>
    <w:basedOn w:val="Normal"/>
    <w:next w:val="Normal"/>
    <w:autoRedefine/>
    <w:uiPriority w:val="39"/>
    <w:unhideWhenUsed/>
    <w:rsid w:val="00877BA5"/>
    <w:pPr>
      <w:spacing w:after="100"/>
    </w:pPr>
    <w:rPr>
      <w:rFonts w:eastAsiaTheme="minorEastAsia" w:cs="Times New Roman"/>
      <w:lang w:val="en-US"/>
    </w:rPr>
  </w:style>
  <w:style w:type="paragraph" w:styleId="TOC3">
    <w:name w:val="toc 3"/>
    <w:basedOn w:val="Normal"/>
    <w:next w:val="Normal"/>
    <w:autoRedefine/>
    <w:uiPriority w:val="39"/>
    <w:unhideWhenUsed/>
    <w:rsid w:val="00877BA5"/>
    <w:pPr>
      <w:spacing w:after="100"/>
      <w:ind w:left="440"/>
    </w:pPr>
    <w:rPr>
      <w:rFonts w:eastAsiaTheme="minorEastAsia" w:cs="Times New Roman"/>
      <w:lang w:val="en-US"/>
    </w:rPr>
  </w:style>
  <w:style w:type="paragraph" w:styleId="Title">
    <w:name w:val="Title"/>
    <w:basedOn w:val="Normal"/>
    <w:next w:val="Normal"/>
    <w:link w:val="TitleChar"/>
    <w:uiPriority w:val="10"/>
    <w:qFormat/>
    <w:rsid w:val="00202C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C1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02C1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02C1A"/>
    <w:rPr>
      <w:rFonts w:asciiTheme="majorHAnsi" w:eastAsiaTheme="majorEastAsia" w:hAnsiTheme="majorHAnsi" w:cstheme="majorBidi"/>
      <w:i/>
      <w:iCs/>
      <w:color w:val="2E74B5" w:themeColor="accent1" w:themeShade="BF"/>
    </w:rPr>
  </w:style>
  <w:style w:type="paragraph" w:styleId="IntenseQuote">
    <w:name w:val="Intense Quote"/>
    <w:basedOn w:val="Normal"/>
    <w:next w:val="Normal"/>
    <w:link w:val="IntenseQuoteChar"/>
    <w:uiPriority w:val="30"/>
    <w:qFormat/>
    <w:rsid w:val="00C87EC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7EC4"/>
    <w:rPr>
      <w:i/>
      <w:iCs/>
      <w:color w:val="5B9BD5" w:themeColor="accent1"/>
    </w:rPr>
  </w:style>
  <w:style w:type="paragraph" w:styleId="FootnoteText">
    <w:name w:val="footnote text"/>
    <w:basedOn w:val="Normal"/>
    <w:link w:val="FootnoteTextChar"/>
    <w:uiPriority w:val="99"/>
    <w:semiHidden/>
    <w:unhideWhenUsed/>
    <w:rsid w:val="00B035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578"/>
    <w:rPr>
      <w:sz w:val="20"/>
      <w:szCs w:val="20"/>
    </w:rPr>
  </w:style>
  <w:style w:type="character" w:styleId="FootnoteReference">
    <w:name w:val="footnote reference"/>
    <w:basedOn w:val="DefaultParagraphFont"/>
    <w:uiPriority w:val="99"/>
    <w:semiHidden/>
    <w:unhideWhenUsed/>
    <w:rsid w:val="00B03578"/>
    <w:rPr>
      <w:vertAlign w:val="superscript"/>
    </w:rPr>
  </w:style>
  <w:style w:type="character" w:customStyle="1" w:styleId="NoSpacingChar">
    <w:name w:val="No Spacing Char"/>
    <w:basedOn w:val="DefaultParagraphFont"/>
    <w:link w:val="NoSpacing"/>
    <w:uiPriority w:val="1"/>
    <w:rsid w:val="002603BD"/>
  </w:style>
  <w:style w:type="paragraph" w:customStyle="1" w:styleId="Default">
    <w:name w:val="Default"/>
    <w:rsid w:val="00340B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E5AD3"/>
    <w:rPr>
      <w:color w:val="954F72" w:themeColor="followedHyperlink"/>
      <w:u w:val="single"/>
    </w:rPr>
  </w:style>
  <w:style w:type="character" w:customStyle="1" w:styleId="ui-provider">
    <w:name w:val="ui-provider"/>
    <w:basedOn w:val="DefaultParagraphFont"/>
    <w:rsid w:val="0073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34">
      <w:bodyDiv w:val="1"/>
      <w:marLeft w:val="0"/>
      <w:marRight w:val="0"/>
      <w:marTop w:val="0"/>
      <w:marBottom w:val="0"/>
      <w:divBdr>
        <w:top w:val="none" w:sz="0" w:space="0" w:color="auto"/>
        <w:left w:val="none" w:sz="0" w:space="0" w:color="auto"/>
        <w:bottom w:val="none" w:sz="0" w:space="0" w:color="auto"/>
        <w:right w:val="none" w:sz="0" w:space="0" w:color="auto"/>
      </w:divBdr>
    </w:div>
    <w:div w:id="51395496">
      <w:bodyDiv w:val="1"/>
      <w:marLeft w:val="0"/>
      <w:marRight w:val="0"/>
      <w:marTop w:val="0"/>
      <w:marBottom w:val="0"/>
      <w:divBdr>
        <w:top w:val="none" w:sz="0" w:space="0" w:color="auto"/>
        <w:left w:val="none" w:sz="0" w:space="0" w:color="auto"/>
        <w:bottom w:val="none" w:sz="0" w:space="0" w:color="auto"/>
        <w:right w:val="none" w:sz="0" w:space="0" w:color="auto"/>
      </w:divBdr>
    </w:div>
    <w:div w:id="1185904614">
      <w:bodyDiv w:val="1"/>
      <w:marLeft w:val="0"/>
      <w:marRight w:val="0"/>
      <w:marTop w:val="0"/>
      <w:marBottom w:val="0"/>
      <w:divBdr>
        <w:top w:val="none" w:sz="0" w:space="0" w:color="auto"/>
        <w:left w:val="none" w:sz="0" w:space="0" w:color="auto"/>
        <w:bottom w:val="none" w:sz="0" w:space="0" w:color="auto"/>
        <w:right w:val="none" w:sz="0" w:space="0" w:color="auto"/>
      </w:divBdr>
    </w:div>
    <w:div w:id="1288120548">
      <w:bodyDiv w:val="1"/>
      <w:marLeft w:val="0"/>
      <w:marRight w:val="0"/>
      <w:marTop w:val="0"/>
      <w:marBottom w:val="0"/>
      <w:divBdr>
        <w:top w:val="none" w:sz="0" w:space="0" w:color="auto"/>
        <w:left w:val="none" w:sz="0" w:space="0" w:color="auto"/>
        <w:bottom w:val="none" w:sz="0" w:space="0" w:color="auto"/>
        <w:right w:val="none" w:sz="0" w:space="0" w:color="auto"/>
      </w:divBdr>
    </w:div>
    <w:div w:id="2051147400">
      <w:bodyDiv w:val="1"/>
      <w:marLeft w:val="0"/>
      <w:marRight w:val="0"/>
      <w:marTop w:val="0"/>
      <w:marBottom w:val="0"/>
      <w:divBdr>
        <w:top w:val="none" w:sz="0" w:space="0" w:color="auto"/>
        <w:left w:val="none" w:sz="0" w:space="0" w:color="auto"/>
        <w:bottom w:val="none" w:sz="0" w:space="0" w:color="auto"/>
        <w:right w:val="none" w:sz="0" w:space="0" w:color="auto"/>
      </w:divBdr>
    </w:div>
    <w:div w:id="21072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uth-clik.dvastaff.dva.gov.au/compensation-claims-procedures/communication-procedures/client-communication-procedur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uth-clik.dvastaff.dva.gov.au/military-compensation-srca-manuals-and-resources-library/liability-handbook/ch-3-determinations-liability/32-natural-justice-considerations-and-prior-warning-adverse-decisions" TargetMode="External"/><Relationship Id="rId17" Type="http://schemas.openxmlformats.org/officeDocument/2006/relationships/hyperlink" Target="http://auth-clik.dvastaff.dva.gov.au/compensation-claims-procedures/communication-procedures/written-communic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uth-clik.dvastaff.dva.gov.au/compensation-claims-procedures/communication-procedures/s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va.gov.au/what-expect-after-you-have-submitted-compensation-clai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uth-clik.dvastaff.dva.gov.au/compensation-claims-procedures/communication-procedures/engaging-coordinated-client-support-and-tc" TargetMode="External"/><Relationship Id="rId23" Type="http://schemas.openxmlformats.org/officeDocument/2006/relationships/footer" Target="footer3.xml"/><Relationship Id="rId10" Type="http://schemas.openxmlformats.org/officeDocument/2006/relationships/hyperlink" Target="http://auth-clik.dvastaff.dva.gov.au/compensation-claims-procedures/pre-claim-procedures/holding-bays-and-acknowledgeme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auth-clik.dvastaff.dva.gov.au/compensation-claims-procedures/foundations/client-representation/client-representation-and-withdrawal-consen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14B7-B5B6-4127-80C7-313B53B9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2023-08-11T04:39:00Z</dcterms:created>
  <dcterms:modified xsi:type="dcterms:W3CDTF">2023-08-11T04:39:00Z</dcterms:modified>
</cp:coreProperties>
</file>