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68315" w14:textId="77777777" w:rsidR="00493CFF" w:rsidRDefault="00493CFF" w:rsidP="00BA720D">
      <w:pPr>
        <w:pStyle w:val="Title"/>
        <w:spacing w:before="240" w:after="320"/>
        <w:rPr>
          <w:color w:val="223C71" w:themeColor="accent6"/>
          <w:sz w:val="96"/>
          <w:szCs w:val="96"/>
        </w:rPr>
      </w:pPr>
      <w:bookmarkStart w:id="0" w:name="_GoBack"/>
      <w:bookmarkEnd w:id="0"/>
    </w:p>
    <w:p w14:paraId="622C6267" w14:textId="5C906E5B" w:rsidR="007D3649" w:rsidRPr="004C107E" w:rsidRDefault="00676ACD" w:rsidP="00BA720D">
      <w:pPr>
        <w:pStyle w:val="Title"/>
        <w:spacing w:before="240" w:after="320"/>
        <w:rPr>
          <w:color w:val="223C71" w:themeColor="accent6"/>
          <w:sz w:val="144"/>
          <w:szCs w:val="120"/>
        </w:rPr>
      </w:pPr>
      <w:r w:rsidRPr="004C107E">
        <w:rPr>
          <w:color w:val="223C71" w:themeColor="accent6"/>
          <w:sz w:val="144"/>
          <w:szCs w:val="120"/>
        </w:rPr>
        <w:t>DVA Health Programs Evaluation Approaches Review</w:t>
      </w:r>
    </w:p>
    <w:p w14:paraId="5BC7E14F" w14:textId="5DC9955E" w:rsidR="007D3649" w:rsidRPr="00217142" w:rsidRDefault="00676ACD" w:rsidP="007D3649">
      <w:pPr>
        <w:pStyle w:val="Subtitle"/>
        <w:rPr>
          <w:color w:val="A5A5A5" w:themeColor="accent3"/>
          <w:sz w:val="48"/>
          <w:szCs w:val="48"/>
          <w:lang w:val="en-AU"/>
        </w:rPr>
      </w:pPr>
      <w:r>
        <w:rPr>
          <w:color w:val="A5A5A5" w:themeColor="accent3"/>
          <w:sz w:val="48"/>
          <w:szCs w:val="48"/>
          <w:lang w:val="en-AU"/>
        </w:rPr>
        <w:t>Final</w:t>
      </w:r>
    </w:p>
    <w:p w14:paraId="5C46169E" w14:textId="77777777" w:rsidR="007D3649" w:rsidRPr="00217142" w:rsidRDefault="007D3649" w:rsidP="007D3649">
      <w:pPr>
        <w:rPr>
          <w:color w:val="A5A5A5" w:themeColor="accent3"/>
          <w:lang w:val="en-AU"/>
        </w:rPr>
      </w:pPr>
    </w:p>
    <w:p w14:paraId="07DE85FE" w14:textId="77777777" w:rsidR="007D3649" w:rsidRPr="00217142" w:rsidRDefault="007D3649" w:rsidP="007D3649">
      <w:pPr>
        <w:rPr>
          <w:color w:val="A5A5A5" w:themeColor="accent3"/>
          <w:lang w:val="en-AU"/>
        </w:rPr>
      </w:pPr>
    </w:p>
    <w:p w14:paraId="342C55AD" w14:textId="77777777" w:rsidR="007D3649" w:rsidRPr="00217142" w:rsidRDefault="007D3649" w:rsidP="00E7021A">
      <w:pPr>
        <w:rPr>
          <w:color w:val="A5A5A5" w:themeColor="accent3"/>
        </w:rPr>
      </w:pPr>
    </w:p>
    <w:p w14:paraId="23DF9FE5" w14:textId="6866D810" w:rsidR="007D3649" w:rsidRPr="00217142" w:rsidRDefault="007D3649">
      <w:pPr>
        <w:rPr>
          <w:color w:val="A5A5A5" w:themeColor="accent3"/>
        </w:rPr>
      </w:pPr>
    </w:p>
    <w:p w14:paraId="5505EA0F" w14:textId="48249763" w:rsidR="003D6F49" w:rsidRPr="00EF2770" w:rsidRDefault="00BA720D" w:rsidP="003D6F49">
      <w:r>
        <w:rPr>
          <w:rFonts w:asciiTheme="majorHAnsi" w:eastAsiaTheme="majorEastAsia" w:hAnsiTheme="majorHAnsi" w:cstheme="majorBidi"/>
          <w:color w:val="2D416E" w:themeColor="accent1" w:themeShade="BF"/>
          <w:sz w:val="32"/>
          <w:szCs w:val="32"/>
        </w:rPr>
        <w:br w:type="column"/>
      </w:r>
      <w:r w:rsidR="003D6F49" w:rsidRPr="00CA3EAF">
        <w:rPr>
          <w:rFonts w:asciiTheme="majorHAnsi" w:eastAsiaTheme="majorEastAsia" w:hAnsiTheme="majorHAnsi" w:cstheme="majorBidi"/>
          <w:color w:val="2D416E" w:themeColor="accent1" w:themeShade="BF"/>
          <w:sz w:val="32"/>
          <w:szCs w:val="32"/>
        </w:rPr>
        <w:lastRenderedPageBreak/>
        <w:t>Version control</w:t>
      </w:r>
      <w:r w:rsidR="003D6F49" w:rsidRPr="00EF2770">
        <w:rPr>
          <w:b/>
        </w:rPr>
        <w:t xml:space="preserve"> </w:t>
      </w:r>
    </w:p>
    <w:tbl>
      <w:tblPr>
        <w:tblpPr w:leftFromText="180" w:rightFromText="180" w:vertAnchor="text" w:horzAnchor="margin" w:tblpY="374"/>
        <w:tblW w:w="0" w:type="auto"/>
        <w:shd w:val="clear" w:color="auto" w:fill="F3F3F3"/>
        <w:tblLayout w:type="fixed"/>
        <w:tblLook w:val="04A0" w:firstRow="1" w:lastRow="0" w:firstColumn="1" w:lastColumn="0" w:noHBand="0" w:noVBand="1"/>
      </w:tblPr>
      <w:tblGrid>
        <w:gridCol w:w="1843"/>
        <w:gridCol w:w="7229"/>
      </w:tblGrid>
      <w:tr w:rsidR="003D6F49" w14:paraId="030C8704" w14:textId="77777777" w:rsidTr="007B5579">
        <w:tc>
          <w:tcPr>
            <w:tcW w:w="1843" w:type="dxa"/>
            <w:shd w:val="clear" w:color="auto" w:fill="F3F3F3"/>
            <w:hideMark/>
          </w:tcPr>
          <w:p w14:paraId="5EF1216E" w14:textId="60899867" w:rsidR="003D6F49" w:rsidRDefault="000A5F8F" w:rsidP="007B5579">
            <w:pPr>
              <w:pStyle w:val="Tabletext"/>
              <w:spacing w:line="256" w:lineRule="auto"/>
              <w:rPr>
                <w:rFonts w:asciiTheme="minorHAnsi" w:hAnsiTheme="minorHAnsi"/>
                <w:color w:val="333333"/>
                <w:sz w:val="22"/>
                <w:szCs w:val="22"/>
              </w:rPr>
            </w:pPr>
            <w:r>
              <w:rPr>
                <w:rFonts w:asciiTheme="minorHAnsi" w:hAnsiTheme="minorHAnsi"/>
                <w:color w:val="333333"/>
                <w:szCs w:val="22"/>
              </w:rPr>
              <w:t>Document version</w:t>
            </w:r>
          </w:p>
        </w:tc>
        <w:tc>
          <w:tcPr>
            <w:tcW w:w="7229" w:type="dxa"/>
            <w:shd w:val="clear" w:color="auto" w:fill="F3F3F3"/>
            <w:hideMark/>
          </w:tcPr>
          <w:p w14:paraId="639C6CF3" w14:textId="245D8C74" w:rsidR="003D6F49" w:rsidRDefault="00D45A94" w:rsidP="00BB2784">
            <w:pPr>
              <w:pStyle w:val="Tabletext"/>
              <w:spacing w:line="256" w:lineRule="auto"/>
              <w:jc w:val="both"/>
              <w:rPr>
                <w:rFonts w:asciiTheme="minorHAnsi" w:hAnsiTheme="minorHAnsi"/>
                <w:color w:val="333333"/>
                <w:szCs w:val="22"/>
              </w:rPr>
            </w:pPr>
            <w:r>
              <w:rPr>
                <w:rFonts w:asciiTheme="minorHAnsi" w:hAnsiTheme="minorHAnsi"/>
                <w:color w:val="333333"/>
                <w:szCs w:val="22"/>
              </w:rPr>
              <w:t>3</w:t>
            </w:r>
            <w:r w:rsidR="00493CFF">
              <w:rPr>
                <w:rFonts w:asciiTheme="minorHAnsi" w:hAnsiTheme="minorHAnsi"/>
                <w:color w:val="333333"/>
                <w:szCs w:val="22"/>
              </w:rPr>
              <w:t>.0</w:t>
            </w:r>
            <w:r w:rsidR="003D6F49">
              <w:rPr>
                <w:rFonts w:asciiTheme="minorHAnsi" w:hAnsiTheme="minorHAnsi"/>
                <w:color w:val="333333"/>
                <w:szCs w:val="22"/>
              </w:rPr>
              <w:fldChar w:fldCharType="begin"/>
            </w:r>
            <w:r w:rsidR="003D6F49">
              <w:rPr>
                <w:rFonts w:asciiTheme="minorHAnsi" w:hAnsiTheme="minorHAnsi"/>
                <w:color w:val="333333"/>
                <w:szCs w:val="22"/>
              </w:rPr>
              <w:instrText xml:space="preserve"> DOCPROPERTY  "Doc Version"  \* MERGEFORMAT </w:instrText>
            </w:r>
            <w:r w:rsidR="003D6F49">
              <w:rPr>
                <w:rFonts w:asciiTheme="minorHAnsi" w:hAnsiTheme="minorHAnsi"/>
                <w:color w:val="333333"/>
                <w:szCs w:val="22"/>
              </w:rPr>
              <w:fldChar w:fldCharType="end"/>
            </w:r>
          </w:p>
        </w:tc>
      </w:tr>
      <w:tr w:rsidR="00415823" w14:paraId="4976A8AA" w14:textId="77777777" w:rsidTr="007B5579">
        <w:tc>
          <w:tcPr>
            <w:tcW w:w="1843" w:type="dxa"/>
            <w:shd w:val="clear" w:color="auto" w:fill="F3F3F3"/>
          </w:tcPr>
          <w:p w14:paraId="166BFC05" w14:textId="28233856" w:rsidR="00415823" w:rsidRDefault="00415823" w:rsidP="007B5579">
            <w:pPr>
              <w:pStyle w:val="Tabletext"/>
              <w:spacing w:line="256" w:lineRule="auto"/>
              <w:rPr>
                <w:rFonts w:asciiTheme="minorHAnsi" w:hAnsiTheme="minorHAnsi"/>
                <w:color w:val="333333"/>
                <w:szCs w:val="22"/>
              </w:rPr>
            </w:pPr>
            <w:r>
              <w:rPr>
                <w:rFonts w:asciiTheme="minorHAnsi" w:hAnsiTheme="minorHAnsi"/>
                <w:color w:val="333333"/>
                <w:szCs w:val="22"/>
              </w:rPr>
              <w:t>Date</w:t>
            </w:r>
          </w:p>
        </w:tc>
        <w:tc>
          <w:tcPr>
            <w:tcW w:w="7229" w:type="dxa"/>
            <w:shd w:val="clear" w:color="auto" w:fill="F3F3F3"/>
          </w:tcPr>
          <w:p w14:paraId="47B01732" w14:textId="6578D7DF" w:rsidR="00415823" w:rsidRDefault="00B87903" w:rsidP="00BB2784">
            <w:pPr>
              <w:pStyle w:val="Tabletext"/>
              <w:spacing w:line="256" w:lineRule="auto"/>
              <w:jc w:val="both"/>
              <w:rPr>
                <w:rFonts w:asciiTheme="minorHAnsi" w:hAnsiTheme="minorHAnsi"/>
                <w:color w:val="333333"/>
                <w:szCs w:val="22"/>
              </w:rPr>
            </w:pPr>
            <w:r>
              <w:rPr>
                <w:rFonts w:asciiTheme="minorHAnsi" w:hAnsiTheme="minorHAnsi"/>
                <w:color w:val="333333"/>
                <w:szCs w:val="22"/>
              </w:rPr>
              <w:t>September 2023</w:t>
            </w:r>
          </w:p>
        </w:tc>
      </w:tr>
      <w:tr w:rsidR="003D6F49" w14:paraId="59AA15D8" w14:textId="77777777" w:rsidTr="007B5579">
        <w:tc>
          <w:tcPr>
            <w:tcW w:w="1843" w:type="dxa"/>
            <w:shd w:val="clear" w:color="auto" w:fill="F3F3F3"/>
            <w:hideMark/>
          </w:tcPr>
          <w:p w14:paraId="12A444AD" w14:textId="77777777" w:rsidR="003D6F49" w:rsidRDefault="003D6F49"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Document status</w:t>
            </w:r>
          </w:p>
        </w:tc>
        <w:tc>
          <w:tcPr>
            <w:tcW w:w="7229" w:type="dxa"/>
            <w:shd w:val="clear" w:color="auto" w:fill="F3F3F3"/>
            <w:hideMark/>
          </w:tcPr>
          <w:p w14:paraId="42EB585F" w14:textId="318904C2" w:rsidR="003D6F49" w:rsidRDefault="00493CFF"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Final</w:t>
            </w:r>
          </w:p>
        </w:tc>
      </w:tr>
      <w:tr w:rsidR="003D6F49" w14:paraId="47B327B6" w14:textId="77777777" w:rsidTr="007B5579">
        <w:tc>
          <w:tcPr>
            <w:tcW w:w="1843" w:type="dxa"/>
            <w:shd w:val="clear" w:color="auto" w:fill="F3F3F3"/>
            <w:hideMark/>
          </w:tcPr>
          <w:p w14:paraId="6D14D76F" w14:textId="77777777" w:rsidR="003D6F49" w:rsidRDefault="003D6F49"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Author</w:t>
            </w:r>
          </w:p>
        </w:tc>
        <w:tc>
          <w:tcPr>
            <w:tcW w:w="7229" w:type="dxa"/>
            <w:shd w:val="clear" w:color="auto" w:fill="F3F3F3"/>
          </w:tcPr>
          <w:p w14:paraId="5399A09A" w14:textId="110AE6AB" w:rsidR="003D6F49" w:rsidRDefault="00493CFF"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Ernst &amp; Young</w:t>
            </w:r>
          </w:p>
        </w:tc>
      </w:tr>
      <w:tr w:rsidR="003D6F49" w14:paraId="5D40EEAE" w14:textId="77777777" w:rsidTr="007B5579">
        <w:tc>
          <w:tcPr>
            <w:tcW w:w="1843" w:type="dxa"/>
            <w:shd w:val="clear" w:color="auto" w:fill="F3F3F3"/>
            <w:hideMark/>
          </w:tcPr>
          <w:p w14:paraId="3F073CF2" w14:textId="77777777" w:rsidR="003D6F49" w:rsidRDefault="003D6F49"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Owner</w:t>
            </w:r>
          </w:p>
        </w:tc>
        <w:tc>
          <w:tcPr>
            <w:tcW w:w="7229" w:type="dxa"/>
            <w:shd w:val="clear" w:color="auto" w:fill="F3F3F3"/>
          </w:tcPr>
          <w:p w14:paraId="13B9E2DD" w14:textId="2798D7C6" w:rsidR="003D6F49" w:rsidRDefault="00A57B96"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Program Governance &amp; Evaluation</w:t>
            </w:r>
          </w:p>
        </w:tc>
      </w:tr>
      <w:tr w:rsidR="003D6F49" w14:paraId="15772E35" w14:textId="77777777" w:rsidTr="007B5579">
        <w:tc>
          <w:tcPr>
            <w:tcW w:w="1843" w:type="dxa"/>
            <w:shd w:val="clear" w:color="auto" w:fill="F3F3F3"/>
            <w:hideMark/>
          </w:tcPr>
          <w:p w14:paraId="05910D5E" w14:textId="77777777" w:rsidR="003D6F49" w:rsidRDefault="003D6F49" w:rsidP="007B5579">
            <w:pPr>
              <w:pStyle w:val="Tabletext"/>
              <w:spacing w:line="256" w:lineRule="auto"/>
              <w:jc w:val="both"/>
              <w:rPr>
                <w:rFonts w:asciiTheme="minorHAnsi" w:hAnsiTheme="minorHAnsi"/>
                <w:color w:val="333333"/>
                <w:szCs w:val="22"/>
              </w:rPr>
            </w:pPr>
            <w:r>
              <w:rPr>
                <w:rFonts w:asciiTheme="minorHAnsi" w:hAnsiTheme="minorHAnsi"/>
                <w:color w:val="333333"/>
                <w:szCs w:val="22"/>
              </w:rPr>
              <w:t>File name</w:t>
            </w:r>
          </w:p>
        </w:tc>
        <w:tc>
          <w:tcPr>
            <w:tcW w:w="7229" w:type="dxa"/>
            <w:shd w:val="clear" w:color="auto" w:fill="F3F3F3"/>
          </w:tcPr>
          <w:p w14:paraId="28BA7DC1" w14:textId="7D7AD89C" w:rsidR="003D6F49" w:rsidRDefault="00493CFF" w:rsidP="00415823">
            <w:pPr>
              <w:pStyle w:val="Tabletext"/>
              <w:spacing w:line="256" w:lineRule="auto"/>
              <w:jc w:val="both"/>
              <w:rPr>
                <w:rFonts w:asciiTheme="minorHAnsi" w:hAnsiTheme="minorHAnsi"/>
                <w:color w:val="333333"/>
                <w:szCs w:val="22"/>
              </w:rPr>
            </w:pPr>
            <w:r>
              <w:rPr>
                <w:rFonts w:asciiTheme="minorHAnsi" w:hAnsiTheme="minorHAnsi"/>
                <w:color w:val="333333"/>
                <w:szCs w:val="22"/>
              </w:rPr>
              <w:t xml:space="preserve">DVA Health Programs Evaluations Approaches Review Report – </w:t>
            </w:r>
            <w:r w:rsidR="00415823">
              <w:rPr>
                <w:rFonts w:asciiTheme="minorHAnsi" w:hAnsiTheme="minorHAnsi"/>
                <w:color w:val="333333"/>
                <w:szCs w:val="22"/>
              </w:rPr>
              <w:t>External</w:t>
            </w:r>
          </w:p>
        </w:tc>
      </w:tr>
    </w:tbl>
    <w:p w14:paraId="6050A456" w14:textId="77777777" w:rsidR="003D6F49" w:rsidRPr="00EF2770" w:rsidRDefault="003D6F49" w:rsidP="003D6F49">
      <w:pPr>
        <w:pStyle w:val="Subtitle"/>
        <w:jc w:val="both"/>
        <w:rPr>
          <w:rFonts w:cs="Arial"/>
        </w:rPr>
      </w:pPr>
      <w:r w:rsidRPr="00EF2770">
        <w:rPr>
          <w:rFonts w:cs="Arial"/>
        </w:rPr>
        <w:t>Before use, please verify this document is current.</w:t>
      </w:r>
    </w:p>
    <w:p w14:paraId="10BD6637" w14:textId="77777777" w:rsidR="003D6F49" w:rsidRDefault="003D6F49" w:rsidP="003D6F49">
      <w:pPr>
        <w:pStyle w:val="Bodytexttitlepage"/>
        <w:jc w:val="left"/>
        <w:rPr>
          <w:rFonts w:asciiTheme="minorHAnsi" w:hAnsiTheme="minorHAnsi" w:cs="Arial"/>
          <w:sz w:val="22"/>
          <w:szCs w:val="22"/>
        </w:rPr>
      </w:pPr>
    </w:p>
    <w:p w14:paraId="4D06FFD5" w14:textId="77777777" w:rsidR="003D6F49" w:rsidRDefault="003D6F49" w:rsidP="003D6F49">
      <w:pPr>
        <w:rPr>
          <w:rFonts w:cs="Arial"/>
          <w:b/>
          <w:szCs w:val="22"/>
        </w:rPr>
      </w:pPr>
      <w:bookmarkStart w:id="1" w:name="Approvals"/>
    </w:p>
    <w:p w14:paraId="20915C88" w14:textId="77777777" w:rsidR="003D6F49" w:rsidRDefault="003D6F49" w:rsidP="003D6F49">
      <w:pPr>
        <w:rPr>
          <w:rFonts w:cs="Arial"/>
          <w:b/>
        </w:rPr>
      </w:pPr>
      <w:bookmarkStart w:id="2" w:name="OLE_LINK1"/>
    </w:p>
    <w:p w14:paraId="03979232" w14:textId="77777777" w:rsidR="003D6F49" w:rsidRDefault="003D6F49" w:rsidP="003D6F49">
      <w:pPr>
        <w:rPr>
          <w:rFonts w:cs="Arial"/>
          <w:b/>
        </w:rPr>
      </w:pPr>
    </w:p>
    <w:p w14:paraId="68D031E6" w14:textId="77777777" w:rsidR="003D6F49" w:rsidRDefault="003D6F49" w:rsidP="003D6F49">
      <w:pPr>
        <w:rPr>
          <w:rFonts w:cs="Arial"/>
          <w:b/>
        </w:rPr>
      </w:pPr>
    </w:p>
    <w:p w14:paraId="16172511" w14:textId="77777777" w:rsidR="003D6F49" w:rsidRDefault="003D6F49" w:rsidP="003D6F49">
      <w:pPr>
        <w:rPr>
          <w:rFonts w:cs="Arial"/>
          <w:b/>
        </w:rPr>
      </w:pPr>
    </w:p>
    <w:p w14:paraId="10F5AEDB" w14:textId="77777777" w:rsidR="003D6F49" w:rsidRDefault="003D6F49" w:rsidP="003D6F49">
      <w:pPr>
        <w:rPr>
          <w:rFonts w:cs="Arial"/>
          <w:b/>
        </w:rPr>
      </w:pPr>
    </w:p>
    <w:bookmarkEnd w:id="1"/>
    <w:bookmarkEnd w:id="2"/>
    <w:p w14:paraId="6B386018" w14:textId="19E0A2EA" w:rsidR="004C107E" w:rsidRPr="00F74C57" w:rsidRDefault="004C107E" w:rsidP="004C107E">
      <w:pPr>
        <w:rPr>
          <w:rFonts w:asciiTheme="majorHAnsi" w:eastAsiaTheme="majorEastAsia" w:hAnsiTheme="majorHAnsi" w:cstheme="majorBidi"/>
          <w:color w:val="2D416E" w:themeColor="accent1" w:themeShade="BF"/>
          <w:sz w:val="32"/>
          <w:szCs w:val="32"/>
        </w:rPr>
      </w:pPr>
      <w:r w:rsidRPr="00F74C57">
        <w:rPr>
          <w:rFonts w:asciiTheme="majorHAnsi" w:eastAsiaTheme="majorEastAsia" w:hAnsiTheme="majorHAnsi" w:cstheme="majorBidi"/>
          <w:color w:val="2D416E" w:themeColor="accent1" w:themeShade="BF"/>
          <w:sz w:val="32"/>
          <w:szCs w:val="32"/>
        </w:rPr>
        <w:t>Disclaimer</w:t>
      </w:r>
    </w:p>
    <w:p w14:paraId="002A3002" w14:textId="2BE3AD8C" w:rsidR="003D6F49" w:rsidRDefault="004C107E" w:rsidP="003D6F49">
      <w:pPr>
        <w:rPr>
          <w:rFonts w:ascii="Rockwell" w:eastAsiaTheme="majorEastAsia" w:hAnsi="Rockwell" w:cstheme="majorBidi"/>
          <w:color w:val="2D416E" w:themeColor="accent1" w:themeShade="BF"/>
          <w:spacing w:val="-10"/>
          <w:kern w:val="28"/>
          <w:sz w:val="48"/>
          <w:szCs w:val="48"/>
          <w:lang w:val="en-AU"/>
        </w:rPr>
      </w:pPr>
      <w:r w:rsidRPr="00F74C57">
        <w:rPr>
          <w:rFonts w:cs="Arial"/>
          <w:szCs w:val="22"/>
        </w:rPr>
        <w:t xml:space="preserve">This report was prepared at the request of </w:t>
      </w:r>
      <w:bookmarkStart w:id="3" w:name="_Hlk109204681"/>
      <w:r w:rsidRPr="00FA3039">
        <w:rPr>
          <w:rFonts w:cs="Arial"/>
          <w:szCs w:val="22"/>
        </w:rPr>
        <w:t xml:space="preserve">The Australian Government Department of Veterans’ Affairs, </w:t>
      </w:r>
      <w:r w:rsidR="00A57B96">
        <w:rPr>
          <w:rFonts w:cs="Arial"/>
          <w:szCs w:val="22"/>
        </w:rPr>
        <w:t>Program Governance &amp; Evaluation</w:t>
      </w:r>
      <w:bookmarkEnd w:id="3"/>
      <w:r w:rsidRPr="00FA3039">
        <w:rPr>
          <w:rFonts w:cs="Arial"/>
          <w:szCs w:val="22"/>
        </w:rPr>
        <w:t>,</w:t>
      </w:r>
      <w:r w:rsidRPr="00F74C57">
        <w:rPr>
          <w:rFonts w:cs="Arial"/>
          <w:szCs w:val="22"/>
        </w:rPr>
        <w:t xml:space="preserve"> solely for the purposes of </w:t>
      </w:r>
      <w:r w:rsidRPr="00FA3039">
        <w:rPr>
          <w:rFonts w:cs="Arial"/>
          <w:szCs w:val="22"/>
        </w:rPr>
        <w:t>identifying and reviewing relevant evaluation approaches and</w:t>
      </w:r>
      <w:r w:rsidRPr="00F74C57">
        <w:rPr>
          <w:rFonts w:cs="Arial"/>
          <w:szCs w:val="22"/>
        </w:rPr>
        <w:t xml:space="preserve"> is not appropriate for use for other purposes. This report is provided for information purposes only in order to</w:t>
      </w:r>
      <w:r w:rsidRPr="00FA3039">
        <w:rPr>
          <w:rFonts w:cs="Arial"/>
          <w:szCs w:val="22"/>
        </w:rPr>
        <w:t xml:space="preserve"> assist The Australian Government Department of Veterans’ Affairs, </w:t>
      </w:r>
      <w:r w:rsidR="00A57B96">
        <w:rPr>
          <w:rFonts w:cs="Arial"/>
          <w:szCs w:val="22"/>
        </w:rPr>
        <w:t>Program Governance &amp; Evaluation</w:t>
      </w:r>
      <w:r w:rsidRPr="00FA3039">
        <w:rPr>
          <w:rFonts w:cs="Arial"/>
          <w:szCs w:val="22"/>
        </w:rPr>
        <w:t xml:space="preserve"> in building an understanding of better practice evaluation approaches</w:t>
      </w:r>
      <w:r w:rsidRPr="00F74C57">
        <w:rPr>
          <w:rFonts w:cs="Arial"/>
          <w:szCs w:val="22"/>
        </w:rPr>
        <w:t xml:space="preserve"> and should not be taken as providing specific advice on any issue, nor may this report be relied upon by any party other than</w:t>
      </w:r>
      <w:r w:rsidRPr="00FA3039">
        <w:rPr>
          <w:rFonts w:cs="Arial"/>
          <w:szCs w:val="22"/>
        </w:rPr>
        <w:t xml:space="preserve"> The Australian Government Department of Veterans’ Affairs, </w:t>
      </w:r>
      <w:r w:rsidR="00A57B96">
        <w:rPr>
          <w:rFonts w:cs="Arial"/>
          <w:szCs w:val="22"/>
        </w:rPr>
        <w:t>Program Governance &amp; Evaluation</w:t>
      </w:r>
      <w:r w:rsidRPr="00F74C57">
        <w:rPr>
          <w:rFonts w:cs="Arial"/>
          <w:szCs w:val="22"/>
        </w:rPr>
        <w:t xml:space="preserve">. In carrying out our work and preparing this report EY has worked solely on the instructions and information of </w:t>
      </w:r>
      <w:r w:rsidRPr="00FA3039">
        <w:rPr>
          <w:rFonts w:cs="Arial"/>
          <w:szCs w:val="22"/>
        </w:rPr>
        <w:t xml:space="preserve">The Australian Government Department of Veterans’ Affairs, </w:t>
      </w:r>
      <w:r w:rsidR="00A57B96">
        <w:rPr>
          <w:rFonts w:cs="Arial"/>
          <w:szCs w:val="22"/>
        </w:rPr>
        <w:t>Program Governance &amp; Evaluation</w:t>
      </w:r>
      <w:r w:rsidRPr="00FA3039">
        <w:rPr>
          <w:rFonts w:cs="Arial"/>
          <w:szCs w:val="22"/>
        </w:rPr>
        <w:t>,</w:t>
      </w:r>
      <w:r w:rsidRPr="00F74C57">
        <w:rPr>
          <w:rFonts w:cs="Arial"/>
          <w:szCs w:val="22"/>
        </w:rPr>
        <w:t xml:space="preserve"> and has not taken into account the interests or individual circumstances of any party other than </w:t>
      </w:r>
      <w:r w:rsidRPr="00FA3039">
        <w:rPr>
          <w:rFonts w:cs="Arial"/>
          <w:szCs w:val="22"/>
        </w:rPr>
        <w:t xml:space="preserve">The Australian Government Department of Veterans’ Affairs, </w:t>
      </w:r>
      <w:r w:rsidR="00A57B96">
        <w:rPr>
          <w:rFonts w:cs="Arial"/>
          <w:szCs w:val="22"/>
        </w:rPr>
        <w:t>Program Governance &amp; Evaluation</w:t>
      </w:r>
      <w:r w:rsidRPr="00F74C57">
        <w:rPr>
          <w:rFonts w:cs="Arial"/>
          <w:szCs w:val="22"/>
        </w:rPr>
        <w:t>. EY does not accept any responsibility for use of the information contained in this report and makes no guarantee nor accept any legal liability whatsoever arising from or connected to the accuracy, reliability, currency or completeness of any material contained herein. EY expressly disclaims all liability for any costs, loss, damage, injury or other consequence which may arise directly or indirectly from use of, or reliance on, this report.</w:t>
      </w:r>
      <w:r w:rsidR="003D6F49">
        <w:br w:type="page"/>
      </w:r>
    </w:p>
    <w:sdt>
      <w:sdtPr>
        <w:rPr>
          <w:rFonts w:asciiTheme="minorHAnsi" w:eastAsiaTheme="minorHAnsi" w:hAnsiTheme="minorHAnsi" w:cstheme="minorBidi"/>
          <w:color w:val="auto"/>
          <w:spacing w:val="-10"/>
          <w:kern w:val="28"/>
          <w:sz w:val="22"/>
          <w:szCs w:val="24"/>
          <w:lang w:val="en-AU"/>
        </w:rPr>
        <w:id w:val="454067989"/>
        <w:docPartObj>
          <w:docPartGallery w:val="Table of Contents"/>
          <w:docPartUnique/>
        </w:docPartObj>
      </w:sdtPr>
      <w:sdtEndPr>
        <w:rPr>
          <w:b/>
          <w:bCs/>
          <w:noProof/>
          <w:spacing w:val="0"/>
          <w:kern w:val="0"/>
          <w:lang w:val="en-US"/>
        </w:rPr>
      </w:sdtEndPr>
      <w:sdtContent>
        <w:p w14:paraId="6D8074C5" w14:textId="77777777" w:rsidR="003D6F49" w:rsidRDefault="003D6F49" w:rsidP="003D6F49">
          <w:pPr>
            <w:pStyle w:val="TOCHeading"/>
          </w:pPr>
          <w:r>
            <w:t>Contents</w:t>
          </w:r>
        </w:p>
        <w:p w14:paraId="30159BC1" w14:textId="11560D0C" w:rsidR="00BF5D6D" w:rsidRDefault="003D6F49">
          <w:pPr>
            <w:pStyle w:val="TOC1"/>
            <w:tabs>
              <w:tab w:val="right" w:leader="dot" w:pos="9631"/>
            </w:tabs>
            <w:rPr>
              <w:rFonts w:eastAsiaTheme="minorEastAsia"/>
              <w:noProof/>
              <w:szCs w:val="22"/>
              <w:lang w:val="en-AU" w:eastAsia="en-AU"/>
            </w:rPr>
          </w:pPr>
          <w:r>
            <w:fldChar w:fldCharType="begin"/>
          </w:r>
          <w:r>
            <w:instrText xml:space="preserve"> TOC \o "1-3" \h \z \u </w:instrText>
          </w:r>
          <w:r>
            <w:fldChar w:fldCharType="separate"/>
          </w:r>
          <w:hyperlink w:anchor="_Toc110956273" w:history="1">
            <w:r w:rsidR="00BF5D6D" w:rsidRPr="000B1D74">
              <w:rPr>
                <w:rStyle w:val="Hyperlink"/>
                <w:noProof/>
              </w:rPr>
              <w:t>Executive summary</w:t>
            </w:r>
            <w:r w:rsidR="00BF5D6D">
              <w:rPr>
                <w:noProof/>
                <w:webHidden/>
              </w:rPr>
              <w:tab/>
            </w:r>
            <w:r w:rsidR="00BF5D6D">
              <w:rPr>
                <w:noProof/>
                <w:webHidden/>
              </w:rPr>
              <w:fldChar w:fldCharType="begin"/>
            </w:r>
            <w:r w:rsidR="00BF5D6D">
              <w:rPr>
                <w:noProof/>
                <w:webHidden/>
              </w:rPr>
              <w:instrText xml:space="preserve"> PAGEREF _Toc110956273 \h </w:instrText>
            </w:r>
            <w:r w:rsidR="00BF5D6D">
              <w:rPr>
                <w:noProof/>
                <w:webHidden/>
              </w:rPr>
            </w:r>
            <w:r w:rsidR="00BF5D6D">
              <w:rPr>
                <w:noProof/>
                <w:webHidden/>
              </w:rPr>
              <w:fldChar w:fldCharType="separate"/>
            </w:r>
            <w:r w:rsidR="00812188">
              <w:rPr>
                <w:noProof/>
                <w:webHidden/>
              </w:rPr>
              <w:t>4</w:t>
            </w:r>
            <w:r w:rsidR="00BF5D6D">
              <w:rPr>
                <w:noProof/>
                <w:webHidden/>
              </w:rPr>
              <w:fldChar w:fldCharType="end"/>
            </w:r>
          </w:hyperlink>
        </w:p>
        <w:p w14:paraId="4804F6AE" w14:textId="67316EDE" w:rsidR="00BF5D6D" w:rsidRDefault="00D657CC">
          <w:pPr>
            <w:pStyle w:val="TOC2"/>
            <w:tabs>
              <w:tab w:val="right" w:leader="dot" w:pos="9631"/>
            </w:tabs>
            <w:rPr>
              <w:rFonts w:eastAsiaTheme="minorEastAsia"/>
              <w:noProof/>
              <w:szCs w:val="22"/>
              <w:lang w:val="en-AU" w:eastAsia="en-AU"/>
            </w:rPr>
          </w:pPr>
          <w:hyperlink w:anchor="_Toc110956274" w:history="1">
            <w:r w:rsidR="00BF5D6D" w:rsidRPr="000B1D74">
              <w:rPr>
                <w:rStyle w:val="Hyperlink"/>
                <w:noProof/>
              </w:rPr>
              <w:t>Review questions</w:t>
            </w:r>
            <w:r w:rsidR="00BF5D6D">
              <w:rPr>
                <w:noProof/>
                <w:webHidden/>
              </w:rPr>
              <w:tab/>
            </w:r>
            <w:r w:rsidR="00BF5D6D">
              <w:rPr>
                <w:noProof/>
                <w:webHidden/>
              </w:rPr>
              <w:fldChar w:fldCharType="begin"/>
            </w:r>
            <w:r w:rsidR="00BF5D6D">
              <w:rPr>
                <w:noProof/>
                <w:webHidden/>
              </w:rPr>
              <w:instrText xml:space="preserve"> PAGEREF _Toc110956274 \h </w:instrText>
            </w:r>
            <w:r w:rsidR="00BF5D6D">
              <w:rPr>
                <w:noProof/>
                <w:webHidden/>
              </w:rPr>
            </w:r>
            <w:r w:rsidR="00BF5D6D">
              <w:rPr>
                <w:noProof/>
                <w:webHidden/>
              </w:rPr>
              <w:fldChar w:fldCharType="separate"/>
            </w:r>
            <w:r w:rsidR="00812188">
              <w:rPr>
                <w:noProof/>
                <w:webHidden/>
              </w:rPr>
              <w:t>4</w:t>
            </w:r>
            <w:r w:rsidR="00BF5D6D">
              <w:rPr>
                <w:noProof/>
                <w:webHidden/>
              </w:rPr>
              <w:fldChar w:fldCharType="end"/>
            </w:r>
          </w:hyperlink>
        </w:p>
        <w:p w14:paraId="01785A90" w14:textId="6F2ACE17" w:rsidR="00BF5D6D" w:rsidRDefault="00D657CC">
          <w:pPr>
            <w:pStyle w:val="TOC2"/>
            <w:tabs>
              <w:tab w:val="right" w:leader="dot" w:pos="9631"/>
            </w:tabs>
            <w:rPr>
              <w:rFonts w:eastAsiaTheme="minorEastAsia"/>
              <w:noProof/>
              <w:szCs w:val="22"/>
              <w:lang w:val="en-AU" w:eastAsia="en-AU"/>
            </w:rPr>
          </w:pPr>
          <w:hyperlink w:anchor="_Toc110956275" w:history="1">
            <w:r w:rsidR="00BF5D6D" w:rsidRPr="000B1D74">
              <w:rPr>
                <w:rStyle w:val="Hyperlink"/>
                <w:noProof/>
              </w:rPr>
              <w:t>Review methodology</w:t>
            </w:r>
            <w:r w:rsidR="00BF5D6D">
              <w:rPr>
                <w:noProof/>
                <w:webHidden/>
              </w:rPr>
              <w:tab/>
            </w:r>
            <w:r w:rsidR="00BF5D6D">
              <w:rPr>
                <w:noProof/>
                <w:webHidden/>
              </w:rPr>
              <w:fldChar w:fldCharType="begin"/>
            </w:r>
            <w:r w:rsidR="00BF5D6D">
              <w:rPr>
                <w:noProof/>
                <w:webHidden/>
              </w:rPr>
              <w:instrText xml:space="preserve"> PAGEREF _Toc110956275 \h </w:instrText>
            </w:r>
            <w:r w:rsidR="00BF5D6D">
              <w:rPr>
                <w:noProof/>
                <w:webHidden/>
              </w:rPr>
            </w:r>
            <w:r w:rsidR="00BF5D6D">
              <w:rPr>
                <w:noProof/>
                <w:webHidden/>
              </w:rPr>
              <w:fldChar w:fldCharType="separate"/>
            </w:r>
            <w:r w:rsidR="00812188">
              <w:rPr>
                <w:noProof/>
                <w:webHidden/>
              </w:rPr>
              <w:t>4</w:t>
            </w:r>
            <w:r w:rsidR="00BF5D6D">
              <w:rPr>
                <w:noProof/>
                <w:webHidden/>
              </w:rPr>
              <w:fldChar w:fldCharType="end"/>
            </w:r>
          </w:hyperlink>
        </w:p>
        <w:p w14:paraId="013708A1" w14:textId="71F39326" w:rsidR="00BF5D6D" w:rsidRDefault="00D657CC">
          <w:pPr>
            <w:pStyle w:val="TOC2"/>
            <w:tabs>
              <w:tab w:val="right" w:leader="dot" w:pos="9631"/>
            </w:tabs>
            <w:rPr>
              <w:rFonts w:eastAsiaTheme="minorEastAsia"/>
              <w:noProof/>
              <w:szCs w:val="22"/>
              <w:lang w:val="en-AU" w:eastAsia="en-AU"/>
            </w:rPr>
          </w:pPr>
          <w:hyperlink w:anchor="_Toc110956276" w:history="1">
            <w:r w:rsidR="00BF5D6D" w:rsidRPr="000B1D74">
              <w:rPr>
                <w:rStyle w:val="Hyperlink"/>
                <w:noProof/>
              </w:rPr>
              <w:t>Key Findings</w:t>
            </w:r>
            <w:r w:rsidR="00BF5D6D">
              <w:rPr>
                <w:noProof/>
                <w:webHidden/>
              </w:rPr>
              <w:tab/>
            </w:r>
            <w:r w:rsidR="00BF5D6D">
              <w:rPr>
                <w:noProof/>
                <w:webHidden/>
              </w:rPr>
              <w:fldChar w:fldCharType="begin"/>
            </w:r>
            <w:r w:rsidR="00BF5D6D">
              <w:rPr>
                <w:noProof/>
                <w:webHidden/>
              </w:rPr>
              <w:instrText xml:space="preserve"> PAGEREF _Toc110956276 \h </w:instrText>
            </w:r>
            <w:r w:rsidR="00BF5D6D">
              <w:rPr>
                <w:noProof/>
                <w:webHidden/>
              </w:rPr>
            </w:r>
            <w:r w:rsidR="00BF5D6D">
              <w:rPr>
                <w:noProof/>
                <w:webHidden/>
              </w:rPr>
              <w:fldChar w:fldCharType="separate"/>
            </w:r>
            <w:r w:rsidR="00812188">
              <w:rPr>
                <w:noProof/>
                <w:webHidden/>
              </w:rPr>
              <w:t>4</w:t>
            </w:r>
            <w:r w:rsidR="00BF5D6D">
              <w:rPr>
                <w:noProof/>
                <w:webHidden/>
              </w:rPr>
              <w:fldChar w:fldCharType="end"/>
            </w:r>
          </w:hyperlink>
        </w:p>
        <w:p w14:paraId="3752B273" w14:textId="2BCD844E" w:rsidR="00BF5D6D" w:rsidRDefault="00D657CC">
          <w:pPr>
            <w:pStyle w:val="TOC2"/>
            <w:tabs>
              <w:tab w:val="right" w:leader="dot" w:pos="9631"/>
            </w:tabs>
            <w:rPr>
              <w:rFonts w:eastAsiaTheme="minorEastAsia"/>
              <w:noProof/>
              <w:szCs w:val="22"/>
              <w:lang w:val="en-AU" w:eastAsia="en-AU"/>
            </w:rPr>
          </w:pPr>
          <w:hyperlink w:anchor="_Toc110956277" w:history="1">
            <w:r w:rsidR="00BF5D6D" w:rsidRPr="000B1D74">
              <w:rPr>
                <w:rStyle w:val="Hyperlink"/>
                <w:noProof/>
                <w:lang w:eastAsia="en-AU"/>
              </w:rPr>
              <w:t>Conclusion</w:t>
            </w:r>
            <w:r w:rsidR="00BF5D6D">
              <w:rPr>
                <w:noProof/>
                <w:webHidden/>
              </w:rPr>
              <w:tab/>
            </w:r>
            <w:r w:rsidR="00BF5D6D">
              <w:rPr>
                <w:noProof/>
                <w:webHidden/>
              </w:rPr>
              <w:fldChar w:fldCharType="begin"/>
            </w:r>
            <w:r w:rsidR="00BF5D6D">
              <w:rPr>
                <w:noProof/>
                <w:webHidden/>
              </w:rPr>
              <w:instrText xml:space="preserve"> PAGEREF _Toc110956277 \h </w:instrText>
            </w:r>
            <w:r w:rsidR="00BF5D6D">
              <w:rPr>
                <w:noProof/>
                <w:webHidden/>
              </w:rPr>
            </w:r>
            <w:r w:rsidR="00BF5D6D">
              <w:rPr>
                <w:noProof/>
                <w:webHidden/>
              </w:rPr>
              <w:fldChar w:fldCharType="separate"/>
            </w:r>
            <w:r w:rsidR="00812188">
              <w:rPr>
                <w:noProof/>
                <w:webHidden/>
              </w:rPr>
              <w:t>5</w:t>
            </w:r>
            <w:r w:rsidR="00BF5D6D">
              <w:rPr>
                <w:noProof/>
                <w:webHidden/>
              </w:rPr>
              <w:fldChar w:fldCharType="end"/>
            </w:r>
          </w:hyperlink>
        </w:p>
        <w:p w14:paraId="7A94C053" w14:textId="316CFFFB" w:rsidR="00BF5D6D" w:rsidRDefault="00D657CC">
          <w:pPr>
            <w:pStyle w:val="TOC1"/>
            <w:tabs>
              <w:tab w:val="left" w:pos="440"/>
              <w:tab w:val="right" w:leader="dot" w:pos="9631"/>
            </w:tabs>
            <w:rPr>
              <w:rFonts w:eastAsiaTheme="minorEastAsia"/>
              <w:noProof/>
              <w:szCs w:val="22"/>
              <w:lang w:val="en-AU" w:eastAsia="en-AU"/>
            </w:rPr>
          </w:pPr>
          <w:hyperlink w:anchor="_Toc110956278" w:history="1">
            <w:r w:rsidR="00BF5D6D" w:rsidRPr="000B1D74">
              <w:rPr>
                <w:rStyle w:val="Hyperlink"/>
                <w:noProof/>
              </w:rPr>
              <w:t>1.</w:t>
            </w:r>
            <w:r w:rsidR="00BF5D6D">
              <w:rPr>
                <w:rFonts w:eastAsiaTheme="minorEastAsia"/>
                <w:noProof/>
                <w:szCs w:val="22"/>
                <w:lang w:val="en-AU" w:eastAsia="en-AU"/>
              </w:rPr>
              <w:tab/>
            </w:r>
            <w:r w:rsidR="00BF5D6D" w:rsidRPr="000B1D74">
              <w:rPr>
                <w:rStyle w:val="Hyperlink"/>
                <w:noProof/>
              </w:rPr>
              <w:t>Introduction</w:t>
            </w:r>
            <w:r w:rsidR="00BF5D6D">
              <w:rPr>
                <w:noProof/>
                <w:webHidden/>
              </w:rPr>
              <w:tab/>
            </w:r>
            <w:r w:rsidR="00BF5D6D">
              <w:rPr>
                <w:noProof/>
                <w:webHidden/>
              </w:rPr>
              <w:fldChar w:fldCharType="begin"/>
            </w:r>
            <w:r w:rsidR="00BF5D6D">
              <w:rPr>
                <w:noProof/>
                <w:webHidden/>
              </w:rPr>
              <w:instrText xml:space="preserve"> PAGEREF _Toc110956278 \h </w:instrText>
            </w:r>
            <w:r w:rsidR="00BF5D6D">
              <w:rPr>
                <w:noProof/>
                <w:webHidden/>
              </w:rPr>
            </w:r>
            <w:r w:rsidR="00BF5D6D">
              <w:rPr>
                <w:noProof/>
                <w:webHidden/>
              </w:rPr>
              <w:fldChar w:fldCharType="separate"/>
            </w:r>
            <w:r w:rsidR="00812188">
              <w:rPr>
                <w:noProof/>
                <w:webHidden/>
              </w:rPr>
              <w:t>7</w:t>
            </w:r>
            <w:r w:rsidR="00BF5D6D">
              <w:rPr>
                <w:noProof/>
                <w:webHidden/>
              </w:rPr>
              <w:fldChar w:fldCharType="end"/>
            </w:r>
          </w:hyperlink>
        </w:p>
        <w:p w14:paraId="37A319E1" w14:textId="7DA2BADD" w:rsidR="00BF5D6D" w:rsidRDefault="00D657CC">
          <w:pPr>
            <w:pStyle w:val="TOC2"/>
            <w:tabs>
              <w:tab w:val="left" w:pos="880"/>
              <w:tab w:val="right" w:leader="dot" w:pos="9631"/>
            </w:tabs>
            <w:rPr>
              <w:rFonts w:eastAsiaTheme="minorEastAsia"/>
              <w:noProof/>
              <w:szCs w:val="22"/>
              <w:lang w:val="en-AU" w:eastAsia="en-AU"/>
            </w:rPr>
          </w:pPr>
          <w:hyperlink w:anchor="_Toc110956279" w:history="1">
            <w:r w:rsidR="00BF5D6D" w:rsidRPr="000B1D74">
              <w:rPr>
                <w:rStyle w:val="Hyperlink"/>
                <w:noProof/>
              </w:rPr>
              <w:t>1.1.</w:t>
            </w:r>
            <w:r w:rsidR="00BF5D6D">
              <w:rPr>
                <w:rFonts w:eastAsiaTheme="minorEastAsia"/>
                <w:noProof/>
                <w:szCs w:val="22"/>
                <w:lang w:val="en-AU" w:eastAsia="en-AU"/>
              </w:rPr>
              <w:tab/>
            </w:r>
            <w:r w:rsidR="00BF5D6D" w:rsidRPr="000B1D74">
              <w:rPr>
                <w:rStyle w:val="Hyperlink"/>
                <w:noProof/>
              </w:rPr>
              <w:t>Background</w:t>
            </w:r>
            <w:r w:rsidR="00BF5D6D">
              <w:rPr>
                <w:noProof/>
                <w:webHidden/>
              </w:rPr>
              <w:tab/>
            </w:r>
            <w:r w:rsidR="00BF5D6D">
              <w:rPr>
                <w:noProof/>
                <w:webHidden/>
              </w:rPr>
              <w:fldChar w:fldCharType="begin"/>
            </w:r>
            <w:r w:rsidR="00BF5D6D">
              <w:rPr>
                <w:noProof/>
                <w:webHidden/>
              </w:rPr>
              <w:instrText xml:space="preserve"> PAGEREF _Toc110956279 \h </w:instrText>
            </w:r>
            <w:r w:rsidR="00BF5D6D">
              <w:rPr>
                <w:noProof/>
                <w:webHidden/>
              </w:rPr>
            </w:r>
            <w:r w:rsidR="00BF5D6D">
              <w:rPr>
                <w:noProof/>
                <w:webHidden/>
              </w:rPr>
              <w:fldChar w:fldCharType="separate"/>
            </w:r>
            <w:r w:rsidR="00812188">
              <w:rPr>
                <w:noProof/>
                <w:webHidden/>
              </w:rPr>
              <w:t>7</w:t>
            </w:r>
            <w:r w:rsidR="00BF5D6D">
              <w:rPr>
                <w:noProof/>
                <w:webHidden/>
              </w:rPr>
              <w:fldChar w:fldCharType="end"/>
            </w:r>
          </w:hyperlink>
        </w:p>
        <w:p w14:paraId="07248B9B" w14:textId="5FB2B104" w:rsidR="00BF5D6D" w:rsidRDefault="00D657CC">
          <w:pPr>
            <w:pStyle w:val="TOC2"/>
            <w:tabs>
              <w:tab w:val="left" w:pos="880"/>
              <w:tab w:val="right" w:leader="dot" w:pos="9631"/>
            </w:tabs>
            <w:rPr>
              <w:rFonts w:eastAsiaTheme="minorEastAsia"/>
              <w:noProof/>
              <w:szCs w:val="22"/>
              <w:lang w:val="en-AU" w:eastAsia="en-AU"/>
            </w:rPr>
          </w:pPr>
          <w:hyperlink w:anchor="_Toc110956280" w:history="1">
            <w:r w:rsidR="00BF5D6D" w:rsidRPr="000B1D74">
              <w:rPr>
                <w:rStyle w:val="Hyperlink"/>
                <w:noProof/>
              </w:rPr>
              <w:t>1.2.</w:t>
            </w:r>
            <w:r w:rsidR="00BF5D6D">
              <w:rPr>
                <w:rFonts w:eastAsiaTheme="minorEastAsia"/>
                <w:noProof/>
                <w:szCs w:val="22"/>
                <w:lang w:val="en-AU" w:eastAsia="en-AU"/>
              </w:rPr>
              <w:tab/>
            </w:r>
            <w:r w:rsidR="00BF5D6D" w:rsidRPr="000B1D74">
              <w:rPr>
                <w:rStyle w:val="Hyperlink"/>
                <w:noProof/>
              </w:rPr>
              <w:t>Aims and objectives of the review</w:t>
            </w:r>
            <w:r w:rsidR="00BF5D6D">
              <w:rPr>
                <w:noProof/>
                <w:webHidden/>
              </w:rPr>
              <w:tab/>
            </w:r>
            <w:r w:rsidR="00BF5D6D">
              <w:rPr>
                <w:noProof/>
                <w:webHidden/>
              </w:rPr>
              <w:fldChar w:fldCharType="begin"/>
            </w:r>
            <w:r w:rsidR="00BF5D6D">
              <w:rPr>
                <w:noProof/>
                <w:webHidden/>
              </w:rPr>
              <w:instrText xml:space="preserve"> PAGEREF _Toc110956280 \h </w:instrText>
            </w:r>
            <w:r w:rsidR="00BF5D6D">
              <w:rPr>
                <w:noProof/>
                <w:webHidden/>
              </w:rPr>
            </w:r>
            <w:r w:rsidR="00BF5D6D">
              <w:rPr>
                <w:noProof/>
                <w:webHidden/>
              </w:rPr>
              <w:fldChar w:fldCharType="separate"/>
            </w:r>
            <w:r w:rsidR="00812188">
              <w:rPr>
                <w:noProof/>
                <w:webHidden/>
              </w:rPr>
              <w:t>8</w:t>
            </w:r>
            <w:r w:rsidR="00BF5D6D">
              <w:rPr>
                <w:noProof/>
                <w:webHidden/>
              </w:rPr>
              <w:fldChar w:fldCharType="end"/>
            </w:r>
          </w:hyperlink>
        </w:p>
        <w:p w14:paraId="200C7BFF" w14:textId="118D3ACE" w:rsidR="00BF5D6D" w:rsidRDefault="00D657CC">
          <w:pPr>
            <w:pStyle w:val="TOC1"/>
            <w:tabs>
              <w:tab w:val="left" w:pos="440"/>
              <w:tab w:val="right" w:leader="dot" w:pos="9631"/>
            </w:tabs>
            <w:rPr>
              <w:rFonts w:eastAsiaTheme="minorEastAsia"/>
              <w:noProof/>
              <w:szCs w:val="22"/>
              <w:lang w:val="en-AU" w:eastAsia="en-AU"/>
            </w:rPr>
          </w:pPr>
          <w:hyperlink w:anchor="_Toc110956281" w:history="1">
            <w:r w:rsidR="00BF5D6D" w:rsidRPr="000B1D74">
              <w:rPr>
                <w:rStyle w:val="Hyperlink"/>
                <w:noProof/>
              </w:rPr>
              <w:t>2.</w:t>
            </w:r>
            <w:r w:rsidR="00BF5D6D">
              <w:rPr>
                <w:rFonts w:eastAsiaTheme="minorEastAsia"/>
                <w:noProof/>
                <w:szCs w:val="22"/>
                <w:lang w:val="en-AU" w:eastAsia="en-AU"/>
              </w:rPr>
              <w:tab/>
            </w:r>
            <w:r w:rsidR="00BF5D6D" w:rsidRPr="000B1D74">
              <w:rPr>
                <w:rStyle w:val="Hyperlink"/>
                <w:noProof/>
              </w:rPr>
              <w:t>Review Approach</w:t>
            </w:r>
            <w:r w:rsidR="00BF5D6D">
              <w:rPr>
                <w:noProof/>
                <w:webHidden/>
              </w:rPr>
              <w:tab/>
            </w:r>
            <w:r w:rsidR="00BF5D6D">
              <w:rPr>
                <w:noProof/>
                <w:webHidden/>
              </w:rPr>
              <w:fldChar w:fldCharType="begin"/>
            </w:r>
            <w:r w:rsidR="00BF5D6D">
              <w:rPr>
                <w:noProof/>
                <w:webHidden/>
              </w:rPr>
              <w:instrText xml:space="preserve"> PAGEREF _Toc110956281 \h </w:instrText>
            </w:r>
            <w:r w:rsidR="00BF5D6D">
              <w:rPr>
                <w:noProof/>
                <w:webHidden/>
              </w:rPr>
            </w:r>
            <w:r w:rsidR="00BF5D6D">
              <w:rPr>
                <w:noProof/>
                <w:webHidden/>
              </w:rPr>
              <w:fldChar w:fldCharType="separate"/>
            </w:r>
            <w:r w:rsidR="00812188">
              <w:rPr>
                <w:noProof/>
                <w:webHidden/>
              </w:rPr>
              <w:t>9</w:t>
            </w:r>
            <w:r w:rsidR="00BF5D6D">
              <w:rPr>
                <w:noProof/>
                <w:webHidden/>
              </w:rPr>
              <w:fldChar w:fldCharType="end"/>
            </w:r>
          </w:hyperlink>
        </w:p>
        <w:p w14:paraId="19FDB271" w14:textId="418FD6C8" w:rsidR="00BF5D6D" w:rsidRDefault="00D657CC">
          <w:pPr>
            <w:pStyle w:val="TOC2"/>
            <w:tabs>
              <w:tab w:val="left" w:pos="880"/>
              <w:tab w:val="right" w:leader="dot" w:pos="9631"/>
            </w:tabs>
            <w:rPr>
              <w:rFonts w:eastAsiaTheme="minorEastAsia"/>
              <w:noProof/>
              <w:szCs w:val="22"/>
              <w:lang w:val="en-AU" w:eastAsia="en-AU"/>
            </w:rPr>
          </w:pPr>
          <w:hyperlink w:anchor="_Toc110956282" w:history="1">
            <w:r w:rsidR="00BF5D6D" w:rsidRPr="000B1D74">
              <w:rPr>
                <w:rStyle w:val="Hyperlink"/>
                <w:noProof/>
              </w:rPr>
              <w:t>2.1.</w:t>
            </w:r>
            <w:r w:rsidR="00BF5D6D">
              <w:rPr>
                <w:rFonts w:eastAsiaTheme="minorEastAsia"/>
                <w:noProof/>
                <w:szCs w:val="22"/>
                <w:lang w:val="en-AU" w:eastAsia="en-AU"/>
              </w:rPr>
              <w:tab/>
            </w:r>
            <w:r w:rsidR="00BF5D6D" w:rsidRPr="000B1D74">
              <w:rPr>
                <w:rStyle w:val="Hyperlink"/>
                <w:noProof/>
              </w:rPr>
              <w:t>Desktop literature review</w:t>
            </w:r>
            <w:r w:rsidR="00BF5D6D">
              <w:rPr>
                <w:noProof/>
                <w:webHidden/>
              </w:rPr>
              <w:tab/>
            </w:r>
            <w:r w:rsidR="00BF5D6D">
              <w:rPr>
                <w:noProof/>
                <w:webHidden/>
              </w:rPr>
              <w:fldChar w:fldCharType="begin"/>
            </w:r>
            <w:r w:rsidR="00BF5D6D">
              <w:rPr>
                <w:noProof/>
                <w:webHidden/>
              </w:rPr>
              <w:instrText xml:space="preserve"> PAGEREF _Toc110956282 \h </w:instrText>
            </w:r>
            <w:r w:rsidR="00BF5D6D">
              <w:rPr>
                <w:noProof/>
                <w:webHidden/>
              </w:rPr>
            </w:r>
            <w:r w:rsidR="00BF5D6D">
              <w:rPr>
                <w:noProof/>
                <w:webHidden/>
              </w:rPr>
              <w:fldChar w:fldCharType="separate"/>
            </w:r>
            <w:r w:rsidR="00812188">
              <w:rPr>
                <w:noProof/>
                <w:webHidden/>
              </w:rPr>
              <w:t>9</w:t>
            </w:r>
            <w:r w:rsidR="00BF5D6D">
              <w:rPr>
                <w:noProof/>
                <w:webHidden/>
              </w:rPr>
              <w:fldChar w:fldCharType="end"/>
            </w:r>
          </w:hyperlink>
        </w:p>
        <w:p w14:paraId="34B3537F" w14:textId="27B6419B" w:rsidR="00BF5D6D" w:rsidRDefault="00D657CC">
          <w:pPr>
            <w:pStyle w:val="TOC3"/>
            <w:tabs>
              <w:tab w:val="left" w:pos="1320"/>
              <w:tab w:val="right" w:leader="dot" w:pos="9631"/>
            </w:tabs>
            <w:rPr>
              <w:rFonts w:eastAsiaTheme="minorEastAsia"/>
              <w:noProof/>
              <w:szCs w:val="22"/>
              <w:lang w:val="en-AU" w:eastAsia="en-AU"/>
            </w:rPr>
          </w:pPr>
          <w:hyperlink w:anchor="_Toc110956283" w:history="1">
            <w:r w:rsidR="00BF5D6D" w:rsidRPr="000B1D74">
              <w:rPr>
                <w:rStyle w:val="Hyperlink"/>
                <w:noProof/>
              </w:rPr>
              <w:t>2.1.1.</w:t>
            </w:r>
            <w:r w:rsidR="00BF5D6D">
              <w:rPr>
                <w:rFonts w:eastAsiaTheme="minorEastAsia"/>
                <w:noProof/>
                <w:szCs w:val="22"/>
                <w:lang w:val="en-AU" w:eastAsia="en-AU"/>
              </w:rPr>
              <w:tab/>
            </w:r>
            <w:r w:rsidR="00BF5D6D" w:rsidRPr="000B1D74">
              <w:rPr>
                <w:rStyle w:val="Hyperlink"/>
                <w:noProof/>
              </w:rPr>
              <w:t>Published literature review</w:t>
            </w:r>
            <w:r w:rsidR="00BF5D6D">
              <w:rPr>
                <w:noProof/>
                <w:webHidden/>
              </w:rPr>
              <w:tab/>
            </w:r>
            <w:r w:rsidR="00BF5D6D">
              <w:rPr>
                <w:noProof/>
                <w:webHidden/>
              </w:rPr>
              <w:fldChar w:fldCharType="begin"/>
            </w:r>
            <w:r w:rsidR="00BF5D6D">
              <w:rPr>
                <w:noProof/>
                <w:webHidden/>
              </w:rPr>
              <w:instrText xml:space="preserve"> PAGEREF _Toc110956283 \h </w:instrText>
            </w:r>
            <w:r w:rsidR="00BF5D6D">
              <w:rPr>
                <w:noProof/>
                <w:webHidden/>
              </w:rPr>
            </w:r>
            <w:r w:rsidR="00BF5D6D">
              <w:rPr>
                <w:noProof/>
                <w:webHidden/>
              </w:rPr>
              <w:fldChar w:fldCharType="separate"/>
            </w:r>
            <w:r w:rsidR="00812188">
              <w:rPr>
                <w:noProof/>
                <w:webHidden/>
              </w:rPr>
              <w:t>9</w:t>
            </w:r>
            <w:r w:rsidR="00BF5D6D">
              <w:rPr>
                <w:noProof/>
                <w:webHidden/>
              </w:rPr>
              <w:fldChar w:fldCharType="end"/>
            </w:r>
          </w:hyperlink>
        </w:p>
        <w:p w14:paraId="5E96FCB0" w14:textId="0BD1A0C6" w:rsidR="00BF5D6D" w:rsidRDefault="00D657CC">
          <w:pPr>
            <w:pStyle w:val="TOC3"/>
            <w:tabs>
              <w:tab w:val="left" w:pos="1320"/>
              <w:tab w:val="right" w:leader="dot" w:pos="9631"/>
            </w:tabs>
            <w:rPr>
              <w:rFonts w:eastAsiaTheme="minorEastAsia"/>
              <w:noProof/>
              <w:szCs w:val="22"/>
              <w:lang w:val="en-AU" w:eastAsia="en-AU"/>
            </w:rPr>
          </w:pPr>
          <w:hyperlink w:anchor="_Toc110956284" w:history="1">
            <w:r w:rsidR="00BF5D6D" w:rsidRPr="000B1D74">
              <w:rPr>
                <w:rStyle w:val="Hyperlink"/>
                <w:noProof/>
              </w:rPr>
              <w:t>2.1.2.</w:t>
            </w:r>
            <w:r w:rsidR="00BF5D6D">
              <w:rPr>
                <w:rFonts w:eastAsiaTheme="minorEastAsia"/>
                <w:noProof/>
                <w:szCs w:val="22"/>
                <w:lang w:val="en-AU" w:eastAsia="en-AU"/>
              </w:rPr>
              <w:tab/>
            </w:r>
            <w:r w:rsidR="00BF5D6D" w:rsidRPr="000B1D74">
              <w:rPr>
                <w:rStyle w:val="Hyperlink"/>
                <w:noProof/>
              </w:rPr>
              <w:t>Grey literature search</w:t>
            </w:r>
            <w:r w:rsidR="00BF5D6D">
              <w:rPr>
                <w:noProof/>
                <w:webHidden/>
              </w:rPr>
              <w:tab/>
            </w:r>
            <w:r w:rsidR="00BF5D6D">
              <w:rPr>
                <w:noProof/>
                <w:webHidden/>
              </w:rPr>
              <w:fldChar w:fldCharType="begin"/>
            </w:r>
            <w:r w:rsidR="00BF5D6D">
              <w:rPr>
                <w:noProof/>
                <w:webHidden/>
              </w:rPr>
              <w:instrText xml:space="preserve"> PAGEREF _Toc110956284 \h </w:instrText>
            </w:r>
            <w:r w:rsidR="00BF5D6D">
              <w:rPr>
                <w:noProof/>
                <w:webHidden/>
              </w:rPr>
            </w:r>
            <w:r w:rsidR="00BF5D6D">
              <w:rPr>
                <w:noProof/>
                <w:webHidden/>
              </w:rPr>
              <w:fldChar w:fldCharType="separate"/>
            </w:r>
            <w:r w:rsidR="00812188">
              <w:rPr>
                <w:noProof/>
                <w:webHidden/>
              </w:rPr>
              <w:t>11</w:t>
            </w:r>
            <w:r w:rsidR="00BF5D6D">
              <w:rPr>
                <w:noProof/>
                <w:webHidden/>
              </w:rPr>
              <w:fldChar w:fldCharType="end"/>
            </w:r>
          </w:hyperlink>
        </w:p>
        <w:p w14:paraId="6168C5B3" w14:textId="3153E7CC" w:rsidR="00BF5D6D" w:rsidRDefault="00D657CC">
          <w:pPr>
            <w:pStyle w:val="TOC2"/>
            <w:tabs>
              <w:tab w:val="left" w:pos="880"/>
              <w:tab w:val="right" w:leader="dot" w:pos="9631"/>
            </w:tabs>
            <w:rPr>
              <w:rFonts w:eastAsiaTheme="minorEastAsia"/>
              <w:noProof/>
              <w:szCs w:val="22"/>
              <w:lang w:val="en-AU" w:eastAsia="en-AU"/>
            </w:rPr>
          </w:pPr>
          <w:hyperlink w:anchor="_Toc110956285" w:history="1">
            <w:r w:rsidR="00BF5D6D" w:rsidRPr="000B1D74">
              <w:rPr>
                <w:rStyle w:val="Hyperlink"/>
                <w:noProof/>
              </w:rPr>
              <w:t>2.2.</w:t>
            </w:r>
            <w:r w:rsidR="00BF5D6D">
              <w:rPr>
                <w:rFonts w:eastAsiaTheme="minorEastAsia"/>
                <w:noProof/>
                <w:szCs w:val="22"/>
                <w:lang w:val="en-AU" w:eastAsia="en-AU"/>
              </w:rPr>
              <w:tab/>
            </w:r>
            <w:r w:rsidR="00BF5D6D" w:rsidRPr="000B1D74">
              <w:rPr>
                <w:rStyle w:val="Hyperlink"/>
                <w:noProof/>
              </w:rPr>
              <w:t>Key informant interviews</w:t>
            </w:r>
            <w:r w:rsidR="00BF5D6D">
              <w:rPr>
                <w:noProof/>
                <w:webHidden/>
              </w:rPr>
              <w:tab/>
            </w:r>
            <w:r w:rsidR="00BF5D6D">
              <w:rPr>
                <w:noProof/>
                <w:webHidden/>
              </w:rPr>
              <w:fldChar w:fldCharType="begin"/>
            </w:r>
            <w:r w:rsidR="00BF5D6D">
              <w:rPr>
                <w:noProof/>
                <w:webHidden/>
              </w:rPr>
              <w:instrText xml:space="preserve"> PAGEREF _Toc110956285 \h </w:instrText>
            </w:r>
            <w:r w:rsidR="00BF5D6D">
              <w:rPr>
                <w:noProof/>
                <w:webHidden/>
              </w:rPr>
            </w:r>
            <w:r w:rsidR="00BF5D6D">
              <w:rPr>
                <w:noProof/>
                <w:webHidden/>
              </w:rPr>
              <w:fldChar w:fldCharType="separate"/>
            </w:r>
            <w:r w:rsidR="00812188">
              <w:rPr>
                <w:noProof/>
                <w:webHidden/>
              </w:rPr>
              <w:t>11</w:t>
            </w:r>
            <w:r w:rsidR="00BF5D6D">
              <w:rPr>
                <w:noProof/>
                <w:webHidden/>
              </w:rPr>
              <w:fldChar w:fldCharType="end"/>
            </w:r>
          </w:hyperlink>
        </w:p>
        <w:p w14:paraId="0B755519" w14:textId="6CA9EEF8" w:rsidR="00BF5D6D" w:rsidRDefault="00D657CC">
          <w:pPr>
            <w:pStyle w:val="TOC2"/>
            <w:tabs>
              <w:tab w:val="left" w:pos="880"/>
              <w:tab w:val="right" w:leader="dot" w:pos="9631"/>
            </w:tabs>
            <w:rPr>
              <w:rFonts w:eastAsiaTheme="minorEastAsia"/>
              <w:noProof/>
              <w:szCs w:val="22"/>
              <w:lang w:val="en-AU" w:eastAsia="en-AU"/>
            </w:rPr>
          </w:pPr>
          <w:hyperlink w:anchor="_Toc110956286" w:history="1">
            <w:r w:rsidR="00BF5D6D" w:rsidRPr="000B1D74">
              <w:rPr>
                <w:rStyle w:val="Hyperlink"/>
                <w:noProof/>
              </w:rPr>
              <w:t>2.3.</w:t>
            </w:r>
            <w:r w:rsidR="00BF5D6D">
              <w:rPr>
                <w:rFonts w:eastAsiaTheme="minorEastAsia"/>
                <w:noProof/>
                <w:szCs w:val="22"/>
                <w:lang w:val="en-AU" w:eastAsia="en-AU"/>
              </w:rPr>
              <w:tab/>
            </w:r>
            <w:r w:rsidR="00BF5D6D" w:rsidRPr="000B1D74">
              <w:rPr>
                <w:rStyle w:val="Hyperlink"/>
                <w:noProof/>
              </w:rPr>
              <w:t>Case studies</w:t>
            </w:r>
            <w:r w:rsidR="00BF5D6D">
              <w:rPr>
                <w:noProof/>
                <w:webHidden/>
              </w:rPr>
              <w:tab/>
            </w:r>
            <w:r w:rsidR="00BF5D6D">
              <w:rPr>
                <w:noProof/>
                <w:webHidden/>
              </w:rPr>
              <w:fldChar w:fldCharType="begin"/>
            </w:r>
            <w:r w:rsidR="00BF5D6D">
              <w:rPr>
                <w:noProof/>
                <w:webHidden/>
              </w:rPr>
              <w:instrText xml:space="preserve"> PAGEREF _Toc110956286 \h </w:instrText>
            </w:r>
            <w:r w:rsidR="00BF5D6D">
              <w:rPr>
                <w:noProof/>
                <w:webHidden/>
              </w:rPr>
            </w:r>
            <w:r w:rsidR="00BF5D6D">
              <w:rPr>
                <w:noProof/>
                <w:webHidden/>
              </w:rPr>
              <w:fldChar w:fldCharType="separate"/>
            </w:r>
            <w:r w:rsidR="00812188">
              <w:rPr>
                <w:noProof/>
                <w:webHidden/>
              </w:rPr>
              <w:t>11</w:t>
            </w:r>
            <w:r w:rsidR="00BF5D6D">
              <w:rPr>
                <w:noProof/>
                <w:webHidden/>
              </w:rPr>
              <w:fldChar w:fldCharType="end"/>
            </w:r>
          </w:hyperlink>
        </w:p>
        <w:p w14:paraId="2F4E573B" w14:textId="46DD5349" w:rsidR="00BF5D6D" w:rsidRDefault="00D657CC">
          <w:pPr>
            <w:pStyle w:val="TOC2"/>
            <w:tabs>
              <w:tab w:val="left" w:pos="880"/>
              <w:tab w:val="right" w:leader="dot" w:pos="9631"/>
            </w:tabs>
            <w:rPr>
              <w:rFonts w:eastAsiaTheme="minorEastAsia"/>
              <w:noProof/>
              <w:szCs w:val="22"/>
              <w:lang w:val="en-AU" w:eastAsia="en-AU"/>
            </w:rPr>
          </w:pPr>
          <w:hyperlink w:anchor="_Toc110956287" w:history="1">
            <w:r w:rsidR="00BF5D6D" w:rsidRPr="000B1D74">
              <w:rPr>
                <w:rStyle w:val="Hyperlink"/>
                <w:noProof/>
              </w:rPr>
              <w:t>2.4.</w:t>
            </w:r>
            <w:r w:rsidR="00BF5D6D">
              <w:rPr>
                <w:rFonts w:eastAsiaTheme="minorEastAsia"/>
                <w:noProof/>
                <w:szCs w:val="22"/>
                <w:lang w:val="en-AU" w:eastAsia="en-AU"/>
              </w:rPr>
              <w:tab/>
            </w:r>
            <w:r w:rsidR="00BF5D6D" w:rsidRPr="000B1D74">
              <w:rPr>
                <w:rStyle w:val="Hyperlink"/>
                <w:noProof/>
              </w:rPr>
              <w:t>Review search results</w:t>
            </w:r>
            <w:r w:rsidR="00BF5D6D">
              <w:rPr>
                <w:noProof/>
                <w:webHidden/>
              </w:rPr>
              <w:tab/>
            </w:r>
            <w:r w:rsidR="00BF5D6D">
              <w:rPr>
                <w:noProof/>
                <w:webHidden/>
              </w:rPr>
              <w:fldChar w:fldCharType="begin"/>
            </w:r>
            <w:r w:rsidR="00BF5D6D">
              <w:rPr>
                <w:noProof/>
                <w:webHidden/>
              </w:rPr>
              <w:instrText xml:space="preserve"> PAGEREF _Toc110956287 \h </w:instrText>
            </w:r>
            <w:r w:rsidR="00BF5D6D">
              <w:rPr>
                <w:noProof/>
                <w:webHidden/>
              </w:rPr>
            </w:r>
            <w:r w:rsidR="00BF5D6D">
              <w:rPr>
                <w:noProof/>
                <w:webHidden/>
              </w:rPr>
              <w:fldChar w:fldCharType="separate"/>
            </w:r>
            <w:r w:rsidR="00812188">
              <w:rPr>
                <w:noProof/>
                <w:webHidden/>
              </w:rPr>
              <w:t>12</w:t>
            </w:r>
            <w:r w:rsidR="00BF5D6D">
              <w:rPr>
                <w:noProof/>
                <w:webHidden/>
              </w:rPr>
              <w:fldChar w:fldCharType="end"/>
            </w:r>
          </w:hyperlink>
        </w:p>
        <w:p w14:paraId="6B754048" w14:textId="74602A37" w:rsidR="00BF5D6D" w:rsidRDefault="00D657CC">
          <w:pPr>
            <w:pStyle w:val="TOC1"/>
            <w:tabs>
              <w:tab w:val="left" w:pos="440"/>
              <w:tab w:val="right" w:leader="dot" w:pos="9631"/>
            </w:tabs>
            <w:rPr>
              <w:rFonts w:eastAsiaTheme="minorEastAsia"/>
              <w:noProof/>
              <w:szCs w:val="22"/>
              <w:lang w:val="en-AU" w:eastAsia="en-AU"/>
            </w:rPr>
          </w:pPr>
          <w:hyperlink w:anchor="_Toc110956288" w:history="1">
            <w:r w:rsidR="00BF5D6D" w:rsidRPr="000B1D74">
              <w:rPr>
                <w:rStyle w:val="Hyperlink"/>
                <w:noProof/>
              </w:rPr>
              <w:t>3.</w:t>
            </w:r>
            <w:r w:rsidR="00BF5D6D">
              <w:rPr>
                <w:rFonts w:eastAsiaTheme="minorEastAsia"/>
                <w:noProof/>
                <w:szCs w:val="22"/>
                <w:lang w:val="en-AU" w:eastAsia="en-AU"/>
              </w:rPr>
              <w:tab/>
            </w:r>
            <w:r w:rsidR="00BF5D6D" w:rsidRPr="000B1D74">
              <w:rPr>
                <w:rStyle w:val="Hyperlink"/>
                <w:noProof/>
              </w:rPr>
              <w:t>Key findings</w:t>
            </w:r>
            <w:r w:rsidR="00BF5D6D">
              <w:rPr>
                <w:noProof/>
                <w:webHidden/>
              </w:rPr>
              <w:tab/>
            </w:r>
            <w:r w:rsidR="00BF5D6D">
              <w:rPr>
                <w:noProof/>
                <w:webHidden/>
              </w:rPr>
              <w:fldChar w:fldCharType="begin"/>
            </w:r>
            <w:r w:rsidR="00BF5D6D">
              <w:rPr>
                <w:noProof/>
                <w:webHidden/>
              </w:rPr>
              <w:instrText xml:space="preserve"> PAGEREF _Toc110956288 \h </w:instrText>
            </w:r>
            <w:r w:rsidR="00BF5D6D">
              <w:rPr>
                <w:noProof/>
                <w:webHidden/>
              </w:rPr>
            </w:r>
            <w:r w:rsidR="00BF5D6D">
              <w:rPr>
                <w:noProof/>
                <w:webHidden/>
              </w:rPr>
              <w:fldChar w:fldCharType="separate"/>
            </w:r>
            <w:r w:rsidR="00812188">
              <w:rPr>
                <w:noProof/>
                <w:webHidden/>
              </w:rPr>
              <w:t>15</w:t>
            </w:r>
            <w:r w:rsidR="00BF5D6D">
              <w:rPr>
                <w:noProof/>
                <w:webHidden/>
              </w:rPr>
              <w:fldChar w:fldCharType="end"/>
            </w:r>
          </w:hyperlink>
        </w:p>
        <w:p w14:paraId="0C2FFFCC" w14:textId="4E82313C" w:rsidR="00BF5D6D" w:rsidRDefault="00D657CC">
          <w:pPr>
            <w:pStyle w:val="TOC2"/>
            <w:tabs>
              <w:tab w:val="left" w:pos="880"/>
              <w:tab w:val="right" w:leader="dot" w:pos="9631"/>
            </w:tabs>
            <w:rPr>
              <w:rFonts w:eastAsiaTheme="minorEastAsia"/>
              <w:noProof/>
              <w:szCs w:val="22"/>
              <w:lang w:val="en-AU" w:eastAsia="en-AU"/>
            </w:rPr>
          </w:pPr>
          <w:hyperlink w:anchor="_Toc110956289" w:history="1">
            <w:r w:rsidR="00BF5D6D" w:rsidRPr="000B1D74">
              <w:rPr>
                <w:rStyle w:val="Hyperlink"/>
                <w:noProof/>
              </w:rPr>
              <w:t>3.1.</w:t>
            </w:r>
            <w:r w:rsidR="00BF5D6D">
              <w:rPr>
                <w:rFonts w:eastAsiaTheme="minorEastAsia"/>
                <w:noProof/>
                <w:szCs w:val="22"/>
                <w:lang w:val="en-AU" w:eastAsia="en-AU"/>
              </w:rPr>
              <w:tab/>
            </w:r>
            <w:r w:rsidR="00BF5D6D" w:rsidRPr="000B1D74">
              <w:rPr>
                <w:rStyle w:val="Hyperlink"/>
                <w:noProof/>
              </w:rPr>
              <w:t>What is better practice evaluation of Australian health programs?</w:t>
            </w:r>
            <w:r w:rsidR="00BF5D6D">
              <w:rPr>
                <w:noProof/>
                <w:webHidden/>
              </w:rPr>
              <w:tab/>
            </w:r>
            <w:r w:rsidR="00BF5D6D">
              <w:rPr>
                <w:noProof/>
                <w:webHidden/>
              </w:rPr>
              <w:fldChar w:fldCharType="begin"/>
            </w:r>
            <w:r w:rsidR="00BF5D6D">
              <w:rPr>
                <w:noProof/>
                <w:webHidden/>
              </w:rPr>
              <w:instrText xml:space="preserve"> PAGEREF _Toc110956289 \h </w:instrText>
            </w:r>
            <w:r w:rsidR="00BF5D6D">
              <w:rPr>
                <w:noProof/>
                <w:webHidden/>
              </w:rPr>
            </w:r>
            <w:r w:rsidR="00BF5D6D">
              <w:rPr>
                <w:noProof/>
                <w:webHidden/>
              </w:rPr>
              <w:fldChar w:fldCharType="separate"/>
            </w:r>
            <w:r w:rsidR="00812188">
              <w:rPr>
                <w:noProof/>
                <w:webHidden/>
              </w:rPr>
              <w:t>15</w:t>
            </w:r>
            <w:r w:rsidR="00BF5D6D">
              <w:rPr>
                <w:noProof/>
                <w:webHidden/>
              </w:rPr>
              <w:fldChar w:fldCharType="end"/>
            </w:r>
          </w:hyperlink>
        </w:p>
        <w:p w14:paraId="2874EF7B" w14:textId="03D95691" w:rsidR="00BF5D6D" w:rsidRDefault="00D657CC">
          <w:pPr>
            <w:pStyle w:val="TOC3"/>
            <w:tabs>
              <w:tab w:val="left" w:pos="1320"/>
              <w:tab w:val="right" w:leader="dot" w:pos="9631"/>
            </w:tabs>
            <w:rPr>
              <w:rFonts w:eastAsiaTheme="minorEastAsia"/>
              <w:noProof/>
              <w:szCs w:val="22"/>
              <w:lang w:val="en-AU" w:eastAsia="en-AU"/>
            </w:rPr>
          </w:pPr>
          <w:hyperlink w:anchor="_Toc110956290" w:history="1">
            <w:r w:rsidR="00BF5D6D" w:rsidRPr="000B1D74">
              <w:rPr>
                <w:rStyle w:val="Hyperlink"/>
                <w:noProof/>
              </w:rPr>
              <w:t>3.1.1.</w:t>
            </w:r>
            <w:r w:rsidR="00BF5D6D">
              <w:rPr>
                <w:rFonts w:eastAsiaTheme="minorEastAsia"/>
                <w:noProof/>
                <w:szCs w:val="22"/>
                <w:lang w:val="en-AU" w:eastAsia="en-AU"/>
              </w:rPr>
              <w:tab/>
            </w:r>
            <w:r w:rsidR="00BF5D6D" w:rsidRPr="000B1D74">
              <w:rPr>
                <w:rStyle w:val="Hyperlink"/>
                <w:noProof/>
              </w:rPr>
              <w:t>The right foundations are used</w:t>
            </w:r>
            <w:r w:rsidR="00BF5D6D">
              <w:rPr>
                <w:noProof/>
                <w:webHidden/>
              </w:rPr>
              <w:tab/>
            </w:r>
            <w:r w:rsidR="00BF5D6D">
              <w:rPr>
                <w:noProof/>
                <w:webHidden/>
              </w:rPr>
              <w:fldChar w:fldCharType="begin"/>
            </w:r>
            <w:r w:rsidR="00BF5D6D">
              <w:rPr>
                <w:noProof/>
                <w:webHidden/>
              </w:rPr>
              <w:instrText xml:space="preserve"> PAGEREF _Toc110956290 \h </w:instrText>
            </w:r>
            <w:r w:rsidR="00BF5D6D">
              <w:rPr>
                <w:noProof/>
                <w:webHidden/>
              </w:rPr>
            </w:r>
            <w:r w:rsidR="00BF5D6D">
              <w:rPr>
                <w:noProof/>
                <w:webHidden/>
              </w:rPr>
              <w:fldChar w:fldCharType="separate"/>
            </w:r>
            <w:r w:rsidR="00812188">
              <w:rPr>
                <w:noProof/>
                <w:webHidden/>
              </w:rPr>
              <w:t>16</w:t>
            </w:r>
            <w:r w:rsidR="00BF5D6D">
              <w:rPr>
                <w:noProof/>
                <w:webHidden/>
              </w:rPr>
              <w:fldChar w:fldCharType="end"/>
            </w:r>
          </w:hyperlink>
        </w:p>
        <w:p w14:paraId="29140845" w14:textId="39B74710" w:rsidR="00BF5D6D" w:rsidRDefault="00D657CC">
          <w:pPr>
            <w:pStyle w:val="TOC3"/>
            <w:tabs>
              <w:tab w:val="left" w:pos="1320"/>
              <w:tab w:val="right" w:leader="dot" w:pos="9631"/>
            </w:tabs>
            <w:rPr>
              <w:rFonts w:eastAsiaTheme="minorEastAsia"/>
              <w:noProof/>
              <w:szCs w:val="22"/>
              <w:lang w:val="en-AU" w:eastAsia="en-AU"/>
            </w:rPr>
          </w:pPr>
          <w:hyperlink w:anchor="_Toc110956291" w:history="1">
            <w:r w:rsidR="00BF5D6D" w:rsidRPr="000B1D74">
              <w:rPr>
                <w:rStyle w:val="Hyperlink"/>
                <w:noProof/>
              </w:rPr>
              <w:t>3.1.2.</w:t>
            </w:r>
            <w:r w:rsidR="00BF5D6D">
              <w:rPr>
                <w:rFonts w:eastAsiaTheme="minorEastAsia"/>
                <w:noProof/>
                <w:szCs w:val="22"/>
                <w:lang w:val="en-AU" w:eastAsia="en-AU"/>
              </w:rPr>
              <w:tab/>
            </w:r>
            <w:r w:rsidR="00BF5D6D" w:rsidRPr="000B1D74">
              <w:rPr>
                <w:rStyle w:val="Hyperlink"/>
                <w:noProof/>
              </w:rPr>
              <w:t>A systematic approach is used when prioritising programs for evaluation</w:t>
            </w:r>
            <w:r w:rsidR="00BF5D6D">
              <w:rPr>
                <w:noProof/>
                <w:webHidden/>
              </w:rPr>
              <w:tab/>
            </w:r>
            <w:r w:rsidR="00BF5D6D">
              <w:rPr>
                <w:noProof/>
                <w:webHidden/>
              </w:rPr>
              <w:fldChar w:fldCharType="begin"/>
            </w:r>
            <w:r w:rsidR="00BF5D6D">
              <w:rPr>
                <w:noProof/>
                <w:webHidden/>
              </w:rPr>
              <w:instrText xml:space="preserve"> PAGEREF _Toc110956291 \h </w:instrText>
            </w:r>
            <w:r w:rsidR="00BF5D6D">
              <w:rPr>
                <w:noProof/>
                <w:webHidden/>
              </w:rPr>
            </w:r>
            <w:r w:rsidR="00BF5D6D">
              <w:rPr>
                <w:noProof/>
                <w:webHidden/>
              </w:rPr>
              <w:fldChar w:fldCharType="separate"/>
            </w:r>
            <w:r w:rsidR="00812188">
              <w:rPr>
                <w:noProof/>
                <w:webHidden/>
              </w:rPr>
              <w:t>21</w:t>
            </w:r>
            <w:r w:rsidR="00BF5D6D">
              <w:rPr>
                <w:noProof/>
                <w:webHidden/>
              </w:rPr>
              <w:fldChar w:fldCharType="end"/>
            </w:r>
          </w:hyperlink>
        </w:p>
        <w:p w14:paraId="008DF698" w14:textId="4908A09F" w:rsidR="00BF5D6D" w:rsidRDefault="00D657CC">
          <w:pPr>
            <w:pStyle w:val="TOC3"/>
            <w:tabs>
              <w:tab w:val="left" w:pos="1320"/>
              <w:tab w:val="right" w:leader="dot" w:pos="9631"/>
            </w:tabs>
            <w:rPr>
              <w:rFonts w:eastAsiaTheme="minorEastAsia"/>
              <w:noProof/>
              <w:szCs w:val="22"/>
              <w:lang w:val="en-AU" w:eastAsia="en-AU"/>
            </w:rPr>
          </w:pPr>
          <w:hyperlink w:anchor="_Toc110956292" w:history="1">
            <w:r w:rsidR="00BF5D6D" w:rsidRPr="000B1D74">
              <w:rPr>
                <w:rStyle w:val="Hyperlink"/>
                <w:noProof/>
              </w:rPr>
              <w:t>3.1.3.</w:t>
            </w:r>
            <w:r w:rsidR="00BF5D6D">
              <w:rPr>
                <w:rFonts w:eastAsiaTheme="minorEastAsia"/>
                <w:noProof/>
                <w:szCs w:val="22"/>
                <w:lang w:val="en-AU" w:eastAsia="en-AU"/>
              </w:rPr>
              <w:tab/>
            </w:r>
            <w:r w:rsidR="00BF5D6D" w:rsidRPr="000B1D74">
              <w:rPr>
                <w:rStyle w:val="Hyperlink"/>
                <w:noProof/>
              </w:rPr>
              <w:t>Evaluation type is selected based on need or intended goals</w:t>
            </w:r>
            <w:r w:rsidR="00BF5D6D">
              <w:rPr>
                <w:noProof/>
                <w:webHidden/>
              </w:rPr>
              <w:tab/>
            </w:r>
            <w:r w:rsidR="00BF5D6D">
              <w:rPr>
                <w:noProof/>
                <w:webHidden/>
              </w:rPr>
              <w:fldChar w:fldCharType="begin"/>
            </w:r>
            <w:r w:rsidR="00BF5D6D">
              <w:rPr>
                <w:noProof/>
                <w:webHidden/>
              </w:rPr>
              <w:instrText xml:space="preserve"> PAGEREF _Toc110956292 \h </w:instrText>
            </w:r>
            <w:r w:rsidR="00BF5D6D">
              <w:rPr>
                <w:noProof/>
                <w:webHidden/>
              </w:rPr>
            </w:r>
            <w:r w:rsidR="00BF5D6D">
              <w:rPr>
                <w:noProof/>
                <w:webHidden/>
              </w:rPr>
              <w:fldChar w:fldCharType="separate"/>
            </w:r>
            <w:r w:rsidR="00812188">
              <w:rPr>
                <w:noProof/>
                <w:webHidden/>
              </w:rPr>
              <w:t>22</w:t>
            </w:r>
            <w:r w:rsidR="00BF5D6D">
              <w:rPr>
                <w:noProof/>
                <w:webHidden/>
              </w:rPr>
              <w:fldChar w:fldCharType="end"/>
            </w:r>
          </w:hyperlink>
        </w:p>
        <w:p w14:paraId="6139C92F" w14:textId="7DCE2CD7" w:rsidR="00BF5D6D" w:rsidRDefault="00D657CC">
          <w:pPr>
            <w:pStyle w:val="TOC3"/>
            <w:tabs>
              <w:tab w:val="left" w:pos="1320"/>
              <w:tab w:val="right" w:leader="dot" w:pos="9631"/>
            </w:tabs>
            <w:rPr>
              <w:rFonts w:eastAsiaTheme="minorEastAsia"/>
              <w:noProof/>
              <w:szCs w:val="22"/>
              <w:lang w:val="en-AU" w:eastAsia="en-AU"/>
            </w:rPr>
          </w:pPr>
          <w:hyperlink w:anchor="_Toc110956293" w:history="1">
            <w:r w:rsidR="00BF5D6D" w:rsidRPr="000B1D74">
              <w:rPr>
                <w:rStyle w:val="Hyperlink"/>
                <w:noProof/>
              </w:rPr>
              <w:t>3.1.4.</w:t>
            </w:r>
            <w:r w:rsidR="00BF5D6D">
              <w:rPr>
                <w:rFonts w:eastAsiaTheme="minorEastAsia"/>
                <w:noProof/>
                <w:szCs w:val="22"/>
                <w:lang w:val="en-AU" w:eastAsia="en-AU"/>
              </w:rPr>
              <w:tab/>
            </w:r>
            <w:r w:rsidR="00BF5D6D" w:rsidRPr="000B1D74">
              <w:rPr>
                <w:rStyle w:val="Hyperlink"/>
                <w:noProof/>
              </w:rPr>
              <w:t>Careful consideration is given when choosing between internal and external evaluators</w:t>
            </w:r>
            <w:r w:rsidR="00BF5D6D">
              <w:rPr>
                <w:noProof/>
                <w:webHidden/>
              </w:rPr>
              <w:tab/>
            </w:r>
            <w:r w:rsidR="00BF5D6D">
              <w:rPr>
                <w:noProof/>
                <w:webHidden/>
              </w:rPr>
              <w:fldChar w:fldCharType="begin"/>
            </w:r>
            <w:r w:rsidR="00BF5D6D">
              <w:rPr>
                <w:noProof/>
                <w:webHidden/>
              </w:rPr>
              <w:instrText xml:space="preserve"> PAGEREF _Toc110956293 \h </w:instrText>
            </w:r>
            <w:r w:rsidR="00BF5D6D">
              <w:rPr>
                <w:noProof/>
                <w:webHidden/>
              </w:rPr>
            </w:r>
            <w:r w:rsidR="00BF5D6D">
              <w:rPr>
                <w:noProof/>
                <w:webHidden/>
              </w:rPr>
              <w:fldChar w:fldCharType="separate"/>
            </w:r>
            <w:r w:rsidR="00812188">
              <w:rPr>
                <w:noProof/>
                <w:webHidden/>
              </w:rPr>
              <w:t>27</w:t>
            </w:r>
            <w:r w:rsidR="00BF5D6D">
              <w:rPr>
                <w:noProof/>
                <w:webHidden/>
              </w:rPr>
              <w:fldChar w:fldCharType="end"/>
            </w:r>
          </w:hyperlink>
        </w:p>
        <w:p w14:paraId="00E7F11D" w14:textId="01131962" w:rsidR="00BF5D6D" w:rsidRDefault="00D657CC">
          <w:pPr>
            <w:pStyle w:val="TOC3"/>
            <w:tabs>
              <w:tab w:val="left" w:pos="1320"/>
              <w:tab w:val="right" w:leader="dot" w:pos="9631"/>
            </w:tabs>
            <w:rPr>
              <w:rFonts w:eastAsiaTheme="minorEastAsia"/>
              <w:noProof/>
              <w:szCs w:val="22"/>
              <w:lang w:val="en-AU" w:eastAsia="en-AU"/>
            </w:rPr>
          </w:pPr>
          <w:hyperlink w:anchor="_Toc110956294" w:history="1">
            <w:r w:rsidR="00BF5D6D" w:rsidRPr="000B1D74">
              <w:rPr>
                <w:rStyle w:val="Hyperlink"/>
                <w:noProof/>
              </w:rPr>
              <w:t>3.1.5.</w:t>
            </w:r>
            <w:r w:rsidR="00BF5D6D">
              <w:rPr>
                <w:rFonts w:eastAsiaTheme="minorEastAsia"/>
                <w:noProof/>
                <w:szCs w:val="22"/>
                <w:lang w:val="en-AU" w:eastAsia="en-AU"/>
              </w:rPr>
              <w:tab/>
            </w:r>
            <w:r w:rsidR="00BF5D6D" w:rsidRPr="000B1D74">
              <w:rPr>
                <w:rStyle w:val="Hyperlink"/>
                <w:noProof/>
              </w:rPr>
              <w:t>Evaluation findings are used to support decision-making</w:t>
            </w:r>
            <w:r w:rsidR="00BF5D6D">
              <w:rPr>
                <w:noProof/>
                <w:webHidden/>
              </w:rPr>
              <w:tab/>
            </w:r>
            <w:r w:rsidR="00BF5D6D">
              <w:rPr>
                <w:noProof/>
                <w:webHidden/>
              </w:rPr>
              <w:fldChar w:fldCharType="begin"/>
            </w:r>
            <w:r w:rsidR="00BF5D6D">
              <w:rPr>
                <w:noProof/>
                <w:webHidden/>
              </w:rPr>
              <w:instrText xml:space="preserve"> PAGEREF _Toc110956294 \h </w:instrText>
            </w:r>
            <w:r w:rsidR="00BF5D6D">
              <w:rPr>
                <w:noProof/>
                <w:webHidden/>
              </w:rPr>
            </w:r>
            <w:r w:rsidR="00BF5D6D">
              <w:rPr>
                <w:noProof/>
                <w:webHidden/>
              </w:rPr>
              <w:fldChar w:fldCharType="separate"/>
            </w:r>
            <w:r w:rsidR="00812188">
              <w:rPr>
                <w:noProof/>
                <w:webHidden/>
              </w:rPr>
              <w:t>28</w:t>
            </w:r>
            <w:r w:rsidR="00BF5D6D">
              <w:rPr>
                <w:noProof/>
                <w:webHidden/>
              </w:rPr>
              <w:fldChar w:fldCharType="end"/>
            </w:r>
          </w:hyperlink>
        </w:p>
        <w:p w14:paraId="5D1986BA" w14:textId="1CA70EC3" w:rsidR="00BF5D6D" w:rsidRDefault="00D657CC">
          <w:pPr>
            <w:pStyle w:val="TOC2"/>
            <w:tabs>
              <w:tab w:val="left" w:pos="880"/>
              <w:tab w:val="right" w:leader="dot" w:pos="9631"/>
            </w:tabs>
            <w:rPr>
              <w:rFonts w:eastAsiaTheme="minorEastAsia"/>
              <w:noProof/>
              <w:szCs w:val="22"/>
              <w:lang w:val="en-AU" w:eastAsia="en-AU"/>
            </w:rPr>
          </w:pPr>
          <w:hyperlink w:anchor="_Toc110956295" w:history="1">
            <w:r w:rsidR="00BF5D6D" w:rsidRPr="000B1D74">
              <w:rPr>
                <w:rStyle w:val="Hyperlink"/>
                <w:noProof/>
              </w:rPr>
              <w:t>3.2.</w:t>
            </w:r>
            <w:r w:rsidR="00BF5D6D">
              <w:rPr>
                <w:rFonts w:eastAsiaTheme="minorEastAsia"/>
                <w:noProof/>
                <w:szCs w:val="22"/>
                <w:lang w:val="en-AU" w:eastAsia="en-AU"/>
              </w:rPr>
              <w:tab/>
            </w:r>
            <w:r w:rsidR="00BF5D6D" w:rsidRPr="000B1D74">
              <w:rPr>
                <w:rStyle w:val="Hyperlink"/>
                <w:noProof/>
              </w:rPr>
              <w:t>What types of evaluations are used for the assessment of health programs across Australia?</w:t>
            </w:r>
            <w:r w:rsidR="00BF5D6D">
              <w:rPr>
                <w:noProof/>
                <w:webHidden/>
              </w:rPr>
              <w:tab/>
            </w:r>
            <w:r w:rsidR="00BF5D6D">
              <w:rPr>
                <w:noProof/>
                <w:webHidden/>
              </w:rPr>
              <w:fldChar w:fldCharType="begin"/>
            </w:r>
            <w:r w:rsidR="00BF5D6D">
              <w:rPr>
                <w:noProof/>
                <w:webHidden/>
              </w:rPr>
              <w:instrText xml:space="preserve"> PAGEREF _Toc110956295 \h </w:instrText>
            </w:r>
            <w:r w:rsidR="00BF5D6D">
              <w:rPr>
                <w:noProof/>
                <w:webHidden/>
              </w:rPr>
            </w:r>
            <w:r w:rsidR="00BF5D6D">
              <w:rPr>
                <w:noProof/>
                <w:webHidden/>
              </w:rPr>
              <w:fldChar w:fldCharType="separate"/>
            </w:r>
            <w:r w:rsidR="00812188">
              <w:rPr>
                <w:noProof/>
                <w:webHidden/>
              </w:rPr>
              <w:t>28</w:t>
            </w:r>
            <w:r w:rsidR="00BF5D6D">
              <w:rPr>
                <w:noProof/>
                <w:webHidden/>
              </w:rPr>
              <w:fldChar w:fldCharType="end"/>
            </w:r>
          </w:hyperlink>
        </w:p>
        <w:p w14:paraId="37527952" w14:textId="798DE714" w:rsidR="00BF5D6D" w:rsidRDefault="00D657CC">
          <w:pPr>
            <w:pStyle w:val="TOC2"/>
            <w:tabs>
              <w:tab w:val="left" w:pos="880"/>
              <w:tab w:val="right" w:leader="dot" w:pos="9631"/>
            </w:tabs>
            <w:rPr>
              <w:rFonts w:eastAsiaTheme="minorEastAsia"/>
              <w:noProof/>
              <w:szCs w:val="22"/>
              <w:lang w:val="en-AU" w:eastAsia="en-AU"/>
            </w:rPr>
          </w:pPr>
          <w:hyperlink w:anchor="_Toc110956296" w:history="1">
            <w:r w:rsidR="00BF5D6D" w:rsidRPr="000B1D74">
              <w:rPr>
                <w:rStyle w:val="Hyperlink"/>
                <w:noProof/>
              </w:rPr>
              <w:t>3.3.</w:t>
            </w:r>
            <w:r w:rsidR="00BF5D6D">
              <w:rPr>
                <w:rFonts w:eastAsiaTheme="minorEastAsia"/>
                <w:noProof/>
                <w:szCs w:val="22"/>
                <w:lang w:val="en-AU" w:eastAsia="en-AU"/>
              </w:rPr>
              <w:tab/>
            </w:r>
            <w:r w:rsidR="00BF5D6D" w:rsidRPr="000B1D74">
              <w:rPr>
                <w:rStyle w:val="Hyperlink"/>
                <w:noProof/>
              </w:rPr>
              <w:t>How have health programs been evaluated within government agencies? Does this differ from the private sector?</w:t>
            </w:r>
            <w:r w:rsidR="00BF5D6D">
              <w:rPr>
                <w:noProof/>
                <w:webHidden/>
              </w:rPr>
              <w:tab/>
            </w:r>
            <w:r w:rsidR="00BF5D6D">
              <w:rPr>
                <w:noProof/>
                <w:webHidden/>
              </w:rPr>
              <w:fldChar w:fldCharType="begin"/>
            </w:r>
            <w:r w:rsidR="00BF5D6D">
              <w:rPr>
                <w:noProof/>
                <w:webHidden/>
              </w:rPr>
              <w:instrText xml:space="preserve"> PAGEREF _Toc110956296 \h </w:instrText>
            </w:r>
            <w:r w:rsidR="00BF5D6D">
              <w:rPr>
                <w:noProof/>
                <w:webHidden/>
              </w:rPr>
            </w:r>
            <w:r w:rsidR="00BF5D6D">
              <w:rPr>
                <w:noProof/>
                <w:webHidden/>
              </w:rPr>
              <w:fldChar w:fldCharType="separate"/>
            </w:r>
            <w:r w:rsidR="00812188">
              <w:rPr>
                <w:noProof/>
                <w:webHidden/>
              </w:rPr>
              <w:t>30</w:t>
            </w:r>
            <w:r w:rsidR="00BF5D6D">
              <w:rPr>
                <w:noProof/>
                <w:webHidden/>
              </w:rPr>
              <w:fldChar w:fldCharType="end"/>
            </w:r>
          </w:hyperlink>
        </w:p>
        <w:p w14:paraId="7205055E" w14:textId="58E0FBD4" w:rsidR="00BF5D6D" w:rsidRDefault="00D657CC">
          <w:pPr>
            <w:pStyle w:val="TOC2"/>
            <w:tabs>
              <w:tab w:val="left" w:pos="880"/>
              <w:tab w:val="right" w:leader="dot" w:pos="9631"/>
            </w:tabs>
            <w:rPr>
              <w:rFonts w:eastAsiaTheme="minorEastAsia"/>
              <w:noProof/>
              <w:szCs w:val="22"/>
              <w:lang w:val="en-AU" w:eastAsia="en-AU"/>
            </w:rPr>
          </w:pPr>
          <w:hyperlink w:anchor="_Toc110956297" w:history="1">
            <w:r w:rsidR="00BF5D6D" w:rsidRPr="000B1D74">
              <w:rPr>
                <w:rStyle w:val="Hyperlink"/>
                <w:noProof/>
              </w:rPr>
              <w:t>3.4.</w:t>
            </w:r>
            <w:r w:rsidR="00BF5D6D">
              <w:rPr>
                <w:rFonts w:eastAsiaTheme="minorEastAsia"/>
                <w:noProof/>
                <w:szCs w:val="22"/>
                <w:lang w:val="en-AU" w:eastAsia="en-AU"/>
              </w:rPr>
              <w:tab/>
            </w:r>
            <w:r w:rsidR="00BF5D6D" w:rsidRPr="000B1D74">
              <w:rPr>
                <w:rStyle w:val="Hyperlink"/>
                <w:noProof/>
              </w:rPr>
              <w:t>What is the cost in conducting these health program evaluations?</w:t>
            </w:r>
            <w:r w:rsidR="00BF5D6D">
              <w:rPr>
                <w:noProof/>
                <w:webHidden/>
              </w:rPr>
              <w:tab/>
            </w:r>
            <w:r w:rsidR="00BF5D6D">
              <w:rPr>
                <w:noProof/>
                <w:webHidden/>
              </w:rPr>
              <w:fldChar w:fldCharType="begin"/>
            </w:r>
            <w:r w:rsidR="00BF5D6D">
              <w:rPr>
                <w:noProof/>
                <w:webHidden/>
              </w:rPr>
              <w:instrText xml:space="preserve"> PAGEREF _Toc110956297 \h </w:instrText>
            </w:r>
            <w:r w:rsidR="00BF5D6D">
              <w:rPr>
                <w:noProof/>
                <w:webHidden/>
              </w:rPr>
            </w:r>
            <w:r w:rsidR="00BF5D6D">
              <w:rPr>
                <w:noProof/>
                <w:webHidden/>
              </w:rPr>
              <w:fldChar w:fldCharType="separate"/>
            </w:r>
            <w:r w:rsidR="00812188">
              <w:rPr>
                <w:noProof/>
                <w:webHidden/>
              </w:rPr>
              <w:t>31</w:t>
            </w:r>
            <w:r w:rsidR="00BF5D6D">
              <w:rPr>
                <w:noProof/>
                <w:webHidden/>
              </w:rPr>
              <w:fldChar w:fldCharType="end"/>
            </w:r>
          </w:hyperlink>
        </w:p>
        <w:p w14:paraId="45ABEB66" w14:textId="41803415" w:rsidR="00BF5D6D" w:rsidRDefault="00D657CC">
          <w:pPr>
            <w:pStyle w:val="TOC2"/>
            <w:tabs>
              <w:tab w:val="left" w:pos="880"/>
              <w:tab w:val="right" w:leader="dot" w:pos="9631"/>
            </w:tabs>
            <w:rPr>
              <w:rFonts w:eastAsiaTheme="minorEastAsia"/>
              <w:noProof/>
              <w:szCs w:val="22"/>
              <w:lang w:val="en-AU" w:eastAsia="en-AU"/>
            </w:rPr>
          </w:pPr>
          <w:hyperlink w:anchor="_Toc110956298" w:history="1">
            <w:r w:rsidR="00BF5D6D" w:rsidRPr="000B1D74">
              <w:rPr>
                <w:rStyle w:val="Hyperlink"/>
                <w:noProof/>
              </w:rPr>
              <w:t>3.5.</w:t>
            </w:r>
            <w:r w:rsidR="00BF5D6D">
              <w:rPr>
                <w:rFonts w:eastAsiaTheme="minorEastAsia"/>
                <w:noProof/>
                <w:szCs w:val="22"/>
                <w:lang w:val="en-AU" w:eastAsia="en-AU"/>
              </w:rPr>
              <w:tab/>
            </w:r>
            <w:r w:rsidR="00BF5D6D" w:rsidRPr="000B1D74">
              <w:rPr>
                <w:rStyle w:val="Hyperlink"/>
                <w:noProof/>
              </w:rPr>
              <w:t>Have the methods of health program evaluations changed over time?</w:t>
            </w:r>
            <w:r w:rsidR="00BF5D6D">
              <w:rPr>
                <w:noProof/>
                <w:webHidden/>
              </w:rPr>
              <w:tab/>
            </w:r>
            <w:r w:rsidR="00BF5D6D">
              <w:rPr>
                <w:noProof/>
                <w:webHidden/>
              </w:rPr>
              <w:fldChar w:fldCharType="begin"/>
            </w:r>
            <w:r w:rsidR="00BF5D6D">
              <w:rPr>
                <w:noProof/>
                <w:webHidden/>
              </w:rPr>
              <w:instrText xml:space="preserve"> PAGEREF _Toc110956298 \h </w:instrText>
            </w:r>
            <w:r w:rsidR="00BF5D6D">
              <w:rPr>
                <w:noProof/>
                <w:webHidden/>
              </w:rPr>
            </w:r>
            <w:r w:rsidR="00BF5D6D">
              <w:rPr>
                <w:noProof/>
                <w:webHidden/>
              </w:rPr>
              <w:fldChar w:fldCharType="separate"/>
            </w:r>
            <w:r w:rsidR="00812188">
              <w:rPr>
                <w:noProof/>
                <w:webHidden/>
              </w:rPr>
              <w:t>32</w:t>
            </w:r>
            <w:r w:rsidR="00BF5D6D">
              <w:rPr>
                <w:noProof/>
                <w:webHidden/>
              </w:rPr>
              <w:fldChar w:fldCharType="end"/>
            </w:r>
          </w:hyperlink>
        </w:p>
        <w:p w14:paraId="6F727275" w14:textId="311A15A7" w:rsidR="00BF5D6D" w:rsidRDefault="00D657CC">
          <w:pPr>
            <w:pStyle w:val="TOC1"/>
            <w:tabs>
              <w:tab w:val="left" w:pos="440"/>
              <w:tab w:val="right" w:leader="dot" w:pos="9631"/>
            </w:tabs>
            <w:rPr>
              <w:rFonts w:eastAsiaTheme="minorEastAsia"/>
              <w:noProof/>
              <w:szCs w:val="22"/>
              <w:lang w:val="en-AU" w:eastAsia="en-AU"/>
            </w:rPr>
          </w:pPr>
          <w:hyperlink w:anchor="_Toc110956299" w:history="1">
            <w:r w:rsidR="00BF5D6D" w:rsidRPr="000B1D74">
              <w:rPr>
                <w:rStyle w:val="Hyperlink"/>
                <w:noProof/>
              </w:rPr>
              <w:t>4.</w:t>
            </w:r>
            <w:r w:rsidR="00BF5D6D">
              <w:rPr>
                <w:rFonts w:eastAsiaTheme="minorEastAsia"/>
                <w:noProof/>
                <w:szCs w:val="22"/>
                <w:lang w:val="en-AU" w:eastAsia="en-AU"/>
              </w:rPr>
              <w:tab/>
            </w:r>
            <w:r w:rsidR="00BF5D6D" w:rsidRPr="000B1D74">
              <w:rPr>
                <w:rStyle w:val="Hyperlink"/>
                <w:noProof/>
              </w:rPr>
              <w:t>Considerations for better practice evaluation</w:t>
            </w:r>
            <w:r w:rsidR="00BF5D6D">
              <w:rPr>
                <w:noProof/>
                <w:webHidden/>
              </w:rPr>
              <w:tab/>
            </w:r>
            <w:r w:rsidR="00BF5D6D">
              <w:rPr>
                <w:noProof/>
                <w:webHidden/>
              </w:rPr>
              <w:fldChar w:fldCharType="begin"/>
            </w:r>
            <w:r w:rsidR="00BF5D6D">
              <w:rPr>
                <w:noProof/>
                <w:webHidden/>
              </w:rPr>
              <w:instrText xml:space="preserve"> PAGEREF _Toc110956299 \h </w:instrText>
            </w:r>
            <w:r w:rsidR="00BF5D6D">
              <w:rPr>
                <w:noProof/>
                <w:webHidden/>
              </w:rPr>
            </w:r>
            <w:r w:rsidR="00BF5D6D">
              <w:rPr>
                <w:noProof/>
                <w:webHidden/>
              </w:rPr>
              <w:fldChar w:fldCharType="separate"/>
            </w:r>
            <w:r w:rsidR="00812188">
              <w:rPr>
                <w:noProof/>
                <w:webHidden/>
              </w:rPr>
              <w:t>34</w:t>
            </w:r>
            <w:r w:rsidR="00BF5D6D">
              <w:rPr>
                <w:noProof/>
                <w:webHidden/>
              </w:rPr>
              <w:fldChar w:fldCharType="end"/>
            </w:r>
          </w:hyperlink>
        </w:p>
        <w:p w14:paraId="149DDA82" w14:textId="1043B3BB" w:rsidR="00BF5D6D" w:rsidRDefault="00D657CC">
          <w:pPr>
            <w:pStyle w:val="TOC1"/>
            <w:tabs>
              <w:tab w:val="left" w:pos="440"/>
              <w:tab w:val="right" w:leader="dot" w:pos="9631"/>
            </w:tabs>
            <w:rPr>
              <w:rFonts w:eastAsiaTheme="minorEastAsia"/>
              <w:noProof/>
              <w:szCs w:val="22"/>
              <w:lang w:val="en-AU" w:eastAsia="en-AU"/>
            </w:rPr>
          </w:pPr>
          <w:hyperlink w:anchor="_Toc110956300" w:history="1">
            <w:r w:rsidR="00BF5D6D" w:rsidRPr="000B1D74">
              <w:rPr>
                <w:rStyle w:val="Hyperlink"/>
                <w:noProof/>
              </w:rPr>
              <w:t>5.</w:t>
            </w:r>
            <w:r w:rsidR="00BF5D6D">
              <w:rPr>
                <w:rFonts w:eastAsiaTheme="minorEastAsia"/>
                <w:noProof/>
                <w:szCs w:val="22"/>
                <w:lang w:val="en-AU" w:eastAsia="en-AU"/>
              </w:rPr>
              <w:tab/>
            </w:r>
            <w:r w:rsidR="00BF5D6D" w:rsidRPr="000B1D74">
              <w:rPr>
                <w:rStyle w:val="Hyperlink"/>
                <w:noProof/>
              </w:rPr>
              <w:t>References</w:t>
            </w:r>
            <w:r w:rsidR="00BF5D6D">
              <w:rPr>
                <w:noProof/>
                <w:webHidden/>
              </w:rPr>
              <w:tab/>
            </w:r>
            <w:r w:rsidR="00BF5D6D">
              <w:rPr>
                <w:noProof/>
                <w:webHidden/>
              </w:rPr>
              <w:fldChar w:fldCharType="begin"/>
            </w:r>
            <w:r w:rsidR="00BF5D6D">
              <w:rPr>
                <w:noProof/>
                <w:webHidden/>
              </w:rPr>
              <w:instrText xml:space="preserve"> PAGEREF _Toc110956300 \h </w:instrText>
            </w:r>
            <w:r w:rsidR="00BF5D6D">
              <w:rPr>
                <w:noProof/>
                <w:webHidden/>
              </w:rPr>
            </w:r>
            <w:r w:rsidR="00BF5D6D">
              <w:rPr>
                <w:noProof/>
                <w:webHidden/>
              </w:rPr>
              <w:fldChar w:fldCharType="separate"/>
            </w:r>
            <w:r w:rsidR="00812188">
              <w:rPr>
                <w:noProof/>
                <w:webHidden/>
              </w:rPr>
              <w:t>36</w:t>
            </w:r>
            <w:r w:rsidR="00BF5D6D">
              <w:rPr>
                <w:noProof/>
                <w:webHidden/>
              </w:rPr>
              <w:fldChar w:fldCharType="end"/>
            </w:r>
          </w:hyperlink>
        </w:p>
        <w:p w14:paraId="06D46534" w14:textId="528C83BA" w:rsidR="00BF5D6D" w:rsidRDefault="00D657CC">
          <w:pPr>
            <w:pStyle w:val="TOC1"/>
            <w:tabs>
              <w:tab w:val="left" w:pos="1320"/>
              <w:tab w:val="right" w:leader="dot" w:pos="9631"/>
            </w:tabs>
            <w:rPr>
              <w:rFonts w:eastAsiaTheme="minorEastAsia"/>
              <w:noProof/>
              <w:szCs w:val="22"/>
              <w:lang w:val="en-AU" w:eastAsia="en-AU"/>
            </w:rPr>
          </w:pPr>
          <w:hyperlink w:anchor="_Toc110956301" w:history="1">
            <w:r w:rsidR="00BF5D6D" w:rsidRPr="000B1D74">
              <w:rPr>
                <w:rStyle w:val="Hyperlink"/>
                <w:noProof/>
              </w:rPr>
              <w:t>Appendix A</w:t>
            </w:r>
            <w:r w:rsidR="00BF5D6D">
              <w:rPr>
                <w:rFonts w:eastAsiaTheme="minorEastAsia"/>
                <w:noProof/>
                <w:szCs w:val="22"/>
                <w:lang w:val="en-AU" w:eastAsia="en-AU"/>
              </w:rPr>
              <w:tab/>
            </w:r>
            <w:r w:rsidR="00BF5D6D" w:rsidRPr="000B1D74">
              <w:rPr>
                <w:rStyle w:val="Hyperlink"/>
                <w:noProof/>
              </w:rPr>
              <w:t>Desktop literature review summary</w:t>
            </w:r>
            <w:r w:rsidR="00BF5D6D">
              <w:rPr>
                <w:noProof/>
                <w:webHidden/>
              </w:rPr>
              <w:tab/>
            </w:r>
            <w:r w:rsidR="00BF5D6D">
              <w:rPr>
                <w:noProof/>
                <w:webHidden/>
              </w:rPr>
              <w:fldChar w:fldCharType="begin"/>
            </w:r>
            <w:r w:rsidR="00BF5D6D">
              <w:rPr>
                <w:noProof/>
                <w:webHidden/>
              </w:rPr>
              <w:instrText xml:space="preserve"> PAGEREF _Toc110956301 \h </w:instrText>
            </w:r>
            <w:r w:rsidR="00BF5D6D">
              <w:rPr>
                <w:noProof/>
                <w:webHidden/>
              </w:rPr>
            </w:r>
            <w:r w:rsidR="00BF5D6D">
              <w:rPr>
                <w:noProof/>
                <w:webHidden/>
              </w:rPr>
              <w:fldChar w:fldCharType="separate"/>
            </w:r>
            <w:r w:rsidR="00812188">
              <w:rPr>
                <w:noProof/>
                <w:webHidden/>
              </w:rPr>
              <w:t>38</w:t>
            </w:r>
            <w:r w:rsidR="00BF5D6D">
              <w:rPr>
                <w:noProof/>
                <w:webHidden/>
              </w:rPr>
              <w:fldChar w:fldCharType="end"/>
            </w:r>
          </w:hyperlink>
        </w:p>
        <w:p w14:paraId="1D3B234E" w14:textId="51E87577" w:rsidR="00BF5D6D" w:rsidRDefault="00D657CC">
          <w:pPr>
            <w:pStyle w:val="TOC1"/>
            <w:tabs>
              <w:tab w:val="left" w:pos="1320"/>
              <w:tab w:val="right" w:leader="dot" w:pos="9631"/>
            </w:tabs>
            <w:rPr>
              <w:rFonts w:eastAsiaTheme="minorEastAsia"/>
              <w:noProof/>
              <w:szCs w:val="22"/>
              <w:lang w:val="en-AU" w:eastAsia="en-AU"/>
            </w:rPr>
          </w:pPr>
          <w:hyperlink w:anchor="_Toc110956302" w:history="1">
            <w:r w:rsidR="00BF5D6D" w:rsidRPr="000B1D74">
              <w:rPr>
                <w:rStyle w:val="Hyperlink"/>
                <w:noProof/>
              </w:rPr>
              <w:t>Appendix B</w:t>
            </w:r>
            <w:r w:rsidR="00BF5D6D">
              <w:rPr>
                <w:rFonts w:eastAsiaTheme="minorEastAsia"/>
                <w:noProof/>
                <w:szCs w:val="22"/>
                <w:lang w:val="en-AU" w:eastAsia="en-AU"/>
              </w:rPr>
              <w:tab/>
            </w:r>
            <w:r w:rsidR="00BF5D6D" w:rsidRPr="000B1D74">
              <w:rPr>
                <w:rStyle w:val="Hyperlink"/>
                <w:noProof/>
              </w:rPr>
              <w:t>Key informant interviews summaries</w:t>
            </w:r>
            <w:r w:rsidR="00BF5D6D">
              <w:rPr>
                <w:noProof/>
                <w:webHidden/>
              </w:rPr>
              <w:tab/>
            </w:r>
            <w:r w:rsidR="00BF5D6D">
              <w:rPr>
                <w:noProof/>
                <w:webHidden/>
              </w:rPr>
              <w:fldChar w:fldCharType="begin"/>
            </w:r>
            <w:r w:rsidR="00BF5D6D">
              <w:rPr>
                <w:noProof/>
                <w:webHidden/>
              </w:rPr>
              <w:instrText xml:space="preserve"> PAGEREF _Toc110956302 \h </w:instrText>
            </w:r>
            <w:r w:rsidR="00BF5D6D">
              <w:rPr>
                <w:noProof/>
                <w:webHidden/>
              </w:rPr>
            </w:r>
            <w:r w:rsidR="00BF5D6D">
              <w:rPr>
                <w:noProof/>
                <w:webHidden/>
              </w:rPr>
              <w:fldChar w:fldCharType="separate"/>
            </w:r>
            <w:r w:rsidR="00812188">
              <w:rPr>
                <w:noProof/>
                <w:webHidden/>
              </w:rPr>
              <w:t>49</w:t>
            </w:r>
            <w:r w:rsidR="00BF5D6D">
              <w:rPr>
                <w:noProof/>
                <w:webHidden/>
              </w:rPr>
              <w:fldChar w:fldCharType="end"/>
            </w:r>
          </w:hyperlink>
        </w:p>
        <w:p w14:paraId="02A8A4D1" w14:textId="3ED154A8" w:rsidR="003D6F49" w:rsidRDefault="00D657CC" w:rsidP="00BA720D">
          <w:pPr>
            <w:pStyle w:val="TOC1"/>
            <w:tabs>
              <w:tab w:val="left" w:pos="1320"/>
              <w:tab w:val="right" w:leader="dot" w:pos="9631"/>
            </w:tabs>
          </w:pPr>
          <w:hyperlink w:anchor="_Toc110956303" w:history="1">
            <w:r w:rsidR="00BF5D6D" w:rsidRPr="000B1D74">
              <w:rPr>
                <w:rStyle w:val="Hyperlink"/>
                <w:noProof/>
              </w:rPr>
              <w:t>Appendix C</w:t>
            </w:r>
            <w:r w:rsidR="00BF5D6D">
              <w:rPr>
                <w:rFonts w:eastAsiaTheme="minorEastAsia"/>
                <w:noProof/>
                <w:szCs w:val="22"/>
                <w:lang w:val="en-AU" w:eastAsia="en-AU"/>
              </w:rPr>
              <w:tab/>
            </w:r>
            <w:r w:rsidR="00BF5D6D" w:rsidRPr="000B1D74">
              <w:rPr>
                <w:rStyle w:val="Hyperlink"/>
                <w:noProof/>
              </w:rPr>
              <w:t>Case study summaries</w:t>
            </w:r>
            <w:r w:rsidR="00BF5D6D">
              <w:rPr>
                <w:noProof/>
                <w:webHidden/>
              </w:rPr>
              <w:tab/>
            </w:r>
            <w:r w:rsidR="00BF5D6D">
              <w:rPr>
                <w:noProof/>
                <w:webHidden/>
              </w:rPr>
              <w:fldChar w:fldCharType="begin"/>
            </w:r>
            <w:r w:rsidR="00BF5D6D">
              <w:rPr>
                <w:noProof/>
                <w:webHidden/>
              </w:rPr>
              <w:instrText xml:space="preserve"> PAGEREF _Toc110956303 \h </w:instrText>
            </w:r>
            <w:r w:rsidR="00BF5D6D">
              <w:rPr>
                <w:noProof/>
                <w:webHidden/>
              </w:rPr>
            </w:r>
            <w:r w:rsidR="00BF5D6D">
              <w:rPr>
                <w:noProof/>
                <w:webHidden/>
              </w:rPr>
              <w:fldChar w:fldCharType="separate"/>
            </w:r>
            <w:r w:rsidR="00812188">
              <w:rPr>
                <w:noProof/>
                <w:webHidden/>
              </w:rPr>
              <w:t>51</w:t>
            </w:r>
            <w:r w:rsidR="00BF5D6D">
              <w:rPr>
                <w:noProof/>
                <w:webHidden/>
              </w:rPr>
              <w:fldChar w:fldCharType="end"/>
            </w:r>
          </w:hyperlink>
          <w:r w:rsidR="003D6F49">
            <w:rPr>
              <w:b/>
              <w:bCs/>
              <w:noProof/>
            </w:rPr>
            <w:fldChar w:fldCharType="end"/>
          </w:r>
        </w:p>
      </w:sdtContent>
    </w:sdt>
    <w:p w14:paraId="61B3FEF7" w14:textId="738BA6F3" w:rsidR="00676ACD" w:rsidRDefault="00676ACD" w:rsidP="009014F6">
      <w:pPr>
        <w:pStyle w:val="DVAHeading1"/>
        <w:numPr>
          <w:ilvl w:val="0"/>
          <w:numId w:val="0"/>
        </w:numPr>
        <w:ind w:left="1134" w:hanging="1134"/>
      </w:pPr>
      <w:r>
        <w:br w:type="column"/>
      </w:r>
      <w:bookmarkStart w:id="4" w:name="_Toc105749426"/>
      <w:bookmarkStart w:id="5" w:name="_Toc107225283"/>
      <w:bookmarkStart w:id="6" w:name="_Toc105758405"/>
      <w:bookmarkStart w:id="7" w:name="_Toc110956273"/>
      <w:r>
        <w:lastRenderedPageBreak/>
        <w:t>Executive summary</w:t>
      </w:r>
      <w:bookmarkEnd w:id="4"/>
      <w:bookmarkEnd w:id="5"/>
      <w:bookmarkEnd w:id="6"/>
      <w:bookmarkEnd w:id="7"/>
    </w:p>
    <w:p w14:paraId="51492DC2" w14:textId="5F3A7413" w:rsidR="00676ACD" w:rsidRDefault="00676ACD" w:rsidP="00676ACD">
      <w:pPr>
        <w:pStyle w:val="DVABodytextwithparaspace"/>
      </w:pPr>
      <w:r w:rsidRPr="00E72B1E">
        <w:t xml:space="preserve">In April 2022, the Australian Government Department of Veterans’ Affairs (DVA) engaged EY to deliver research services (‘the review’) on better practice approaches in the evaluation of health and wellbeing programs (‘health programs’). The review aims to provide recommendations regarding the existing types of evaluation occurring within health programs across Australia (e.g. process, impact, economic/value for money, fidelity, outcome), including the appropriate use of each type of evaluation. </w:t>
      </w:r>
      <w:r>
        <w:t xml:space="preserve">These recommendations will help inform how DVA can plan for and carry out evaluations to support the wellbeing of veterans and families. </w:t>
      </w:r>
      <w:r w:rsidRPr="00E72B1E">
        <w:t>This report presents the findings of the review.</w:t>
      </w:r>
    </w:p>
    <w:p w14:paraId="7F6D581E" w14:textId="77777777" w:rsidR="00676ACD" w:rsidRPr="00FB0250" w:rsidRDefault="00676ACD" w:rsidP="00676ACD">
      <w:pPr>
        <w:pStyle w:val="DVAHeading2"/>
        <w:numPr>
          <w:ilvl w:val="0"/>
          <w:numId w:val="0"/>
        </w:numPr>
        <w:ind w:left="1134" w:hanging="1134"/>
      </w:pPr>
      <w:bookmarkStart w:id="8" w:name="_Toc105749427"/>
      <w:bookmarkStart w:id="9" w:name="_Toc105749461"/>
      <w:bookmarkStart w:id="10" w:name="_Toc107225284"/>
      <w:bookmarkStart w:id="11" w:name="_Toc105758406"/>
      <w:bookmarkStart w:id="12" w:name="_Toc110956274"/>
      <w:r w:rsidRPr="00FB0250">
        <w:t>Review questions</w:t>
      </w:r>
      <w:bookmarkEnd w:id="8"/>
      <w:bookmarkEnd w:id="9"/>
      <w:bookmarkEnd w:id="10"/>
      <w:bookmarkEnd w:id="11"/>
      <w:bookmarkEnd w:id="12"/>
    </w:p>
    <w:p w14:paraId="20DA85A4" w14:textId="77777777" w:rsidR="00676ACD" w:rsidRPr="00E72B1E" w:rsidRDefault="00676ACD" w:rsidP="00676ACD">
      <w:pPr>
        <w:pStyle w:val="DVABodytextwithparaspace"/>
      </w:pPr>
      <w:r w:rsidRPr="00E72B1E">
        <w:t>The review answer</w:t>
      </w:r>
      <w:r>
        <w:t>s</w:t>
      </w:r>
      <w:r w:rsidRPr="00E72B1E">
        <w:t xml:space="preserve"> the following questions to </w:t>
      </w:r>
      <w:r>
        <w:t xml:space="preserve">help </w:t>
      </w:r>
      <w:r w:rsidRPr="00E72B1E">
        <w:t>guide DVA on their journey to better practice evaluations:</w:t>
      </w:r>
    </w:p>
    <w:p w14:paraId="7A45991A" w14:textId="77777777" w:rsidR="00676ACD" w:rsidRPr="00E72B1E" w:rsidRDefault="00676ACD" w:rsidP="00676ACD">
      <w:pPr>
        <w:pStyle w:val="DVA1Number"/>
        <w:spacing w:after="0"/>
        <w:rPr>
          <w:i/>
          <w:iCs/>
        </w:rPr>
      </w:pPr>
      <w:r w:rsidRPr="00E72B1E">
        <w:rPr>
          <w:i/>
          <w:iCs/>
        </w:rPr>
        <w:t xml:space="preserve">What is better practice evaluation of Australian health programs? </w:t>
      </w:r>
    </w:p>
    <w:p w14:paraId="5B0F60F2" w14:textId="77777777" w:rsidR="00676ACD" w:rsidRPr="00E72B1E" w:rsidRDefault="00676ACD" w:rsidP="00676ACD">
      <w:pPr>
        <w:pStyle w:val="DVA1Number"/>
        <w:spacing w:after="0"/>
        <w:rPr>
          <w:i/>
          <w:iCs/>
        </w:rPr>
      </w:pPr>
      <w:r w:rsidRPr="00E72B1E">
        <w:rPr>
          <w:i/>
          <w:iCs/>
        </w:rPr>
        <w:t>What types of evaluations are used for the assessment of health programs across Australia?</w:t>
      </w:r>
    </w:p>
    <w:p w14:paraId="78071055" w14:textId="77777777" w:rsidR="00676ACD" w:rsidRPr="00E72B1E" w:rsidRDefault="00676ACD" w:rsidP="00676ACD">
      <w:pPr>
        <w:pStyle w:val="DVA1Number"/>
        <w:spacing w:after="0"/>
        <w:rPr>
          <w:i/>
          <w:iCs/>
        </w:rPr>
      </w:pPr>
      <w:r w:rsidRPr="00E72B1E">
        <w:rPr>
          <w:i/>
          <w:iCs/>
        </w:rPr>
        <w:t>How have health programs been evaluated within government agencies? Does this differ from the private sector?</w:t>
      </w:r>
    </w:p>
    <w:p w14:paraId="420A86B6" w14:textId="77777777" w:rsidR="00676ACD" w:rsidRPr="00E72B1E" w:rsidRDefault="00676ACD" w:rsidP="00676ACD">
      <w:pPr>
        <w:pStyle w:val="DVA1Number"/>
        <w:spacing w:after="0"/>
        <w:rPr>
          <w:i/>
          <w:iCs/>
        </w:rPr>
      </w:pPr>
      <w:r w:rsidRPr="00E72B1E">
        <w:rPr>
          <w:i/>
          <w:iCs/>
        </w:rPr>
        <w:t>What is the cost in conducting these health program evaluations?</w:t>
      </w:r>
    </w:p>
    <w:p w14:paraId="28DEDB72" w14:textId="77777777" w:rsidR="00676ACD" w:rsidRPr="00E72B1E" w:rsidRDefault="00676ACD" w:rsidP="00676ACD">
      <w:pPr>
        <w:pStyle w:val="DVA1Number"/>
        <w:rPr>
          <w:i/>
          <w:iCs/>
        </w:rPr>
      </w:pPr>
      <w:r w:rsidRPr="00E72B1E">
        <w:rPr>
          <w:i/>
          <w:iCs/>
        </w:rPr>
        <w:t>Have the methods of health program evaluations changed over time?</w:t>
      </w:r>
    </w:p>
    <w:p w14:paraId="08956A67" w14:textId="77777777" w:rsidR="00676ACD" w:rsidRPr="00FB0250" w:rsidRDefault="00676ACD" w:rsidP="00676ACD">
      <w:pPr>
        <w:pStyle w:val="DVAHeading2"/>
        <w:numPr>
          <w:ilvl w:val="0"/>
          <w:numId w:val="0"/>
        </w:numPr>
        <w:ind w:left="1134" w:hanging="1134"/>
      </w:pPr>
      <w:bookmarkStart w:id="13" w:name="_Toc105749428"/>
      <w:bookmarkStart w:id="14" w:name="_Toc105749462"/>
      <w:bookmarkStart w:id="15" w:name="_Toc107225285"/>
      <w:bookmarkStart w:id="16" w:name="_Toc105758407"/>
      <w:bookmarkStart w:id="17" w:name="_Toc110956275"/>
      <w:r w:rsidRPr="00FB0250">
        <w:t>Review methodology</w:t>
      </w:r>
      <w:bookmarkEnd w:id="13"/>
      <w:bookmarkEnd w:id="14"/>
      <w:bookmarkEnd w:id="15"/>
      <w:bookmarkEnd w:id="16"/>
      <w:bookmarkEnd w:id="17"/>
    </w:p>
    <w:p w14:paraId="671F978E" w14:textId="77777777" w:rsidR="00676ACD" w:rsidRDefault="00676ACD" w:rsidP="00676ACD">
      <w:pPr>
        <w:pStyle w:val="DVABodytextwithparaspace"/>
      </w:pPr>
      <w:r>
        <w:t xml:space="preserve">The review methodology consisted of three data collection activities: </w:t>
      </w:r>
    </w:p>
    <w:p w14:paraId="42060DE2" w14:textId="77777777" w:rsidR="00676ACD" w:rsidRPr="00EB5D2E" w:rsidRDefault="00676ACD" w:rsidP="00676ACD">
      <w:pPr>
        <w:pStyle w:val="DVA1Number"/>
        <w:numPr>
          <w:ilvl w:val="0"/>
          <w:numId w:val="35"/>
        </w:numPr>
        <w:spacing w:after="0"/>
      </w:pPr>
      <w:r w:rsidRPr="00FB0250">
        <w:rPr>
          <w:i/>
          <w:iCs/>
        </w:rPr>
        <w:t>Desktop literature review</w:t>
      </w:r>
      <w:r w:rsidRPr="00EB5D2E">
        <w:t xml:space="preserve"> to identify the Australian health program evaluation experience</w:t>
      </w:r>
      <w:r>
        <w:t xml:space="preserve">. This involved searching the published and grey literature for information on the </w:t>
      </w:r>
      <w:r w:rsidRPr="00FC7512">
        <w:t xml:space="preserve">types of evaluation occurring </w:t>
      </w:r>
      <w:r>
        <w:t>on</w:t>
      </w:r>
      <w:r w:rsidRPr="00FC7512">
        <w:t xml:space="preserve"> health programs across Australia (e.g. process, impact, economic/value for money, fidelity, outcome)</w:t>
      </w:r>
      <w:r>
        <w:t>. A total of 45 publications were identified – noting the relatively small number of health programs directly relevant to those offered by DVA.</w:t>
      </w:r>
    </w:p>
    <w:p w14:paraId="7D4F7522" w14:textId="77777777" w:rsidR="00676ACD" w:rsidRPr="00EB5D2E" w:rsidRDefault="00676ACD" w:rsidP="00676ACD">
      <w:pPr>
        <w:pStyle w:val="DVA1Number"/>
        <w:spacing w:after="0"/>
      </w:pPr>
      <w:r w:rsidRPr="00FB0250">
        <w:rPr>
          <w:i/>
          <w:iCs/>
        </w:rPr>
        <w:t>Key informant interviews</w:t>
      </w:r>
      <w:r>
        <w:t xml:space="preserve"> with two subject matter experts from the United States of America (US)</w:t>
      </w:r>
      <w:r w:rsidRPr="00EB5D2E">
        <w:t xml:space="preserve"> to explore health evaluation practices </w:t>
      </w:r>
      <w:r>
        <w:t xml:space="preserve">in the US, which has a large number of health services and programs available to veterans. </w:t>
      </w:r>
    </w:p>
    <w:p w14:paraId="6C4D97FA" w14:textId="77777777" w:rsidR="00676ACD" w:rsidRPr="00EB5D2E" w:rsidRDefault="00676ACD" w:rsidP="00676ACD">
      <w:pPr>
        <w:pStyle w:val="DVA1Number"/>
        <w:spacing w:after="0"/>
      </w:pPr>
      <w:r w:rsidRPr="00FB0250">
        <w:rPr>
          <w:i/>
          <w:iCs/>
        </w:rPr>
        <w:t>Case studies</w:t>
      </w:r>
      <w:r>
        <w:t xml:space="preserve"> on three Australian government agencies with experience in evaluation</w:t>
      </w:r>
      <w:r w:rsidRPr="00EB5D2E">
        <w:t xml:space="preserve"> to understand evaluation practices of Australian organisation</w:t>
      </w:r>
      <w:r>
        <w:t>s</w:t>
      </w:r>
      <w:r w:rsidRPr="00EB5D2E">
        <w:t xml:space="preserve"> with mature established capability.</w:t>
      </w:r>
    </w:p>
    <w:p w14:paraId="77CC511F" w14:textId="77777777" w:rsidR="00676ACD" w:rsidRPr="009E2906" w:rsidRDefault="00676ACD" w:rsidP="00676ACD">
      <w:pPr>
        <w:pStyle w:val="DVAHeading2"/>
        <w:numPr>
          <w:ilvl w:val="0"/>
          <w:numId w:val="0"/>
        </w:numPr>
        <w:ind w:left="1134" w:hanging="1134"/>
      </w:pPr>
      <w:bookmarkStart w:id="18" w:name="_Toc107225286"/>
      <w:bookmarkStart w:id="19" w:name="_Toc105758408"/>
      <w:bookmarkStart w:id="20" w:name="_Toc110956276"/>
      <w:bookmarkStart w:id="21" w:name="_Toc105749429"/>
      <w:bookmarkStart w:id="22" w:name="_Toc105749463"/>
      <w:r>
        <w:t>Key Findings</w:t>
      </w:r>
      <w:bookmarkEnd w:id="18"/>
      <w:bookmarkEnd w:id="19"/>
      <w:bookmarkEnd w:id="20"/>
      <w:r>
        <w:t xml:space="preserve"> </w:t>
      </w:r>
    </w:p>
    <w:p w14:paraId="7451037A" w14:textId="77777777" w:rsidR="00676ACD" w:rsidRDefault="00676ACD" w:rsidP="00676ACD">
      <w:pPr>
        <w:pStyle w:val="DVALeader"/>
      </w:pPr>
      <w:r>
        <w:t>What is better practice evaluation of Australian health programs?</w:t>
      </w:r>
      <w:bookmarkEnd w:id="21"/>
      <w:bookmarkEnd w:id="22"/>
    </w:p>
    <w:p w14:paraId="62FF4AD7" w14:textId="77777777" w:rsidR="00676ACD" w:rsidRPr="009014F6" w:rsidRDefault="00676ACD" w:rsidP="00676ACD">
      <w:pPr>
        <w:pStyle w:val="DVABodytextwithparaspace"/>
      </w:pPr>
      <w:r w:rsidRPr="009014F6">
        <w:t>Five main principles characterise best practice evaluations:</w:t>
      </w:r>
    </w:p>
    <w:p w14:paraId="76E70D1E" w14:textId="77777777" w:rsidR="00676ACD" w:rsidRPr="009014F6" w:rsidRDefault="00676ACD" w:rsidP="00676ACD">
      <w:pPr>
        <w:pStyle w:val="DVA1Number"/>
        <w:numPr>
          <w:ilvl w:val="0"/>
          <w:numId w:val="31"/>
        </w:numPr>
        <w:spacing w:after="0"/>
        <w:rPr>
          <w:szCs w:val="20"/>
        </w:rPr>
      </w:pPr>
      <w:r w:rsidRPr="009014F6">
        <w:rPr>
          <w:szCs w:val="20"/>
        </w:rPr>
        <w:t>The right foundations are used, including:</w:t>
      </w:r>
    </w:p>
    <w:p w14:paraId="18EF3123" w14:textId="77777777" w:rsidR="00676ACD" w:rsidRPr="009014F6" w:rsidRDefault="00676ACD" w:rsidP="00676ACD">
      <w:pPr>
        <w:pStyle w:val="EY2Letter"/>
        <w:numPr>
          <w:ilvl w:val="1"/>
          <w:numId w:val="31"/>
        </w:numPr>
        <w:spacing w:after="0"/>
        <w:rPr>
          <w:szCs w:val="20"/>
        </w:rPr>
      </w:pPr>
      <w:r w:rsidRPr="009014F6">
        <w:rPr>
          <w:szCs w:val="20"/>
        </w:rPr>
        <w:t>embedding evaluation into program design with appropriate governance and oversight</w:t>
      </w:r>
    </w:p>
    <w:p w14:paraId="2B3CBB4C" w14:textId="77777777" w:rsidR="00676ACD" w:rsidRPr="009014F6" w:rsidRDefault="00676ACD" w:rsidP="00676ACD">
      <w:pPr>
        <w:pStyle w:val="EY2Letter"/>
        <w:numPr>
          <w:ilvl w:val="1"/>
          <w:numId w:val="31"/>
        </w:numPr>
        <w:spacing w:after="0"/>
        <w:rPr>
          <w:szCs w:val="20"/>
        </w:rPr>
      </w:pPr>
      <w:r w:rsidRPr="009014F6">
        <w:rPr>
          <w:szCs w:val="20"/>
        </w:rPr>
        <w:t>designing a program logic and evaluation framework for each program</w:t>
      </w:r>
    </w:p>
    <w:p w14:paraId="53EA1332" w14:textId="77777777" w:rsidR="00676ACD" w:rsidRPr="009014F6" w:rsidRDefault="00676ACD" w:rsidP="00676ACD">
      <w:pPr>
        <w:pStyle w:val="EY2Letter"/>
        <w:numPr>
          <w:ilvl w:val="1"/>
          <w:numId w:val="31"/>
        </w:numPr>
        <w:spacing w:after="0"/>
        <w:rPr>
          <w:szCs w:val="20"/>
        </w:rPr>
      </w:pPr>
      <w:r w:rsidRPr="009014F6">
        <w:rPr>
          <w:szCs w:val="20"/>
        </w:rPr>
        <w:t>creating an evaluation culture within an organisation which allows for capacity building, adequate resource allocation, and general understanding of the benefits and importance of evaluation.</w:t>
      </w:r>
    </w:p>
    <w:p w14:paraId="55EF5508" w14:textId="77777777" w:rsidR="00676ACD" w:rsidRPr="009014F6" w:rsidRDefault="00676ACD" w:rsidP="00676ACD">
      <w:pPr>
        <w:numPr>
          <w:ilvl w:val="0"/>
          <w:numId w:val="31"/>
        </w:numPr>
        <w:spacing w:after="0" w:line="240" w:lineRule="auto"/>
        <w:rPr>
          <w:rFonts w:ascii="Calibri" w:hAnsi="Calibri"/>
          <w:kern w:val="12"/>
          <w:sz w:val="20"/>
          <w:szCs w:val="20"/>
          <w:lang w:eastAsia="en-AU"/>
        </w:rPr>
      </w:pPr>
      <w:r w:rsidRPr="009014F6">
        <w:rPr>
          <w:rFonts w:ascii="Calibri" w:hAnsi="Calibri"/>
          <w:kern w:val="12"/>
          <w:sz w:val="20"/>
          <w:szCs w:val="20"/>
          <w:lang w:eastAsia="en-AU"/>
        </w:rPr>
        <w:t xml:space="preserve">A systematic approach is used when </w:t>
      </w:r>
      <w:r w:rsidRPr="007B5579">
        <w:rPr>
          <w:rFonts w:ascii="Calibri" w:hAnsi="Calibri"/>
          <w:kern w:val="12"/>
          <w:sz w:val="20"/>
          <w:szCs w:val="20"/>
          <w:lang w:val="en-GB" w:eastAsia="en-AU"/>
        </w:rPr>
        <w:t>prioritising</w:t>
      </w:r>
      <w:r w:rsidRPr="009014F6">
        <w:rPr>
          <w:rFonts w:ascii="Calibri" w:hAnsi="Calibri"/>
          <w:kern w:val="12"/>
          <w:sz w:val="20"/>
          <w:szCs w:val="20"/>
          <w:lang w:eastAsia="en-AU"/>
        </w:rPr>
        <w:t xml:space="preserve"> programs for evaluation.</w:t>
      </w:r>
    </w:p>
    <w:p w14:paraId="599DF503" w14:textId="098A477C" w:rsidR="00676ACD" w:rsidRDefault="00676ACD" w:rsidP="00676ACD">
      <w:pPr>
        <w:numPr>
          <w:ilvl w:val="0"/>
          <w:numId w:val="18"/>
        </w:numPr>
        <w:spacing w:after="0" w:line="240" w:lineRule="auto"/>
        <w:rPr>
          <w:rFonts w:ascii="Calibri" w:hAnsi="Calibri"/>
          <w:kern w:val="12"/>
          <w:sz w:val="20"/>
          <w:szCs w:val="20"/>
          <w:lang w:eastAsia="en-AU"/>
        </w:rPr>
      </w:pPr>
      <w:r w:rsidRPr="009014F6">
        <w:rPr>
          <w:rFonts w:ascii="Calibri" w:hAnsi="Calibri"/>
          <w:kern w:val="12"/>
          <w:sz w:val="20"/>
          <w:szCs w:val="20"/>
          <w:lang w:eastAsia="en-AU"/>
        </w:rPr>
        <w:t>Choosing the appropriate evaluation type based on need or intended goals, while recognising that process, outcome and economic evaluations were the most common types of evaluation identified by policy and guidance documents from this review.</w:t>
      </w:r>
    </w:p>
    <w:p w14:paraId="18E502E4" w14:textId="77777777" w:rsidR="007B5579" w:rsidRPr="009014F6" w:rsidRDefault="007B5579" w:rsidP="007B5579">
      <w:pPr>
        <w:spacing w:after="0" w:line="240" w:lineRule="auto"/>
        <w:rPr>
          <w:rFonts w:ascii="Calibri" w:hAnsi="Calibri"/>
          <w:kern w:val="12"/>
          <w:sz w:val="20"/>
          <w:szCs w:val="20"/>
          <w:lang w:eastAsia="en-AU"/>
        </w:rPr>
      </w:pPr>
    </w:p>
    <w:p w14:paraId="1BCD5D84" w14:textId="77777777" w:rsidR="00676ACD" w:rsidRPr="009014F6" w:rsidRDefault="00676ACD" w:rsidP="00676ACD">
      <w:pPr>
        <w:numPr>
          <w:ilvl w:val="0"/>
          <w:numId w:val="18"/>
        </w:numPr>
        <w:spacing w:after="0" w:line="240" w:lineRule="auto"/>
        <w:rPr>
          <w:rFonts w:ascii="Calibri" w:hAnsi="Calibri"/>
          <w:kern w:val="12"/>
          <w:sz w:val="20"/>
          <w:szCs w:val="20"/>
          <w:lang w:eastAsia="en-AU"/>
        </w:rPr>
      </w:pPr>
      <w:r w:rsidRPr="009014F6">
        <w:rPr>
          <w:rFonts w:ascii="Calibri" w:hAnsi="Calibri"/>
          <w:kern w:val="12"/>
          <w:sz w:val="20"/>
          <w:szCs w:val="20"/>
          <w:lang w:eastAsia="en-AU"/>
        </w:rPr>
        <w:lastRenderedPageBreak/>
        <w:t>Careful consideration</w:t>
      </w:r>
      <w:r w:rsidRPr="009014F6" w:rsidDel="00055ED5">
        <w:rPr>
          <w:rFonts w:ascii="Calibri" w:hAnsi="Calibri"/>
          <w:kern w:val="12"/>
          <w:sz w:val="20"/>
          <w:szCs w:val="20"/>
          <w:lang w:eastAsia="en-AU"/>
        </w:rPr>
        <w:t xml:space="preserve"> </w:t>
      </w:r>
      <w:r w:rsidRPr="009014F6">
        <w:rPr>
          <w:rFonts w:ascii="Calibri" w:hAnsi="Calibri"/>
          <w:kern w:val="12"/>
          <w:sz w:val="20"/>
          <w:szCs w:val="20"/>
          <w:lang w:eastAsia="en-AU"/>
        </w:rPr>
        <w:t>be given to choosing between internal or external evaluators, with external evaluators being useful for larger scale or high investment projects where independence is desirable.</w:t>
      </w:r>
    </w:p>
    <w:p w14:paraId="30895A3C" w14:textId="77777777" w:rsidR="00676ACD" w:rsidRPr="009014F6" w:rsidRDefault="00676ACD" w:rsidP="00676ACD">
      <w:pPr>
        <w:numPr>
          <w:ilvl w:val="0"/>
          <w:numId w:val="18"/>
        </w:numPr>
        <w:spacing w:after="240" w:line="240" w:lineRule="auto"/>
        <w:rPr>
          <w:rFonts w:ascii="Calibri" w:hAnsi="Calibri"/>
          <w:kern w:val="12"/>
          <w:sz w:val="20"/>
          <w:szCs w:val="20"/>
          <w:lang w:eastAsia="en-AU"/>
        </w:rPr>
      </w:pPr>
      <w:r w:rsidRPr="009014F6">
        <w:rPr>
          <w:rFonts w:ascii="Calibri" w:hAnsi="Calibri"/>
          <w:kern w:val="12"/>
          <w:sz w:val="20"/>
          <w:szCs w:val="20"/>
          <w:lang w:eastAsia="en-AU"/>
        </w:rPr>
        <w:t>Evaluation findings are used to support decision making and are usually published in order</w:t>
      </w:r>
      <w:r w:rsidRPr="009014F6" w:rsidDel="00055ED5">
        <w:rPr>
          <w:rFonts w:ascii="Calibri" w:hAnsi="Calibri"/>
          <w:kern w:val="12"/>
          <w:sz w:val="20"/>
          <w:szCs w:val="20"/>
          <w:lang w:eastAsia="en-AU"/>
        </w:rPr>
        <w:t xml:space="preserve"> </w:t>
      </w:r>
      <w:r w:rsidRPr="009014F6">
        <w:rPr>
          <w:rFonts w:ascii="Calibri" w:hAnsi="Calibri"/>
          <w:kern w:val="12"/>
          <w:sz w:val="20"/>
          <w:szCs w:val="20"/>
          <w:lang w:eastAsia="en-AU"/>
        </w:rPr>
        <w:t xml:space="preserve">to inform policy and program development, as well as embed an evaluation culture within the organisation. </w:t>
      </w:r>
    </w:p>
    <w:p w14:paraId="20577C00" w14:textId="77777777" w:rsidR="00676ACD" w:rsidRPr="001557FC" w:rsidRDefault="00676ACD" w:rsidP="00676ACD">
      <w:pPr>
        <w:pStyle w:val="DVALeader"/>
        <w:rPr>
          <w:lang w:eastAsia="en-AU"/>
        </w:rPr>
      </w:pPr>
      <w:bookmarkStart w:id="23" w:name="_Toc105705835"/>
      <w:bookmarkStart w:id="24" w:name="_Toc105749430"/>
      <w:bookmarkStart w:id="25" w:name="_Toc105749464"/>
      <w:r w:rsidRPr="001557FC">
        <w:rPr>
          <w:lang w:eastAsia="en-AU"/>
        </w:rPr>
        <w:t>What types of evaluations are used for the assessment of health programs across Australia?</w:t>
      </w:r>
      <w:bookmarkEnd w:id="23"/>
      <w:bookmarkEnd w:id="24"/>
      <w:bookmarkEnd w:id="25"/>
      <w:r w:rsidRPr="001557FC">
        <w:rPr>
          <w:lang w:eastAsia="en-AU"/>
        </w:rPr>
        <w:t xml:space="preserve"> </w:t>
      </w:r>
    </w:p>
    <w:p w14:paraId="573CDB6C" w14:textId="77777777" w:rsidR="00676ACD" w:rsidRPr="009014F6" w:rsidRDefault="00676ACD" w:rsidP="00676ACD">
      <w:pPr>
        <w:spacing w:after="240"/>
        <w:rPr>
          <w:rFonts w:ascii="Calibri" w:hAnsi="Calibri"/>
          <w:kern w:val="12"/>
          <w:sz w:val="20"/>
          <w:szCs w:val="20"/>
          <w:lang w:eastAsia="en-AU"/>
        </w:rPr>
      </w:pPr>
      <w:r w:rsidRPr="009014F6">
        <w:rPr>
          <w:rFonts w:ascii="Calibri" w:hAnsi="Calibri"/>
          <w:kern w:val="12"/>
          <w:sz w:val="20"/>
          <w:szCs w:val="20"/>
          <w:lang w:eastAsia="en-AU"/>
        </w:rPr>
        <w:t xml:space="preserve">There is a large variety of types of health program evaluations; the most commonly found are process evaluations using mixed methods data collection strategies. Pre-post designs were commonly reported by the systematic reviews. </w:t>
      </w:r>
    </w:p>
    <w:p w14:paraId="54BAACC1" w14:textId="77777777" w:rsidR="00676ACD" w:rsidRDefault="00676ACD" w:rsidP="00676ACD">
      <w:pPr>
        <w:pStyle w:val="DVALeader"/>
        <w:rPr>
          <w:lang w:eastAsia="en-AU"/>
        </w:rPr>
      </w:pPr>
      <w:bookmarkStart w:id="26" w:name="_Toc105749431"/>
      <w:bookmarkStart w:id="27" w:name="_Toc105749465"/>
      <w:r w:rsidRPr="001557FC">
        <w:rPr>
          <w:lang w:eastAsia="en-AU"/>
        </w:rPr>
        <w:t>How have health programs been evaluated within government agencies? Does this differ from the private sector?</w:t>
      </w:r>
      <w:bookmarkEnd w:id="26"/>
      <w:bookmarkEnd w:id="27"/>
      <w:r w:rsidRPr="001557FC">
        <w:rPr>
          <w:lang w:eastAsia="en-AU"/>
        </w:rPr>
        <w:t xml:space="preserve"> </w:t>
      </w:r>
    </w:p>
    <w:p w14:paraId="18823EE2" w14:textId="77777777" w:rsidR="00676ACD" w:rsidRPr="009014F6" w:rsidRDefault="00676ACD" w:rsidP="00676ACD">
      <w:pPr>
        <w:spacing w:after="240"/>
        <w:rPr>
          <w:rFonts w:ascii="Calibri" w:hAnsi="Calibri"/>
          <w:kern w:val="12"/>
          <w:sz w:val="20"/>
          <w:szCs w:val="22"/>
          <w:lang w:eastAsia="en-AU"/>
        </w:rPr>
      </w:pPr>
      <w:r w:rsidRPr="009014F6">
        <w:rPr>
          <w:rFonts w:ascii="Calibri" w:hAnsi="Calibri"/>
          <w:kern w:val="12"/>
          <w:sz w:val="20"/>
          <w:szCs w:val="22"/>
          <w:lang w:eastAsia="en-AU"/>
        </w:rPr>
        <w:t>Australian government agencies commonly outsource their evaluations, whereas the private sector appears to both outsource evaluations and perform them in-house. There were otherwise no meaningful differences noted in evaluation types or processes between the government and private sector.</w:t>
      </w:r>
    </w:p>
    <w:p w14:paraId="57B3249D" w14:textId="77777777" w:rsidR="00676ACD" w:rsidRDefault="00676ACD" w:rsidP="00676ACD">
      <w:pPr>
        <w:pStyle w:val="DVALeader"/>
        <w:rPr>
          <w:lang w:eastAsia="en-AU"/>
        </w:rPr>
      </w:pPr>
      <w:bookmarkStart w:id="28" w:name="_Toc105749432"/>
      <w:bookmarkStart w:id="29" w:name="_Toc105749466"/>
      <w:r w:rsidRPr="001557FC">
        <w:rPr>
          <w:lang w:eastAsia="en-AU"/>
        </w:rPr>
        <w:t>What is the cost in conduc</w:t>
      </w:r>
      <w:r>
        <w:rPr>
          <w:lang w:eastAsia="en-AU"/>
        </w:rPr>
        <w:t>t</w:t>
      </w:r>
      <w:r w:rsidRPr="001557FC">
        <w:rPr>
          <w:lang w:eastAsia="en-AU"/>
        </w:rPr>
        <w:t>ing these health program evaluations?</w:t>
      </w:r>
      <w:bookmarkEnd w:id="28"/>
      <w:bookmarkEnd w:id="29"/>
    </w:p>
    <w:p w14:paraId="0E9083F0" w14:textId="22DD6773" w:rsidR="00676ACD" w:rsidRPr="007B5579" w:rsidRDefault="00676ACD" w:rsidP="007B5579">
      <w:pPr>
        <w:spacing w:after="240"/>
        <w:rPr>
          <w:rFonts w:ascii="Calibri" w:hAnsi="Calibri"/>
          <w:kern w:val="12"/>
          <w:sz w:val="20"/>
          <w:szCs w:val="20"/>
          <w:lang w:eastAsia="en-AU"/>
        </w:rPr>
      </w:pPr>
      <w:r w:rsidRPr="007B5579">
        <w:rPr>
          <w:rFonts w:ascii="Calibri" w:hAnsi="Calibri"/>
          <w:kern w:val="12"/>
          <w:sz w:val="20"/>
          <w:szCs w:val="20"/>
          <w:lang w:eastAsia="en-AU"/>
        </w:rPr>
        <w:t>Guidance into costing of evaluations is rare and ambiguous. Numerous factors contribute to diversity in costs, including complexity in obtaining data, level of r</w:t>
      </w:r>
      <w:r w:rsidR="00493CFF" w:rsidRPr="007B5579">
        <w:rPr>
          <w:rFonts w:ascii="Calibri" w:hAnsi="Calibri"/>
          <w:kern w:val="12"/>
          <w:sz w:val="20"/>
          <w:szCs w:val="20"/>
          <w:lang w:eastAsia="en-AU"/>
        </w:rPr>
        <w:t>isk, maturity of program, intern</w:t>
      </w:r>
      <w:r w:rsidRPr="007B5579">
        <w:rPr>
          <w:rFonts w:ascii="Calibri" w:hAnsi="Calibri"/>
          <w:kern w:val="12"/>
          <w:sz w:val="20"/>
          <w:szCs w:val="20"/>
          <w:lang w:eastAsia="en-AU"/>
        </w:rPr>
        <w:t xml:space="preserve">al vs external evaluators, intended use and significance to stakeholders and health outcomes. The NSW government has broadly suggested evaluations should be valued at 10% of program costs, but this figure can under- and overestimate potential health program costs.  Costs should be informed by program and evaluation characteristics.  </w:t>
      </w:r>
    </w:p>
    <w:p w14:paraId="59224D0D" w14:textId="77777777" w:rsidR="00676ACD" w:rsidRPr="001557FC" w:rsidRDefault="00676ACD" w:rsidP="00676ACD">
      <w:pPr>
        <w:pStyle w:val="DVALeader"/>
        <w:rPr>
          <w:lang w:eastAsia="en-AU"/>
        </w:rPr>
      </w:pPr>
      <w:bookmarkStart w:id="30" w:name="_Toc105749433"/>
      <w:bookmarkStart w:id="31" w:name="_Toc105749467"/>
      <w:r w:rsidRPr="001557FC">
        <w:rPr>
          <w:lang w:eastAsia="en-AU"/>
        </w:rPr>
        <w:t>Have the methods of health program evaluations changed over time?</w:t>
      </w:r>
      <w:bookmarkEnd w:id="30"/>
      <w:bookmarkEnd w:id="31"/>
      <w:r w:rsidRPr="001557FC">
        <w:rPr>
          <w:lang w:eastAsia="en-AU"/>
        </w:rPr>
        <w:t xml:space="preserve"> </w:t>
      </w:r>
    </w:p>
    <w:p w14:paraId="13F2D4C6" w14:textId="63FF99CA" w:rsidR="00676ACD" w:rsidRPr="007B5579" w:rsidRDefault="00676ACD" w:rsidP="007B5579">
      <w:pPr>
        <w:spacing w:after="240"/>
        <w:rPr>
          <w:rFonts w:ascii="Calibri" w:hAnsi="Calibri"/>
          <w:kern w:val="12"/>
          <w:sz w:val="20"/>
          <w:szCs w:val="20"/>
          <w:lang w:eastAsia="en-AU"/>
        </w:rPr>
      </w:pPr>
      <w:r w:rsidRPr="007B5579">
        <w:rPr>
          <w:rFonts w:ascii="Calibri" w:hAnsi="Calibri"/>
          <w:kern w:val="12"/>
          <w:sz w:val="20"/>
          <w:szCs w:val="20"/>
          <w:lang w:eastAsia="en-AU"/>
        </w:rPr>
        <w:t>Health program evaluations are increasingly becoming embedded into program design rather than serving as an external function. Continuous evaluation is becoming more common than single one-off evaluation</w:t>
      </w:r>
      <w:r w:rsidR="00493CFF" w:rsidRPr="007B5579">
        <w:rPr>
          <w:rFonts w:ascii="Calibri" w:hAnsi="Calibri"/>
          <w:kern w:val="12"/>
          <w:sz w:val="20"/>
          <w:szCs w:val="20"/>
          <w:lang w:eastAsia="en-AU"/>
        </w:rPr>
        <w:t>s</w:t>
      </w:r>
      <w:r w:rsidRPr="007B5579">
        <w:rPr>
          <w:rFonts w:ascii="Calibri" w:hAnsi="Calibri"/>
          <w:kern w:val="12"/>
          <w:sz w:val="20"/>
          <w:szCs w:val="20"/>
          <w:lang w:eastAsia="en-AU"/>
        </w:rPr>
        <w:t xml:space="preserve">. There is evidence from overseas that stakeholder engagement is increasing in evaluations, both in informing program design, and in collecting qualitative data on attitudes and behaviour. Evaluation remains an important but largely undervalued part of health programs. </w:t>
      </w:r>
    </w:p>
    <w:p w14:paraId="65D97CBB" w14:textId="77777777" w:rsidR="00676ACD" w:rsidRDefault="00676ACD" w:rsidP="009014F6">
      <w:pPr>
        <w:pStyle w:val="DVAHeading2"/>
        <w:numPr>
          <w:ilvl w:val="0"/>
          <w:numId w:val="0"/>
        </w:numPr>
        <w:ind w:left="1134" w:hanging="1134"/>
        <w:rPr>
          <w:lang w:eastAsia="en-AU"/>
        </w:rPr>
      </w:pPr>
      <w:bookmarkStart w:id="32" w:name="_Toc105749434"/>
      <w:bookmarkStart w:id="33" w:name="_Toc105749468"/>
      <w:bookmarkStart w:id="34" w:name="_Toc107225287"/>
      <w:bookmarkStart w:id="35" w:name="_Toc105758409"/>
      <w:bookmarkStart w:id="36" w:name="_Toc110956277"/>
      <w:r>
        <w:rPr>
          <w:lang w:eastAsia="en-AU"/>
        </w:rPr>
        <w:t>Conclusion</w:t>
      </w:r>
      <w:bookmarkEnd w:id="32"/>
      <w:bookmarkEnd w:id="33"/>
      <w:bookmarkEnd w:id="34"/>
      <w:bookmarkEnd w:id="35"/>
      <w:bookmarkEnd w:id="36"/>
    </w:p>
    <w:p w14:paraId="6392F2BD" w14:textId="77777777" w:rsidR="00676ACD" w:rsidRPr="007B5579" w:rsidRDefault="00676ACD" w:rsidP="007B5579">
      <w:pPr>
        <w:spacing w:after="240"/>
        <w:rPr>
          <w:rFonts w:ascii="Calibri" w:hAnsi="Calibri"/>
          <w:kern w:val="12"/>
          <w:sz w:val="20"/>
          <w:szCs w:val="20"/>
          <w:lang w:eastAsia="en-AU"/>
        </w:rPr>
      </w:pPr>
      <w:r w:rsidRPr="007B5579">
        <w:rPr>
          <w:rFonts w:ascii="Calibri" w:hAnsi="Calibri"/>
          <w:kern w:val="12"/>
          <w:sz w:val="20"/>
          <w:szCs w:val="20"/>
          <w:lang w:eastAsia="en-AU"/>
        </w:rPr>
        <w:t xml:space="preserve">This review did not identify any firm parameters to inform decisions on evaluation design, budget, and the choice between using external versus internal evaluators. Although process evaluations were the most common of evaluation in the literature, this may have been due to budget constraints or the maturity of the program being evaluated rather than better practice per se. While it was found that government agencies mostly outsourced their evaluations; this may be a result of factors such as internal resourcing constraints and the time-limited nature of evaluations, rather than as a result of better practice. </w:t>
      </w:r>
    </w:p>
    <w:p w14:paraId="17773094" w14:textId="77777777" w:rsidR="00676ACD" w:rsidRPr="007B5579" w:rsidRDefault="00676ACD" w:rsidP="007B5579">
      <w:pPr>
        <w:spacing w:after="240"/>
        <w:rPr>
          <w:rFonts w:ascii="Calibri" w:hAnsi="Calibri"/>
          <w:kern w:val="12"/>
          <w:sz w:val="20"/>
          <w:szCs w:val="20"/>
          <w:lang w:eastAsia="en-AU"/>
        </w:rPr>
      </w:pPr>
      <w:r w:rsidRPr="007B5579">
        <w:rPr>
          <w:rFonts w:ascii="Calibri" w:hAnsi="Calibri"/>
          <w:kern w:val="12"/>
          <w:sz w:val="20"/>
          <w:szCs w:val="20"/>
          <w:lang w:eastAsia="en-AU"/>
        </w:rPr>
        <w:t xml:space="preserve">Better practice evaluations were found to be associated with organisations with an evaluation culture – whereby evaluative thinking and a continuous improvement approach is embedded into organisations, leading to high quality evaluations and thus high-quality program design and delivery. This is articulated in Figure ES1. </w:t>
      </w:r>
    </w:p>
    <w:p w14:paraId="528F512A" w14:textId="77777777" w:rsidR="00676ACD" w:rsidRDefault="00676ACD" w:rsidP="00676ACD">
      <w:pPr>
        <w:rPr>
          <w:rFonts w:ascii="Calibri" w:hAnsi="Calibri"/>
          <w:b/>
          <w:bCs/>
          <w:color w:val="747480"/>
          <w:sz w:val="16"/>
          <w:szCs w:val="18"/>
          <w:lang w:eastAsia="en-AU"/>
        </w:rPr>
      </w:pPr>
      <w:r>
        <w:rPr>
          <w:lang w:eastAsia="en-AU"/>
        </w:rPr>
        <w:br w:type="page"/>
      </w:r>
    </w:p>
    <w:p w14:paraId="5F29A953" w14:textId="77777777" w:rsidR="00676ACD" w:rsidRPr="00807D4E" w:rsidRDefault="00676ACD" w:rsidP="00676ACD">
      <w:pPr>
        <w:pStyle w:val="Caption"/>
        <w:rPr>
          <w:lang w:eastAsia="en-AU"/>
        </w:rPr>
      </w:pPr>
      <w:r>
        <w:rPr>
          <w:lang w:eastAsia="en-AU"/>
        </w:rPr>
        <w:lastRenderedPageBreak/>
        <w:t>Figure ES1: Creating an evaluation culture</w:t>
      </w:r>
    </w:p>
    <w:p w14:paraId="5C51B2A9" w14:textId="72298382" w:rsidR="00676ACD" w:rsidRPr="00E21ED5" w:rsidRDefault="00273D2A" w:rsidP="00676ACD">
      <w:pPr>
        <w:pStyle w:val="DVABodytextwithparaspace"/>
      </w:pPr>
      <w:r w:rsidRPr="00273D2A">
        <w:rPr>
          <w:noProof/>
          <w:lang w:eastAsia="en-AU"/>
        </w:rPr>
        <w:drawing>
          <wp:inline distT="0" distB="0" distL="0" distR="0" wp14:anchorId="3DA715A7" wp14:editId="268169C7">
            <wp:extent cx="6122035" cy="3756025"/>
            <wp:effectExtent l="0" t="0" r="0"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8"/>
                    <a:stretch>
                      <a:fillRect/>
                    </a:stretch>
                  </pic:blipFill>
                  <pic:spPr>
                    <a:xfrm>
                      <a:off x="0" y="0"/>
                      <a:ext cx="6122035" cy="3756025"/>
                    </a:xfrm>
                    <a:prstGeom prst="rect">
                      <a:avLst/>
                    </a:prstGeom>
                  </pic:spPr>
                </pic:pic>
              </a:graphicData>
            </a:graphic>
          </wp:inline>
        </w:drawing>
      </w:r>
    </w:p>
    <w:p w14:paraId="453FF19C" w14:textId="6F3100E6" w:rsidR="00676ACD" w:rsidRPr="00E72B1E" w:rsidRDefault="009014F6" w:rsidP="009014F6">
      <w:pPr>
        <w:pStyle w:val="Heading1numbered"/>
      </w:pPr>
      <w:bookmarkStart w:id="37" w:name="_Toc105749435"/>
      <w:bookmarkStart w:id="38" w:name="_Toc107225288"/>
      <w:bookmarkStart w:id="39" w:name="_Toc105758410"/>
      <w:r>
        <w:rPr>
          <w:highlight w:val="lightGray"/>
        </w:rPr>
        <w:br w:type="column"/>
      </w:r>
      <w:bookmarkStart w:id="40" w:name="_Toc110956278"/>
      <w:r w:rsidR="00676ACD" w:rsidRPr="00E72B1E">
        <w:lastRenderedPageBreak/>
        <w:t>Introduction</w:t>
      </w:r>
      <w:bookmarkEnd w:id="37"/>
      <w:bookmarkEnd w:id="38"/>
      <w:bookmarkEnd w:id="39"/>
      <w:bookmarkEnd w:id="40"/>
      <w:r w:rsidR="00676ACD" w:rsidRPr="00E72B1E">
        <w:t xml:space="preserve"> </w:t>
      </w:r>
    </w:p>
    <w:p w14:paraId="4124BCF2" w14:textId="77777777" w:rsidR="00676ACD" w:rsidRPr="00E72B1E" w:rsidRDefault="00676ACD" w:rsidP="00676ACD">
      <w:pPr>
        <w:pStyle w:val="DVALeader"/>
      </w:pPr>
      <w:r w:rsidRPr="00E72B1E">
        <w:t>In April 2022, the Australian Government Department of Veterans’ Affairs (DVA) engaged EY to deliver research services (‘the review’) on better practice approaches in the evaluation of health and wellbeing programs (‘health programs’). The review aims to provide recommendations regarding the existing types of evaluation occurring within health programs across Australia (e.g. process, impact, economic/value for money, fidelity, outcome), including the appropriate use of each type of evaluation. This report presents the findings of the review.</w:t>
      </w:r>
    </w:p>
    <w:p w14:paraId="3971707F" w14:textId="77777777" w:rsidR="00676ACD" w:rsidRPr="00E72B1E" w:rsidRDefault="00676ACD" w:rsidP="00676ACD">
      <w:pPr>
        <w:pStyle w:val="Heading2numbered"/>
      </w:pPr>
      <w:bookmarkStart w:id="41" w:name="_Toc105749436"/>
      <w:bookmarkStart w:id="42" w:name="_Toc107225289"/>
      <w:bookmarkStart w:id="43" w:name="_Toc105758411"/>
      <w:bookmarkStart w:id="44" w:name="_Toc110956279"/>
      <w:r w:rsidRPr="00E72B1E">
        <w:t>Background</w:t>
      </w:r>
      <w:bookmarkEnd w:id="41"/>
      <w:bookmarkEnd w:id="42"/>
      <w:bookmarkEnd w:id="43"/>
      <w:bookmarkEnd w:id="44"/>
    </w:p>
    <w:p w14:paraId="4FF59725" w14:textId="77777777" w:rsidR="00676ACD" w:rsidRPr="00E72B1E" w:rsidRDefault="00676ACD" w:rsidP="00676ACD">
      <w:pPr>
        <w:pStyle w:val="DVABodytextwithparaspace"/>
      </w:pPr>
      <w:r w:rsidRPr="00E72B1E">
        <w:t>The purpose of DVA is to support the wellbeing of those who serve or have served in the defence of our nation and their families, by:</w:t>
      </w:r>
    </w:p>
    <w:p w14:paraId="1BB44C92" w14:textId="62F45455" w:rsidR="00676ACD" w:rsidRPr="00E72B1E" w:rsidRDefault="00676ACD" w:rsidP="00676ACD">
      <w:pPr>
        <w:pStyle w:val="DVABulletnoparaspace"/>
      </w:pPr>
      <w:r w:rsidRPr="00E72B1E">
        <w:t xml:space="preserve">Partnering with organisations and individuals to help design, implement and deliver effective programs and benefits, which enhance </w:t>
      </w:r>
      <w:r>
        <w:t xml:space="preserve">the </w:t>
      </w:r>
      <w:r w:rsidRPr="00E72B1E">
        <w:t>wellbeing of veterans and families; and</w:t>
      </w:r>
    </w:p>
    <w:p w14:paraId="6EEA469E" w14:textId="77777777" w:rsidR="00676ACD" w:rsidRPr="00E72B1E" w:rsidRDefault="00676ACD" w:rsidP="00676ACD">
      <w:pPr>
        <w:pStyle w:val="DVABulletnoparaspace"/>
        <w:spacing w:after="120"/>
      </w:pPr>
      <w:r w:rsidRPr="00E72B1E">
        <w:t>Providing and maintaining war graves and delivering meaningful commemorative activities to promote community recognition and understanding of the service and sacrifice of veterans.</w:t>
      </w:r>
    </w:p>
    <w:p w14:paraId="2CA4037A" w14:textId="287E73CE" w:rsidR="00676ACD" w:rsidRPr="00E72B1E" w:rsidRDefault="00676ACD" w:rsidP="00676ACD">
      <w:pPr>
        <w:pStyle w:val="DVABodytextwithparaspace"/>
      </w:pPr>
      <w:r w:rsidRPr="00E72B1E">
        <w:t>Since 2019, DVA has been on an evolving strategic journey to better live this purpose as summarised below (</w:t>
      </w:r>
      <w:r w:rsidRPr="00E72B1E">
        <w:fldChar w:fldCharType="begin"/>
      </w:r>
      <w:r w:rsidRPr="00E72B1E">
        <w:instrText xml:space="preserve"> REF _Ref103954644 \h </w:instrText>
      </w:r>
      <w:r w:rsidRPr="00E72B1E">
        <w:fldChar w:fldCharType="separate"/>
      </w:r>
      <w:r w:rsidR="00812188" w:rsidRPr="00E72B1E">
        <w:t xml:space="preserve">Figure </w:t>
      </w:r>
      <w:r w:rsidR="00812188">
        <w:rPr>
          <w:noProof/>
        </w:rPr>
        <w:t>1</w:t>
      </w:r>
      <w:r w:rsidRPr="00E72B1E">
        <w:fldChar w:fldCharType="end"/>
      </w:r>
      <w:r w:rsidRPr="00E72B1E">
        <w:t>).</w:t>
      </w:r>
    </w:p>
    <w:p w14:paraId="2B261E56" w14:textId="7C553D1B" w:rsidR="00676ACD" w:rsidRPr="00E72B1E" w:rsidRDefault="00676ACD" w:rsidP="00676ACD">
      <w:pPr>
        <w:pStyle w:val="Caption"/>
      </w:pPr>
      <w:bookmarkStart w:id="45" w:name="_Ref103954644"/>
      <w:r w:rsidRPr="00E72B1E">
        <w:t xml:space="preserve">Figure </w:t>
      </w:r>
      <w:r>
        <w:fldChar w:fldCharType="begin"/>
      </w:r>
      <w:r>
        <w:instrText xml:space="preserve"> SEQ Figure \* ARABIC </w:instrText>
      </w:r>
      <w:r>
        <w:fldChar w:fldCharType="separate"/>
      </w:r>
      <w:r w:rsidR="00812188">
        <w:rPr>
          <w:noProof/>
        </w:rPr>
        <w:t>1</w:t>
      </w:r>
      <w:r>
        <w:fldChar w:fldCharType="end"/>
      </w:r>
      <w:bookmarkEnd w:id="45"/>
      <w:r w:rsidRPr="00E72B1E">
        <w:t>. The DVA strategic journey</w:t>
      </w:r>
    </w:p>
    <w:p w14:paraId="706699DD" w14:textId="77777777" w:rsidR="00676ACD" w:rsidRPr="00E72B1E" w:rsidRDefault="00676ACD" w:rsidP="00676ACD">
      <w:pPr>
        <w:pStyle w:val="DVABodytextwithparaspace"/>
        <w:spacing w:before="120"/>
      </w:pPr>
      <w:r w:rsidRPr="00E72B1E">
        <w:rPr>
          <w:noProof/>
          <w:lang w:eastAsia="en-AU"/>
        </w:rPr>
        <w:drawing>
          <wp:inline distT="0" distB="0" distL="0" distR="0" wp14:anchorId="40853527" wp14:editId="5154F1CF">
            <wp:extent cx="5829430" cy="26318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0976" cy="2637095"/>
                    </a:xfrm>
                    <a:prstGeom prst="rect">
                      <a:avLst/>
                    </a:prstGeom>
                    <a:noFill/>
                  </pic:spPr>
                </pic:pic>
              </a:graphicData>
            </a:graphic>
          </wp:inline>
        </w:drawing>
      </w:r>
    </w:p>
    <w:p w14:paraId="2B299E36" w14:textId="512A7AFF" w:rsidR="00676ACD" w:rsidRPr="00E72B1E" w:rsidRDefault="00676ACD" w:rsidP="00676ACD">
      <w:pPr>
        <w:pStyle w:val="DVABodytextwithparaspace"/>
      </w:pPr>
      <w:r w:rsidRPr="00E72B1E">
        <w:t xml:space="preserve">To support this strategic intent, DVA has taken a proactive approach to strengthening its evidence-based programs which are aimed at enhancing the health and wellbeing needs of veterans and families. Evaluation enables the measurement of impact of these </w:t>
      </w:r>
      <w:r>
        <w:t>programs using</w:t>
      </w:r>
      <w:r w:rsidRPr="00E72B1E">
        <w:t xml:space="preserve"> quantitative and qualitative data and research, allowing for more robust decision-making and embedding best practice at the heart of delivery. As such,</w:t>
      </w:r>
      <w:r w:rsidRPr="00E72B1E" w:rsidDel="00A3495C">
        <w:t xml:space="preserve"> </w:t>
      </w:r>
      <w:r w:rsidRPr="00E72B1E">
        <w:t xml:space="preserve">DVA has recognised the importance that evaluation has in shaping Departmental policy, programs and initiatives. </w:t>
      </w:r>
    </w:p>
    <w:p w14:paraId="1824260F" w14:textId="400DD541" w:rsidR="004163EA" w:rsidRDefault="00676ACD" w:rsidP="00676ACD">
      <w:pPr>
        <w:pStyle w:val="DVABodytextwithparaspace"/>
      </w:pPr>
      <w:r w:rsidRPr="00E72B1E">
        <w:t xml:space="preserve">The DVA </w:t>
      </w:r>
      <w:r w:rsidR="00A57B96">
        <w:t>Program Governance &amp; Evaluation section</w:t>
      </w:r>
      <w:r w:rsidR="000A5F8F">
        <w:t xml:space="preserve"> (</w:t>
      </w:r>
      <w:r w:rsidR="00A57B96">
        <w:t>PG&amp;E</w:t>
      </w:r>
      <w:r w:rsidR="000A5F8F">
        <w:t xml:space="preserve">) is </w:t>
      </w:r>
      <w:r w:rsidR="0003533F">
        <w:t>responsible</w:t>
      </w:r>
      <w:r w:rsidRPr="00E72B1E">
        <w:t xml:space="preserve"> for the evaluation of DVA’s health and wellbeing programs. In line with DVA’s Strategic </w:t>
      </w:r>
      <w:r w:rsidR="00A57B96">
        <w:t>Research Framework 2019-21, PG&amp;E</w:t>
      </w:r>
      <w:r w:rsidRPr="00E72B1E">
        <w:t xml:space="preserve"> seeks to develop a comprehensive evaluation strategy to ensure that gaps in DVA knowledge base are bridged, and that DVA may respond to the many multi-faceted and complex needs of DVA’s core clients – veterans and families. </w:t>
      </w:r>
    </w:p>
    <w:p w14:paraId="76A738E2" w14:textId="57C0DE64" w:rsidR="00676ACD" w:rsidRPr="00E72B1E" w:rsidRDefault="00676ACD" w:rsidP="00676ACD">
      <w:pPr>
        <w:pStyle w:val="DVABodytextwithparaspace"/>
      </w:pPr>
      <w:r w:rsidRPr="00E72B1E">
        <w:lastRenderedPageBreak/>
        <w:t xml:space="preserve">To this end, </w:t>
      </w:r>
      <w:r w:rsidR="00A57B96">
        <w:t>PG&amp;E</w:t>
      </w:r>
      <w:r w:rsidRPr="00E72B1E">
        <w:t xml:space="preserve"> is actively invested in developing internal capability to undertake health program evaluations and is currently </w:t>
      </w:r>
      <w:r>
        <w:t>responsible for</w:t>
      </w:r>
      <w:r w:rsidRPr="00E72B1E">
        <w:t xml:space="preserve"> an evaluation strategy and schedule to prioritise the type and timing of evaluation of DVA’s health programs.</w:t>
      </w:r>
    </w:p>
    <w:p w14:paraId="083E29F2" w14:textId="77777777" w:rsidR="00676ACD" w:rsidRPr="00E72B1E" w:rsidRDefault="00676ACD" w:rsidP="00676ACD">
      <w:pPr>
        <w:pStyle w:val="Heading2numbered"/>
      </w:pPr>
      <w:bookmarkStart w:id="46" w:name="_Toc89154010"/>
      <w:bookmarkStart w:id="47" w:name="_Toc105749437"/>
      <w:bookmarkStart w:id="48" w:name="_Toc107225290"/>
      <w:bookmarkStart w:id="49" w:name="_Toc105758412"/>
      <w:bookmarkStart w:id="50" w:name="_Toc110956280"/>
      <w:bookmarkEnd w:id="46"/>
      <w:r w:rsidRPr="00E72B1E">
        <w:t xml:space="preserve">Aims and objectives of </w:t>
      </w:r>
      <w:bookmarkStart w:id="51" w:name="_Ref88834300"/>
      <w:r>
        <w:t>the review</w:t>
      </w:r>
      <w:bookmarkEnd w:id="47"/>
      <w:bookmarkEnd w:id="48"/>
      <w:bookmarkEnd w:id="49"/>
      <w:bookmarkEnd w:id="50"/>
    </w:p>
    <w:p w14:paraId="53DBD57F" w14:textId="77777777" w:rsidR="00676ACD" w:rsidRPr="00E72B1E" w:rsidRDefault="00676ACD" w:rsidP="00676ACD">
      <w:pPr>
        <w:pStyle w:val="DVABodytextwithparaspace"/>
      </w:pPr>
      <w:r w:rsidRPr="00E72B1E">
        <w:t>The review aims to detail the types of evaluation that are used to evaluate health programs in Australia. It will outline the strengths and weaknesses and appropriate use of each type of evaluation and provide an understanding of better practice evaluation of health programs. The outcome of the review will inform advice/recommendations to DVA on:</w:t>
      </w:r>
    </w:p>
    <w:p w14:paraId="339A45E6" w14:textId="77777777" w:rsidR="00676ACD" w:rsidRPr="00E72B1E" w:rsidRDefault="00676ACD" w:rsidP="00676ACD">
      <w:pPr>
        <w:pStyle w:val="DVABulletnoparaspace"/>
      </w:pPr>
      <w:r w:rsidRPr="00E72B1E">
        <w:t>an evidence-based</w:t>
      </w:r>
      <w:r>
        <w:t>,</w:t>
      </w:r>
      <w:r w:rsidRPr="00E72B1E">
        <w:t xml:space="preserve"> better practice approach for future health program evaluations in DVA; and</w:t>
      </w:r>
    </w:p>
    <w:p w14:paraId="40785D73" w14:textId="77777777" w:rsidR="00676ACD" w:rsidRPr="00E72B1E" w:rsidRDefault="00676ACD" w:rsidP="00676ACD">
      <w:pPr>
        <w:pStyle w:val="DVABulletnoparaspace"/>
        <w:spacing w:after="120"/>
      </w:pPr>
      <w:r w:rsidRPr="00E72B1E">
        <w:t>opportunities to align DVA health program evaluations with better practice to deliver quality, evidence-based services that directly address the wellbeing needs of veteran community.</w:t>
      </w:r>
    </w:p>
    <w:p w14:paraId="64A5D6E6" w14:textId="77777777" w:rsidR="00676ACD" w:rsidRPr="00E72B1E" w:rsidRDefault="00676ACD" w:rsidP="00676ACD">
      <w:pPr>
        <w:pStyle w:val="DVABodytextwithparaspace"/>
      </w:pPr>
      <w:r>
        <w:t>Results from t</w:t>
      </w:r>
      <w:r w:rsidRPr="00E72B1E">
        <w:t>his literature review will also complement work being conducted across the Department to build and develop DVA’s broader evaluation capability.</w:t>
      </w:r>
    </w:p>
    <w:p w14:paraId="49321264" w14:textId="77777777" w:rsidR="00676ACD" w:rsidRPr="00E72B1E" w:rsidRDefault="00676ACD" w:rsidP="00676ACD">
      <w:pPr>
        <w:pStyle w:val="DVABodytextwithparaspace"/>
      </w:pPr>
      <w:r w:rsidRPr="00E72B1E">
        <w:t>The review answer</w:t>
      </w:r>
      <w:r>
        <w:t>s</w:t>
      </w:r>
      <w:r w:rsidRPr="00E72B1E">
        <w:t xml:space="preserve"> the following questions to guide DVA on their journey to better practice evaluations:</w:t>
      </w:r>
    </w:p>
    <w:p w14:paraId="20F86231" w14:textId="77777777" w:rsidR="00676ACD" w:rsidRPr="0095025A" w:rsidRDefault="00676ACD" w:rsidP="00676ACD">
      <w:pPr>
        <w:pStyle w:val="DVA1Number"/>
        <w:numPr>
          <w:ilvl w:val="0"/>
          <w:numId w:val="37"/>
        </w:numPr>
        <w:spacing w:after="0"/>
        <w:rPr>
          <w:i/>
          <w:iCs/>
        </w:rPr>
      </w:pPr>
      <w:r w:rsidRPr="0095025A">
        <w:rPr>
          <w:i/>
          <w:iCs/>
        </w:rPr>
        <w:t xml:space="preserve">What is better practice evaluation of Australian health programs? </w:t>
      </w:r>
    </w:p>
    <w:p w14:paraId="73DBBFCC" w14:textId="77777777" w:rsidR="00676ACD" w:rsidRPr="00E72B1E" w:rsidRDefault="00676ACD" w:rsidP="00676ACD">
      <w:pPr>
        <w:pStyle w:val="DVA1Number"/>
        <w:spacing w:after="0"/>
        <w:rPr>
          <w:i/>
          <w:iCs/>
        </w:rPr>
      </w:pPr>
      <w:r w:rsidRPr="00E72B1E">
        <w:rPr>
          <w:i/>
          <w:iCs/>
        </w:rPr>
        <w:t>What types of evaluations are used for the assessment of health programs across Australia?</w:t>
      </w:r>
    </w:p>
    <w:p w14:paraId="5059F8AF" w14:textId="77777777" w:rsidR="00676ACD" w:rsidRPr="00E72B1E" w:rsidRDefault="00676ACD" w:rsidP="00676ACD">
      <w:pPr>
        <w:pStyle w:val="DVA1Number"/>
        <w:spacing w:after="0"/>
        <w:rPr>
          <w:i/>
          <w:iCs/>
        </w:rPr>
      </w:pPr>
      <w:r w:rsidRPr="00E72B1E">
        <w:rPr>
          <w:i/>
          <w:iCs/>
        </w:rPr>
        <w:t>How have health programs been evaluated within government agencies? Does this differ from the private sector?</w:t>
      </w:r>
    </w:p>
    <w:p w14:paraId="26A629EB" w14:textId="77777777" w:rsidR="00676ACD" w:rsidRPr="00E72B1E" w:rsidRDefault="00676ACD" w:rsidP="00676ACD">
      <w:pPr>
        <w:pStyle w:val="DVA1Number"/>
        <w:spacing w:after="0"/>
        <w:rPr>
          <w:i/>
          <w:iCs/>
        </w:rPr>
      </w:pPr>
      <w:r w:rsidRPr="00E72B1E">
        <w:rPr>
          <w:i/>
          <w:iCs/>
        </w:rPr>
        <w:t>What is the cost in conducting these health program evaluations?</w:t>
      </w:r>
    </w:p>
    <w:p w14:paraId="4FA2D5C4" w14:textId="77777777" w:rsidR="00676ACD" w:rsidRPr="00E72B1E" w:rsidRDefault="00676ACD" w:rsidP="00676ACD">
      <w:pPr>
        <w:pStyle w:val="DVA1Number"/>
        <w:rPr>
          <w:i/>
          <w:iCs/>
        </w:rPr>
      </w:pPr>
      <w:r w:rsidRPr="00E72B1E">
        <w:rPr>
          <w:i/>
          <w:iCs/>
        </w:rPr>
        <w:t>Have the methods of health program evaluations changed over time?</w:t>
      </w:r>
    </w:p>
    <w:p w14:paraId="34EF9F4A" w14:textId="77777777" w:rsidR="00676ACD" w:rsidRDefault="00676ACD" w:rsidP="00676ACD">
      <w:pPr>
        <w:pStyle w:val="DVABodytextwithparaspace"/>
      </w:pPr>
      <w:r w:rsidRPr="00E72B1E">
        <w:t>Together with the implementation of DVA’s Program Management Framework (PMF), this work will</w:t>
      </w:r>
      <w:r>
        <w:t>:</w:t>
      </w:r>
    </w:p>
    <w:p w14:paraId="67BEA09D" w14:textId="77777777" w:rsidR="00676ACD" w:rsidRDefault="00676ACD" w:rsidP="00676ACD">
      <w:pPr>
        <w:pStyle w:val="DVABulletnoparaspace"/>
      </w:pPr>
      <w:r w:rsidRPr="00E72B1E">
        <w:t>support the improved governance of DVA’s health programs</w:t>
      </w:r>
    </w:p>
    <w:p w14:paraId="172492DC" w14:textId="77777777" w:rsidR="00676ACD" w:rsidRDefault="00676ACD" w:rsidP="00676ACD">
      <w:pPr>
        <w:pStyle w:val="DVABulletnoparaspace"/>
      </w:pPr>
      <w:r w:rsidRPr="00E72B1E">
        <w:t>inform better program delivery and help staff deliver program outcomes</w:t>
      </w:r>
    </w:p>
    <w:p w14:paraId="7122C402" w14:textId="2592EA2B" w:rsidR="00676ACD" w:rsidRDefault="00676ACD" w:rsidP="00676ACD">
      <w:pPr>
        <w:pStyle w:val="DVABulletnoparaspace"/>
      </w:pPr>
      <w:r w:rsidRPr="00E72B1E">
        <w:t>improve DVA’s ability to deliver services to veterans and families that align with DVA’s current strategic priorities, enhance governance and accountability</w:t>
      </w:r>
    </w:p>
    <w:p w14:paraId="5DC66282" w14:textId="77777777" w:rsidR="00676ACD" w:rsidRPr="00E72B1E" w:rsidRDefault="00676ACD" w:rsidP="00676ACD">
      <w:pPr>
        <w:pStyle w:val="DVABulletnoparaspace"/>
      </w:pPr>
      <w:r w:rsidRPr="00E72B1E">
        <w:t>include a focus on wellbeing rather than illness.</w:t>
      </w:r>
    </w:p>
    <w:p w14:paraId="1EBDF0B7" w14:textId="77777777" w:rsidR="00676ACD" w:rsidRPr="00E72B1E" w:rsidRDefault="00676ACD" w:rsidP="00676ACD">
      <w:pPr>
        <w:pStyle w:val="DVABodytextwithparaspace"/>
      </w:pPr>
    </w:p>
    <w:p w14:paraId="77C86E00" w14:textId="77777777" w:rsidR="00676ACD" w:rsidRPr="00E72B1E" w:rsidRDefault="00676ACD" w:rsidP="00676ACD">
      <w:pPr>
        <w:pStyle w:val="DVABodytextwithparaspace"/>
      </w:pPr>
    </w:p>
    <w:p w14:paraId="5F30E7D1" w14:textId="77777777" w:rsidR="00676ACD" w:rsidRPr="00E72B1E" w:rsidRDefault="00676ACD" w:rsidP="00676ACD">
      <w:pPr>
        <w:pStyle w:val="DVABodytextwithparaspace"/>
      </w:pPr>
    </w:p>
    <w:p w14:paraId="723A1377" w14:textId="77777777" w:rsidR="00676ACD" w:rsidRPr="00E72B1E" w:rsidRDefault="00676ACD" w:rsidP="00676ACD">
      <w:pPr>
        <w:pStyle w:val="DVA1Number"/>
        <w:numPr>
          <w:ilvl w:val="0"/>
          <w:numId w:val="0"/>
        </w:numPr>
      </w:pPr>
    </w:p>
    <w:p w14:paraId="3909B491" w14:textId="59269DC7" w:rsidR="00676ACD" w:rsidRPr="00E72B1E" w:rsidRDefault="009014F6" w:rsidP="00676ACD">
      <w:pPr>
        <w:pStyle w:val="Heading1numbered"/>
      </w:pPr>
      <w:bookmarkStart w:id="52" w:name="_Toc105749438"/>
      <w:bookmarkStart w:id="53" w:name="_Toc107225291"/>
      <w:bookmarkStart w:id="54" w:name="_Toc105758413"/>
      <w:r>
        <w:br w:type="column"/>
      </w:r>
      <w:bookmarkStart w:id="55" w:name="_Toc110956281"/>
      <w:r w:rsidR="00676ACD" w:rsidRPr="00E72B1E">
        <w:lastRenderedPageBreak/>
        <w:t xml:space="preserve">Review </w:t>
      </w:r>
      <w:bookmarkEnd w:id="51"/>
      <w:r w:rsidR="00676ACD" w:rsidRPr="00E72B1E">
        <w:t>Approach</w:t>
      </w:r>
      <w:bookmarkEnd w:id="52"/>
      <w:bookmarkEnd w:id="53"/>
      <w:bookmarkEnd w:id="54"/>
      <w:bookmarkEnd w:id="55"/>
      <w:r w:rsidR="00676ACD" w:rsidRPr="00E72B1E">
        <w:t xml:space="preserve"> </w:t>
      </w:r>
    </w:p>
    <w:p w14:paraId="4460EDBA" w14:textId="77777777" w:rsidR="00676ACD" w:rsidRPr="00E72B1E" w:rsidRDefault="00676ACD" w:rsidP="00676ACD">
      <w:pPr>
        <w:pStyle w:val="DVALeader"/>
      </w:pPr>
      <w:r w:rsidRPr="00E72B1E">
        <w:t>This chapter outlines the approach and methodology to the review, which consist</w:t>
      </w:r>
      <w:r>
        <w:t>ed</w:t>
      </w:r>
      <w:r w:rsidRPr="00E72B1E">
        <w:t xml:space="preserve"> of three data collection activities: </w:t>
      </w:r>
    </w:p>
    <w:p w14:paraId="558CC43F" w14:textId="77777777" w:rsidR="00676ACD" w:rsidRPr="00E72B1E" w:rsidRDefault="00676ACD" w:rsidP="00676ACD">
      <w:pPr>
        <w:pStyle w:val="DVA1Number"/>
        <w:numPr>
          <w:ilvl w:val="0"/>
          <w:numId w:val="28"/>
        </w:numPr>
        <w:spacing w:after="0"/>
        <w:rPr>
          <w:color w:val="747480"/>
          <w:sz w:val="24"/>
        </w:rPr>
      </w:pPr>
      <w:r w:rsidRPr="00E72B1E">
        <w:rPr>
          <w:color w:val="747480"/>
          <w:sz w:val="24"/>
        </w:rPr>
        <w:t>Desktop literature review – to identify the Australian health program evaluation experience</w:t>
      </w:r>
    </w:p>
    <w:p w14:paraId="14519043" w14:textId="77777777" w:rsidR="00676ACD" w:rsidRPr="00E72B1E" w:rsidRDefault="00676ACD" w:rsidP="00676ACD">
      <w:pPr>
        <w:pStyle w:val="DVA1Number"/>
        <w:spacing w:after="0"/>
        <w:rPr>
          <w:color w:val="747480"/>
          <w:sz w:val="24"/>
        </w:rPr>
      </w:pPr>
      <w:bookmarkStart w:id="56" w:name="_Ref105601020"/>
      <w:r w:rsidRPr="00E72B1E">
        <w:rPr>
          <w:color w:val="747480"/>
          <w:sz w:val="24"/>
        </w:rPr>
        <w:t xml:space="preserve">Key informant interviews – to explore </w:t>
      </w:r>
      <w:r>
        <w:rPr>
          <w:color w:val="747480"/>
          <w:sz w:val="24"/>
        </w:rPr>
        <w:t xml:space="preserve">comparable </w:t>
      </w:r>
      <w:r w:rsidRPr="00E72B1E">
        <w:rPr>
          <w:color w:val="747480"/>
          <w:sz w:val="24"/>
        </w:rPr>
        <w:t>health evaluation practices abroad</w:t>
      </w:r>
      <w:bookmarkEnd w:id="56"/>
    </w:p>
    <w:p w14:paraId="6F832953" w14:textId="7566A86F" w:rsidR="00676ACD" w:rsidRPr="0003533F" w:rsidRDefault="00676ACD" w:rsidP="0003533F">
      <w:pPr>
        <w:pStyle w:val="DVA1Number"/>
        <w:spacing w:after="120"/>
        <w:rPr>
          <w:color w:val="747480"/>
          <w:sz w:val="24"/>
        </w:rPr>
      </w:pPr>
      <w:r w:rsidRPr="00E72B1E">
        <w:rPr>
          <w:color w:val="747480"/>
          <w:sz w:val="24"/>
        </w:rPr>
        <w:t>Case studies – to understand evaluation practices of Australian organisation</w:t>
      </w:r>
      <w:r w:rsidR="00493CFF">
        <w:rPr>
          <w:color w:val="747480"/>
          <w:sz w:val="24"/>
        </w:rPr>
        <w:t>s</w:t>
      </w:r>
      <w:r w:rsidRPr="00E72B1E">
        <w:rPr>
          <w:color w:val="747480"/>
          <w:sz w:val="24"/>
        </w:rPr>
        <w:t xml:space="preserve"> with mature established capability</w:t>
      </w:r>
    </w:p>
    <w:p w14:paraId="15D554AF" w14:textId="77777777" w:rsidR="00676ACD" w:rsidRPr="00E72B1E" w:rsidRDefault="00676ACD" w:rsidP="00676ACD">
      <w:pPr>
        <w:pStyle w:val="Heading2numbered"/>
      </w:pPr>
      <w:bookmarkStart w:id="57" w:name="_Toc105749439"/>
      <w:bookmarkStart w:id="58" w:name="_Toc107225292"/>
      <w:bookmarkStart w:id="59" w:name="_Toc105758414"/>
      <w:bookmarkStart w:id="60" w:name="_Toc110956282"/>
      <w:r w:rsidRPr="00E72B1E">
        <w:t>Desktop literature review</w:t>
      </w:r>
      <w:bookmarkEnd w:id="57"/>
      <w:bookmarkEnd w:id="58"/>
      <w:bookmarkEnd w:id="59"/>
      <w:bookmarkEnd w:id="60"/>
    </w:p>
    <w:p w14:paraId="341E770C" w14:textId="77777777" w:rsidR="00676ACD" w:rsidRPr="00E72B1E" w:rsidRDefault="00676ACD" w:rsidP="00676ACD">
      <w:pPr>
        <w:pStyle w:val="DVABodytextwithparaspace"/>
      </w:pPr>
      <w:r w:rsidRPr="00E72B1E">
        <w:t>The desktop literature review consists of two components:</w:t>
      </w:r>
    </w:p>
    <w:p w14:paraId="0FC9C70D" w14:textId="77777777" w:rsidR="00676ACD" w:rsidRPr="00E72B1E" w:rsidRDefault="00676ACD" w:rsidP="00676ACD">
      <w:pPr>
        <w:pStyle w:val="DVA1Number"/>
        <w:numPr>
          <w:ilvl w:val="0"/>
          <w:numId w:val="27"/>
        </w:numPr>
        <w:spacing w:after="0"/>
      </w:pPr>
      <w:r w:rsidRPr="00E72B1E">
        <w:t xml:space="preserve">A published literature search, to understand the Australian experience and characterise the types of evaluations being conducted in Australia </w:t>
      </w:r>
    </w:p>
    <w:p w14:paraId="4AE60055" w14:textId="77777777" w:rsidR="00676ACD" w:rsidRPr="00E72B1E" w:rsidRDefault="00676ACD" w:rsidP="00676ACD">
      <w:pPr>
        <w:pStyle w:val="DVA1Number"/>
        <w:numPr>
          <w:ilvl w:val="0"/>
          <w:numId w:val="27"/>
        </w:numPr>
      </w:pPr>
      <w:r w:rsidRPr="00E72B1E">
        <w:t>A grey literature search to identify supporting information and guidance, in publicly available information on Australian evaluation practice</w:t>
      </w:r>
    </w:p>
    <w:p w14:paraId="74A7A913" w14:textId="77777777" w:rsidR="00676ACD" w:rsidRPr="00E72B1E" w:rsidRDefault="00676ACD" w:rsidP="009014F6">
      <w:pPr>
        <w:pStyle w:val="Heading3numbered"/>
      </w:pPr>
      <w:bookmarkStart w:id="61" w:name="_Toc110956283"/>
      <w:r w:rsidRPr="00E72B1E">
        <w:t>Published literature review</w:t>
      </w:r>
      <w:bookmarkEnd w:id="61"/>
    </w:p>
    <w:p w14:paraId="5F0E22D4" w14:textId="77777777" w:rsidR="00676ACD" w:rsidRPr="00E72B1E" w:rsidRDefault="00676ACD" w:rsidP="00676ACD">
      <w:pPr>
        <w:pStyle w:val="DVABodytextwithparaspace"/>
      </w:pPr>
      <w:r w:rsidRPr="00E72B1E">
        <w:t>The literature was searched for information on types of evaluation occurring within health programs across Australia (e.g. process, impact, economic/value for money, fidelity, outcome), including the appropriate use of each type of evaluation. The following strategy was used to conduct this search:</w:t>
      </w:r>
    </w:p>
    <w:p w14:paraId="3C5B12A1" w14:textId="70A16119" w:rsidR="00676ACD" w:rsidRPr="00E72B1E" w:rsidRDefault="00676ACD" w:rsidP="00676ACD">
      <w:pPr>
        <w:pStyle w:val="DVA1Number"/>
        <w:numPr>
          <w:ilvl w:val="0"/>
          <w:numId w:val="32"/>
        </w:numPr>
      </w:pPr>
      <w:r w:rsidRPr="00E72B1E">
        <w:t xml:space="preserve">The following databases were searched using combinations of search terms outlined </w:t>
      </w:r>
      <w:r>
        <w:t xml:space="preserve">in </w:t>
      </w:r>
      <w:r w:rsidRPr="00C00AF3">
        <w:fldChar w:fldCharType="begin"/>
      </w:r>
      <w:r>
        <w:instrText xml:space="preserve"> REF _Ref104814749 \h  \* MERGEFORMAT </w:instrText>
      </w:r>
      <w:r w:rsidRPr="00C00AF3">
        <w:fldChar w:fldCharType="separate"/>
      </w:r>
      <w:r w:rsidR="00812188" w:rsidRPr="00812188">
        <w:t>Table 1</w:t>
      </w:r>
      <w:r w:rsidRPr="00C00AF3">
        <w:fldChar w:fldCharType="end"/>
      </w:r>
      <w:r w:rsidRPr="00E72B1E">
        <w:t xml:space="preserve"> to generate initial results:</w:t>
      </w:r>
    </w:p>
    <w:p w14:paraId="0CE68EBF" w14:textId="77777777" w:rsidR="00676ACD" w:rsidRPr="00E72B1E" w:rsidRDefault="00676ACD" w:rsidP="00676ACD">
      <w:pPr>
        <w:pStyle w:val="DVABulletnoparaspace"/>
        <w:ind w:left="709"/>
      </w:pPr>
      <w:r w:rsidRPr="00E72B1E">
        <w:t>PubMed (using the PubMed Advanced Search Builder and MeSH terms where relevant)</w:t>
      </w:r>
    </w:p>
    <w:p w14:paraId="03FEEA37" w14:textId="77777777" w:rsidR="00676ACD" w:rsidRPr="00E72B1E" w:rsidRDefault="00676ACD" w:rsidP="00676ACD">
      <w:pPr>
        <w:pStyle w:val="DVABulletnoparaspace"/>
        <w:ind w:left="709"/>
      </w:pPr>
      <w:r w:rsidRPr="00E72B1E">
        <w:t>CINAHL (using CINAHL subject headings where relevant)</w:t>
      </w:r>
    </w:p>
    <w:p w14:paraId="656BF5A1" w14:textId="77777777" w:rsidR="00676ACD" w:rsidRPr="00E72B1E" w:rsidRDefault="00676ACD" w:rsidP="00676ACD">
      <w:pPr>
        <w:pStyle w:val="DVABulletnoparaspace"/>
        <w:ind w:left="709"/>
      </w:pPr>
      <w:r w:rsidRPr="00E72B1E">
        <w:t>Google Scholar (using the Advanced Search function).</w:t>
      </w:r>
    </w:p>
    <w:p w14:paraId="79BAFD6C" w14:textId="77777777" w:rsidR="00676ACD" w:rsidRDefault="00676ACD" w:rsidP="00676ACD">
      <w:pPr>
        <w:pStyle w:val="DVABulletnoparaspace"/>
        <w:numPr>
          <w:ilvl w:val="0"/>
          <w:numId w:val="0"/>
        </w:numPr>
        <w:ind w:left="709"/>
      </w:pPr>
    </w:p>
    <w:p w14:paraId="15991392" w14:textId="1E91A56C" w:rsidR="00676ACD" w:rsidRPr="00E72B1E" w:rsidRDefault="00676ACD" w:rsidP="00676ACD">
      <w:pPr>
        <w:keepNext/>
        <w:spacing w:after="60"/>
        <w:rPr>
          <w:rFonts w:cstheme="minorHAnsi"/>
          <w:b/>
          <w:color w:val="747480"/>
          <w:sz w:val="16"/>
          <w:szCs w:val="16"/>
        </w:rPr>
      </w:pPr>
      <w:bookmarkStart w:id="62" w:name="_Ref104814749"/>
      <w:r w:rsidRPr="00E72B1E">
        <w:rPr>
          <w:rFonts w:cstheme="minorHAnsi"/>
          <w:b/>
          <w:color w:val="747480"/>
          <w:sz w:val="16"/>
          <w:szCs w:val="16"/>
        </w:rPr>
        <w:t xml:space="preserve">Table </w:t>
      </w:r>
      <w:r w:rsidRPr="00E72B1E">
        <w:rPr>
          <w:rFonts w:cstheme="minorHAnsi"/>
          <w:b/>
          <w:color w:val="747480"/>
          <w:sz w:val="16"/>
          <w:szCs w:val="16"/>
        </w:rPr>
        <w:fldChar w:fldCharType="begin"/>
      </w:r>
      <w:r w:rsidRPr="00E72B1E">
        <w:rPr>
          <w:rFonts w:cstheme="minorHAnsi"/>
          <w:b/>
          <w:color w:val="747480"/>
          <w:sz w:val="16"/>
          <w:szCs w:val="16"/>
        </w:rPr>
        <w:instrText xml:space="preserve"> SEQ Table \* ARABIC </w:instrText>
      </w:r>
      <w:r w:rsidRPr="00E72B1E">
        <w:rPr>
          <w:rFonts w:cstheme="minorHAnsi"/>
          <w:b/>
          <w:color w:val="747480"/>
          <w:sz w:val="16"/>
          <w:szCs w:val="16"/>
        </w:rPr>
        <w:fldChar w:fldCharType="separate"/>
      </w:r>
      <w:r w:rsidR="00812188">
        <w:rPr>
          <w:rFonts w:cstheme="minorHAnsi"/>
          <w:b/>
          <w:noProof/>
          <w:color w:val="747480"/>
          <w:sz w:val="16"/>
          <w:szCs w:val="16"/>
        </w:rPr>
        <w:t>1</w:t>
      </w:r>
      <w:r w:rsidRPr="00E72B1E">
        <w:rPr>
          <w:rFonts w:cstheme="minorHAnsi"/>
          <w:b/>
          <w:color w:val="747480"/>
          <w:sz w:val="16"/>
          <w:szCs w:val="16"/>
        </w:rPr>
        <w:fldChar w:fldCharType="end"/>
      </w:r>
      <w:bookmarkEnd w:id="62"/>
      <w:r w:rsidRPr="00E72B1E">
        <w:rPr>
          <w:rFonts w:cstheme="minorHAnsi"/>
          <w:b/>
          <w:color w:val="747480"/>
          <w:sz w:val="16"/>
          <w:szCs w:val="16"/>
        </w:rPr>
        <w:t>. Primary, Secondary and Tertiary</w:t>
      </w:r>
      <w:r>
        <w:rPr>
          <w:rFonts w:cstheme="minorHAnsi"/>
          <w:b/>
          <w:color w:val="747480"/>
          <w:sz w:val="16"/>
          <w:szCs w:val="16"/>
        </w:rPr>
        <w:t>*</w:t>
      </w:r>
      <w:r w:rsidRPr="00E72B1E">
        <w:rPr>
          <w:rFonts w:cstheme="minorHAnsi"/>
          <w:b/>
          <w:color w:val="747480"/>
          <w:sz w:val="16"/>
          <w:szCs w:val="16"/>
        </w:rPr>
        <w:t xml:space="preserve"> search terms, mapped against Key Review Questions</w:t>
      </w:r>
    </w:p>
    <w:tbl>
      <w:tblPr>
        <w:tblStyle w:val="TableGrid"/>
        <w:tblW w:w="9022" w:type="dxa"/>
        <w:tblLook w:val="04A0" w:firstRow="1" w:lastRow="0" w:firstColumn="1" w:lastColumn="0" w:noHBand="0" w:noVBand="1"/>
      </w:tblPr>
      <w:tblGrid>
        <w:gridCol w:w="1124"/>
        <w:gridCol w:w="1496"/>
        <w:gridCol w:w="3556"/>
        <w:gridCol w:w="568"/>
        <w:gridCol w:w="568"/>
        <w:gridCol w:w="568"/>
        <w:gridCol w:w="568"/>
        <w:gridCol w:w="574"/>
      </w:tblGrid>
      <w:tr w:rsidR="00676ACD" w:rsidRPr="00082568" w14:paraId="01748684" w14:textId="77777777" w:rsidTr="007B5579">
        <w:trPr>
          <w:trHeight w:val="290"/>
          <w:tblHeader/>
        </w:trPr>
        <w:tc>
          <w:tcPr>
            <w:tcW w:w="1124" w:type="dxa"/>
            <w:vMerge w:val="restart"/>
            <w:tcBorders>
              <w:top w:val="single" w:sz="4" w:space="0" w:color="auto"/>
              <w:left w:val="single" w:sz="4" w:space="0" w:color="auto"/>
              <w:right w:val="single" w:sz="4" w:space="0" w:color="auto"/>
            </w:tcBorders>
            <w:shd w:val="clear" w:color="auto" w:fill="1D3567"/>
          </w:tcPr>
          <w:p w14:paraId="2C907AEB" w14:textId="77777777" w:rsidR="00676ACD" w:rsidRPr="00082568" w:rsidRDefault="00676ACD" w:rsidP="007B5579">
            <w:pPr>
              <w:rPr>
                <w:rFonts w:cstheme="minorHAnsi"/>
                <w:b/>
                <w:sz w:val="16"/>
                <w:szCs w:val="16"/>
              </w:rPr>
            </w:pPr>
            <w:bookmarkStart w:id="63" w:name="_Hlk104200635"/>
            <w:r w:rsidRPr="00082568">
              <w:rPr>
                <w:rFonts w:cstheme="minorHAnsi"/>
                <w:b/>
                <w:sz w:val="16"/>
                <w:szCs w:val="16"/>
              </w:rPr>
              <w:t>Primary search term</w:t>
            </w:r>
          </w:p>
        </w:tc>
        <w:tc>
          <w:tcPr>
            <w:tcW w:w="1496" w:type="dxa"/>
            <w:vMerge w:val="restart"/>
            <w:tcBorders>
              <w:top w:val="single" w:sz="4" w:space="0" w:color="auto"/>
              <w:left w:val="single" w:sz="4" w:space="0" w:color="auto"/>
              <w:right w:val="single" w:sz="4" w:space="0" w:color="auto"/>
            </w:tcBorders>
            <w:shd w:val="clear" w:color="auto" w:fill="1D3567"/>
          </w:tcPr>
          <w:p w14:paraId="3DC849A9" w14:textId="77777777" w:rsidR="00676ACD" w:rsidRPr="00082568" w:rsidRDefault="00676ACD" w:rsidP="007B5579">
            <w:pPr>
              <w:rPr>
                <w:rFonts w:cstheme="minorHAnsi"/>
                <w:b/>
                <w:sz w:val="16"/>
                <w:szCs w:val="16"/>
              </w:rPr>
            </w:pPr>
            <w:r w:rsidRPr="00082568">
              <w:rPr>
                <w:rFonts w:cstheme="minorHAnsi"/>
                <w:b/>
                <w:sz w:val="16"/>
                <w:szCs w:val="16"/>
              </w:rPr>
              <w:t>Secondary search terms</w:t>
            </w:r>
          </w:p>
        </w:tc>
        <w:tc>
          <w:tcPr>
            <w:tcW w:w="3556" w:type="dxa"/>
            <w:vMerge w:val="restart"/>
            <w:tcBorders>
              <w:top w:val="single" w:sz="4" w:space="0" w:color="auto"/>
              <w:left w:val="single" w:sz="4" w:space="0" w:color="auto"/>
              <w:right w:val="single" w:sz="4" w:space="0" w:color="auto"/>
            </w:tcBorders>
            <w:shd w:val="clear" w:color="auto" w:fill="1D3567"/>
          </w:tcPr>
          <w:p w14:paraId="47BEAC64" w14:textId="77777777" w:rsidR="00676ACD" w:rsidRPr="00082568" w:rsidRDefault="00676ACD" w:rsidP="007B5579">
            <w:pPr>
              <w:rPr>
                <w:rFonts w:cstheme="minorHAnsi"/>
                <w:b/>
                <w:sz w:val="16"/>
                <w:szCs w:val="16"/>
              </w:rPr>
            </w:pPr>
            <w:r w:rsidRPr="00082568">
              <w:rPr>
                <w:rFonts w:cstheme="minorHAnsi"/>
                <w:b/>
                <w:sz w:val="16"/>
                <w:szCs w:val="16"/>
              </w:rPr>
              <w:t>Tertiary search terms</w:t>
            </w:r>
          </w:p>
        </w:tc>
        <w:tc>
          <w:tcPr>
            <w:tcW w:w="2846" w:type="dxa"/>
            <w:gridSpan w:val="5"/>
            <w:tcBorders>
              <w:top w:val="single" w:sz="4" w:space="0" w:color="auto"/>
              <w:left w:val="single" w:sz="4" w:space="0" w:color="auto"/>
              <w:bottom w:val="single" w:sz="4" w:space="0" w:color="auto"/>
              <w:right w:val="single" w:sz="4" w:space="0" w:color="auto"/>
            </w:tcBorders>
            <w:shd w:val="clear" w:color="auto" w:fill="1D3567"/>
          </w:tcPr>
          <w:p w14:paraId="78E8438E" w14:textId="77777777" w:rsidR="00676ACD" w:rsidRPr="00082568" w:rsidRDefault="00676ACD" w:rsidP="007B5579">
            <w:pPr>
              <w:jc w:val="center"/>
              <w:rPr>
                <w:rFonts w:cstheme="minorHAnsi"/>
                <w:b/>
                <w:sz w:val="16"/>
                <w:szCs w:val="16"/>
              </w:rPr>
            </w:pPr>
            <w:r w:rsidRPr="00082568">
              <w:rPr>
                <w:rFonts w:cstheme="minorHAnsi"/>
                <w:b/>
                <w:sz w:val="16"/>
                <w:szCs w:val="16"/>
              </w:rPr>
              <w:t>Evaluation Question</w:t>
            </w:r>
          </w:p>
        </w:tc>
      </w:tr>
      <w:tr w:rsidR="00676ACD" w:rsidRPr="00082568" w14:paraId="0F95C3C5" w14:textId="77777777" w:rsidTr="007B5579">
        <w:trPr>
          <w:trHeight w:val="282"/>
          <w:tblHeader/>
        </w:trPr>
        <w:tc>
          <w:tcPr>
            <w:tcW w:w="1124" w:type="dxa"/>
            <w:vMerge/>
            <w:tcBorders>
              <w:left w:val="single" w:sz="4" w:space="0" w:color="auto"/>
              <w:bottom w:val="single" w:sz="4" w:space="0" w:color="auto"/>
              <w:right w:val="single" w:sz="4" w:space="0" w:color="auto"/>
            </w:tcBorders>
            <w:shd w:val="clear" w:color="auto" w:fill="1D3567"/>
            <w:hideMark/>
          </w:tcPr>
          <w:p w14:paraId="6E592707" w14:textId="77777777" w:rsidR="00676ACD" w:rsidRPr="00082568" w:rsidRDefault="00676ACD" w:rsidP="007B5579">
            <w:pPr>
              <w:rPr>
                <w:rFonts w:cstheme="minorHAnsi"/>
                <w:b/>
                <w:sz w:val="16"/>
                <w:szCs w:val="16"/>
              </w:rPr>
            </w:pPr>
          </w:p>
        </w:tc>
        <w:tc>
          <w:tcPr>
            <w:tcW w:w="1496" w:type="dxa"/>
            <w:vMerge/>
            <w:tcBorders>
              <w:left w:val="single" w:sz="4" w:space="0" w:color="auto"/>
              <w:bottom w:val="single" w:sz="4" w:space="0" w:color="auto"/>
              <w:right w:val="single" w:sz="4" w:space="0" w:color="auto"/>
            </w:tcBorders>
            <w:shd w:val="clear" w:color="auto" w:fill="1D3567"/>
            <w:hideMark/>
          </w:tcPr>
          <w:p w14:paraId="6D3B36C5" w14:textId="77777777" w:rsidR="00676ACD" w:rsidRPr="00082568" w:rsidRDefault="00676ACD" w:rsidP="007B5579">
            <w:pPr>
              <w:rPr>
                <w:rFonts w:cstheme="minorHAnsi"/>
                <w:b/>
                <w:sz w:val="16"/>
                <w:szCs w:val="16"/>
              </w:rPr>
            </w:pPr>
          </w:p>
        </w:tc>
        <w:tc>
          <w:tcPr>
            <w:tcW w:w="3556" w:type="dxa"/>
            <w:vMerge/>
            <w:tcBorders>
              <w:left w:val="single" w:sz="4" w:space="0" w:color="auto"/>
              <w:bottom w:val="single" w:sz="4" w:space="0" w:color="auto"/>
              <w:right w:val="single" w:sz="4" w:space="0" w:color="auto"/>
            </w:tcBorders>
            <w:shd w:val="clear" w:color="auto" w:fill="1D3567"/>
            <w:hideMark/>
          </w:tcPr>
          <w:p w14:paraId="13B11948" w14:textId="77777777" w:rsidR="00676ACD" w:rsidRPr="00082568" w:rsidRDefault="00676ACD" w:rsidP="007B5579">
            <w:pPr>
              <w:rPr>
                <w:rFonts w:cstheme="minorHAnsi"/>
                <w:b/>
                <w:sz w:val="16"/>
                <w:szCs w:val="16"/>
              </w:rPr>
            </w:pPr>
          </w:p>
        </w:tc>
        <w:tc>
          <w:tcPr>
            <w:tcW w:w="568" w:type="dxa"/>
            <w:tcBorders>
              <w:top w:val="single" w:sz="4" w:space="0" w:color="auto"/>
              <w:left w:val="single" w:sz="4" w:space="0" w:color="auto"/>
              <w:bottom w:val="single" w:sz="4" w:space="0" w:color="auto"/>
              <w:right w:val="single" w:sz="4" w:space="0" w:color="auto"/>
            </w:tcBorders>
            <w:shd w:val="clear" w:color="auto" w:fill="1D3567"/>
          </w:tcPr>
          <w:p w14:paraId="0C23A06C" w14:textId="77777777" w:rsidR="00676ACD" w:rsidRPr="00082568" w:rsidRDefault="00676ACD" w:rsidP="007B5579">
            <w:pPr>
              <w:jc w:val="center"/>
              <w:rPr>
                <w:rFonts w:cstheme="minorHAnsi"/>
                <w:b/>
                <w:sz w:val="16"/>
                <w:szCs w:val="16"/>
              </w:rPr>
            </w:pPr>
            <w:r w:rsidRPr="00082568">
              <w:rPr>
                <w:rFonts w:cstheme="minorHAnsi"/>
                <w:b/>
                <w:sz w:val="16"/>
                <w:szCs w:val="16"/>
              </w:rPr>
              <w:t>Q1</w:t>
            </w:r>
          </w:p>
        </w:tc>
        <w:tc>
          <w:tcPr>
            <w:tcW w:w="568" w:type="dxa"/>
            <w:tcBorders>
              <w:top w:val="single" w:sz="4" w:space="0" w:color="auto"/>
              <w:left w:val="single" w:sz="4" w:space="0" w:color="auto"/>
              <w:bottom w:val="single" w:sz="4" w:space="0" w:color="auto"/>
              <w:right w:val="single" w:sz="4" w:space="0" w:color="auto"/>
            </w:tcBorders>
            <w:shd w:val="clear" w:color="auto" w:fill="1D3567"/>
          </w:tcPr>
          <w:p w14:paraId="4DCE0ABA" w14:textId="77777777" w:rsidR="00676ACD" w:rsidRPr="00082568" w:rsidRDefault="00676ACD" w:rsidP="007B5579">
            <w:pPr>
              <w:jc w:val="center"/>
              <w:rPr>
                <w:rFonts w:cstheme="minorHAnsi"/>
                <w:b/>
                <w:sz w:val="16"/>
                <w:szCs w:val="16"/>
              </w:rPr>
            </w:pPr>
            <w:r w:rsidRPr="00082568">
              <w:rPr>
                <w:rFonts w:cstheme="minorHAnsi"/>
                <w:b/>
                <w:sz w:val="16"/>
                <w:szCs w:val="16"/>
              </w:rPr>
              <w:t>Q2</w:t>
            </w:r>
          </w:p>
        </w:tc>
        <w:tc>
          <w:tcPr>
            <w:tcW w:w="568" w:type="dxa"/>
            <w:tcBorders>
              <w:top w:val="single" w:sz="4" w:space="0" w:color="auto"/>
              <w:left w:val="single" w:sz="4" w:space="0" w:color="auto"/>
              <w:bottom w:val="single" w:sz="4" w:space="0" w:color="auto"/>
              <w:right w:val="single" w:sz="4" w:space="0" w:color="auto"/>
            </w:tcBorders>
            <w:shd w:val="clear" w:color="auto" w:fill="1D3567"/>
          </w:tcPr>
          <w:p w14:paraId="747E63F3" w14:textId="77777777" w:rsidR="00676ACD" w:rsidRPr="00082568" w:rsidRDefault="00676ACD" w:rsidP="007B5579">
            <w:pPr>
              <w:jc w:val="center"/>
              <w:rPr>
                <w:rFonts w:cstheme="minorHAnsi"/>
                <w:b/>
                <w:sz w:val="16"/>
                <w:szCs w:val="16"/>
              </w:rPr>
            </w:pPr>
            <w:r w:rsidRPr="00082568">
              <w:rPr>
                <w:rFonts w:cstheme="minorHAnsi"/>
                <w:b/>
                <w:sz w:val="16"/>
                <w:szCs w:val="16"/>
              </w:rPr>
              <w:t>Q3</w:t>
            </w:r>
          </w:p>
        </w:tc>
        <w:tc>
          <w:tcPr>
            <w:tcW w:w="568" w:type="dxa"/>
            <w:tcBorders>
              <w:top w:val="single" w:sz="4" w:space="0" w:color="auto"/>
              <w:left w:val="single" w:sz="4" w:space="0" w:color="auto"/>
              <w:bottom w:val="single" w:sz="4" w:space="0" w:color="auto"/>
              <w:right w:val="single" w:sz="4" w:space="0" w:color="auto"/>
            </w:tcBorders>
            <w:shd w:val="clear" w:color="auto" w:fill="1D3567"/>
          </w:tcPr>
          <w:p w14:paraId="2FCD4E13" w14:textId="77777777" w:rsidR="00676ACD" w:rsidRPr="00082568" w:rsidRDefault="00676ACD" w:rsidP="007B5579">
            <w:pPr>
              <w:jc w:val="center"/>
              <w:rPr>
                <w:rFonts w:cstheme="minorHAnsi"/>
                <w:b/>
                <w:sz w:val="16"/>
                <w:szCs w:val="16"/>
              </w:rPr>
            </w:pPr>
            <w:r w:rsidRPr="00082568">
              <w:rPr>
                <w:rFonts w:cstheme="minorHAnsi"/>
                <w:b/>
                <w:sz w:val="16"/>
                <w:szCs w:val="16"/>
              </w:rPr>
              <w:t>Q4</w:t>
            </w:r>
          </w:p>
        </w:tc>
        <w:tc>
          <w:tcPr>
            <w:tcW w:w="574" w:type="dxa"/>
            <w:tcBorders>
              <w:top w:val="single" w:sz="4" w:space="0" w:color="auto"/>
              <w:left w:val="single" w:sz="4" w:space="0" w:color="auto"/>
              <w:bottom w:val="single" w:sz="4" w:space="0" w:color="auto"/>
              <w:right w:val="single" w:sz="4" w:space="0" w:color="auto"/>
            </w:tcBorders>
            <w:shd w:val="clear" w:color="auto" w:fill="1D3567"/>
          </w:tcPr>
          <w:p w14:paraId="7238FED9" w14:textId="77777777" w:rsidR="00676ACD" w:rsidRPr="00082568" w:rsidRDefault="00676ACD" w:rsidP="007B5579">
            <w:pPr>
              <w:jc w:val="center"/>
              <w:rPr>
                <w:rFonts w:cstheme="minorHAnsi"/>
                <w:b/>
                <w:sz w:val="16"/>
                <w:szCs w:val="16"/>
              </w:rPr>
            </w:pPr>
            <w:r w:rsidRPr="00082568">
              <w:rPr>
                <w:rFonts w:cstheme="minorHAnsi"/>
                <w:b/>
                <w:sz w:val="16"/>
                <w:szCs w:val="16"/>
              </w:rPr>
              <w:t>Q5</w:t>
            </w:r>
          </w:p>
        </w:tc>
      </w:tr>
      <w:tr w:rsidR="00676ACD" w:rsidRPr="00082568" w14:paraId="5161B0EB" w14:textId="77777777" w:rsidTr="007B5579">
        <w:trPr>
          <w:trHeight w:val="290"/>
        </w:trPr>
        <w:tc>
          <w:tcPr>
            <w:tcW w:w="1124" w:type="dxa"/>
            <w:vMerge w:val="restart"/>
            <w:tcBorders>
              <w:top w:val="single" w:sz="4" w:space="0" w:color="auto"/>
              <w:left w:val="single" w:sz="4" w:space="0" w:color="auto"/>
              <w:right w:val="single" w:sz="4" w:space="0" w:color="auto"/>
            </w:tcBorders>
            <w:vAlign w:val="center"/>
            <w:hideMark/>
          </w:tcPr>
          <w:p w14:paraId="7F8416A2" w14:textId="77777777" w:rsidR="00676ACD" w:rsidRPr="00082568" w:rsidRDefault="00676ACD" w:rsidP="007B5579">
            <w:pPr>
              <w:rPr>
                <w:rFonts w:cstheme="minorHAnsi"/>
                <w:sz w:val="16"/>
                <w:szCs w:val="16"/>
              </w:rPr>
            </w:pPr>
            <w:r w:rsidRPr="00082568">
              <w:rPr>
                <w:rFonts w:cstheme="minorHAnsi"/>
                <w:sz w:val="16"/>
                <w:szCs w:val="16"/>
              </w:rPr>
              <w:t>Program Evaluation</w:t>
            </w:r>
          </w:p>
        </w:tc>
        <w:tc>
          <w:tcPr>
            <w:tcW w:w="1496" w:type="dxa"/>
            <w:vMerge w:val="restart"/>
            <w:tcBorders>
              <w:top w:val="single" w:sz="4" w:space="0" w:color="auto"/>
              <w:left w:val="single" w:sz="4" w:space="0" w:color="auto"/>
              <w:right w:val="single" w:sz="4" w:space="0" w:color="auto"/>
            </w:tcBorders>
            <w:vAlign w:val="center"/>
            <w:hideMark/>
          </w:tcPr>
          <w:p w14:paraId="09653C4A" w14:textId="77777777" w:rsidR="00676ACD" w:rsidRPr="00082568" w:rsidRDefault="00676ACD" w:rsidP="00676ACD">
            <w:pPr>
              <w:numPr>
                <w:ilvl w:val="0"/>
                <w:numId w:val="21"/>
              </w:numPr>
              <w:contextualSpacing/>
              <w:rPr>
                <w:rFonts w:cstheme="minorHAnsi"/>
                <w:sz w:val="16"/>
                <w:szCs w:val="16"/>
                <w:lang w:eastAsia="en-AU"/>
              </w:rPr>
            </w:pPr>
            <w:r w:rsidRPr="00082568">
              <w:rPr>
                <w:rFonts w:cstheme="minorHAnsi"/>
                <w:sz w:val="16"/>
                <w:szCs w:val="16"/>
                <w:lang w:eastAsia="en-AU"/>
              </w:rPr>
              <w:t>Health, healthcare, wellbeing</w:t>
            </w:r>
          </w:p>
          <w:p w14:paraId="0BC6AB0B" w14:textId="77777777" w:rsidR="00676ACD" w:rsidRPr="00082568" w:rsidRDefault="00676ACD" w:rsidP="00676ACD">
            <w:pPr>
              <w:numPr>
                <w:ilvl w:val="0"/>
                <w:numId w:val="21"/>
              </w:numPr>
              <w:contextualSpacing/>
              <w:rPr>
                <w:rFonts w:cstheme="minorHAnsi"/>
                <w:sz w:val="16"/>
                <w:szCs w:val="16"/>
                <w:lang w:eastAsia="en-AU"/>
              </w:rPr>
            </w:pPr>
            <w:r w:rsidRPr="00082568">
              <w:rPr>
                <w:rFonts w:cstheme="minorHAnsi"/>
                <w:sz w:val="16"/>
                <w:szCs w:val="16"/>
                <w:lang w:eastAsia="en-AU"/>
              </w:rPr>
              <w:t>DVA, rehabilitation, veterans, defence</w:t>
            </w:r>
          </w:p>
          <w:p w14:paraId="5F9C7566" w14:textId="77777777" w:rsidR="00676ACD" w:rsidRPr="00082568" w:rsidRDefault="00676ACD" w:rsidP="007B5579">
            <w:pPr>
              <w:ind w:left="-42"/>
              <w:rPr>
                <w:rFonts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hideMark/>
          </w:tcPr>
          <w:p w14:paraId="1050B0EF" w14:textId="77777777" w:rsidR="00676ACD" w:rsidRPr="00082568" w:rsidRDefault="00676ACD" w:rsidP="007B5579">
            <w:pPr>
              <w:rPr>
                <w:rFonts w:cstheme="minorHAnsi"/>
                <w:sz w:val="16"/>
                <w:szCs w:val="16"/>
              </w:rPr>
            </w:pPr>
            <w:r w:rsidRPr="00082568">
              <w:rPr>
                <w:rFonts w:cstheme="minorHAnsi"/>
                <w:sz w:val="16"/>
                <w:szCs w:val="16"/>
              </w:rPr>
              <w:t xml:space="preserve">Methods, approaches, guidelines </w:t>
            </w:r>
          </w:p>
        </w:tc>
        <w:tc>
          <w:tcPr>
            <w:tcW w:w="568" w:type="dxa"/>
            <w:tcBorders>
              <w:top w:val="single" w:sz="4" w:space="0" w:color="auto"/>
              <w:left w:val="single" w:sz="4" w:space="0" w:color="auto"/>
              <w:bottom w:val="single" w:sz="4" w:space="0" w:color="auto"/>
              <w:right w:val="single" w:sz="4" w:space="0" w:color="auto"/>
            </w:tcBorders>
            <w:vAlign w:val="center"/>
          </w:tcPr>
          <w:p w14:paraId="02A0835D"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62DC45A6"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3768DA5B"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4C8DB8DD" w14:textId="77777777" w:rsidR="00676ACD" w:rsidRPr="00082568" w:rsidRDefault="00676ACD" w:rsidP="007B5579">
            <w:pPr>
              <w:jc w:val="center"/>
              <w:rPr>
                <w:rFonts w:cstheme="minorHAnsi"/>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14:paraId="73F9CE06"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bookmarkEnd w:id="63"/>
      <w:tr w:rsidR="00676ACD" w:rsidRPr="00082568" w14:paraId="31301A09" w14:textId="77777777" w:rsidTr="007B5579">
        <w:trPr>
          <w:trHeight w:val="404"/>
        </w:trPr>
        <w:tc>
          <w:tcPr>
            <w:tcW w:w="1124" w:type="dxa"/>
            <w:vMerge/>
            <w:tcBorders>
              <w:left w:val="single" w:sz="4" w:space="0" w:color="auto"/>
              <w:right w:val="single" w:sz="4" w:space="0" w:color="auto"/>
            </w:tcBorders>
            <w:vAlign w:val="center"/>
            <w:hideMark/>
          </w:tcPr>
          <w:p w14:paraId="2BCD0136" w14:textId="77777777" w:rsidR="00676ACD" w:rsidRPr="00082568" w:rsidRDefault="00676ACD" w:rsidP="007B5579">
            <w:pPr>
              <w:rPr>
                <w:rFonts w:eastAsiaTheme="minorEastAsia" w:cstheme="minorHAnsi"/>
                <w:sz w:val="16"/>
                <w:szCs w:val="16"/>
              </w:rPr>
            </w:pPr>
          </w:p>
        </w:tc>
        <w:tc>
          <w:tcPr>
            <w:tcW w:w="1496" w:type="dxa"/>
            <w:vMerge/>
            <w:tcBorders>
              <w:left w:val="single" w:sz="4" w:space="0" w:color="auto"/>
              <w:right w:val="single" w:sz="4" w:space="0" w:color="auto"/>
            </w:tcBorders>
            <w:vAlign w:val="center"/>
            <w:hideMark/>
          </w:tcPr>
          <w:p w14:paraId="72B44649" w14:textId="77777777" w:rsidR="00676ACD" w:rsidRPr="00082568" w:rsidRDefault="00676ACD" w:rsidP="007B5579">
            <w:pPr>
              <w:rPr>
                <w:rFonts w:eastAsiaTheme="minorEastAsia"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hideMark/>
          </w:tcPr>
          <w:p w14:paraId="08F95E47" w14:textId="77777777" w:rsidR="00676ACD" w:rsidRPr="00082568" w:rsidRDefault="00676ACD" w:rsidP="007B5579">
            <w:pPr>
              <w:rPr>
                <w:rFonts w:cstheme="minorHAnsi"/>
                <w:sz w:val="16"/>
                <w:szCs w:val="16"/>
              </w:rPr>
            </w:pPr>
            <w:r w:rsidRPr="00082568">
              <w:rPr>
                <w:rFonts w:cstheme="minorHAnsi"/>
                <w:sz w:val="16"/>
                <w:szCs w:val="16"/>
              </w:rPr>
              <w:t>Developmental, process, formative, outcomes, summative, impact</w:t>
            </w:r>
          </w:p>
        </w:tc>
        <w:tc>
          <w:tcPr>
            <w:tcW w:w="568" w:type="dxa"/>
            <w:tcBorders>
              <w:top w:val="single" w:sz="4" w:space="0" w:color="auto"/>
              <w:left w:val="single" w:sz="4" w:space="0" w:color="auto"/>
              <w:bottom w:val="single" w:sz="4" w:space="0" w:color="auto"/>
              <w:right w:val="single" w:sz="4" w:space="0" w:color="auto"/>
            </w:tcBorders>
            <w:vAlign w:val="center"/>
          </w:tcPr>
          <w:p w14:paraId="61A271BA"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2FF1E5A8"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6E0425E3"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302E56B9" w14:textId="77777777" w:rsidR="00676ACD" w:rsidRPr="00082568" w:rsidRDefault="00676ACD" w:rsidP="007B5579">
            <w:pPr>
              <w:jc w:val="center"/>
              <w:rPr>
                <w:rFonts w:cstheme="minorHAnsi"/>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14:paraId="7CC1C85A"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tr w:rsidR="00676ACD" w:rsidRPr="00082568" w14:paraId="2225E3A5" w14:textId="77777777" w:rsidTr="007B5579">
        <w:trPr>
          <w:trHeight w:val="139"/>
        </w:trPr>
        <w:tc>
          <w:tcPr>
            <w:tcW w:w="1124" w:type="dxa"/>
            <w:vMerge/>
            <w:tcBorders>
              <w:left w:val="single" w:sz="4" w:space="0" w:color="auto"/>
              <w:right w:val="single" w:sz="4" w:space="0" w:color="auto"/>
            </w:tcBorders>
            <w:vAlign w:val="center"/>
            <w:hideMark/>
          </w:tcPr>
          <w:p w14:paraId="1D639022" w14:textId="77777777" w:rsidR="00676ACD" w:rsidRPr="00082568" w:rsidRDefault="00676ACD" w:rsidP="007B5579">
            <w:pPr>
              <w:rPr>
                <w:rFonts w:eastAsiaTheme="minorEastAsia" w:cstheme="minorHAnsi"/>
                <w:sz w:val="16"/>
                <w:szCs w:val="16"/>
              </w:rPr>
            </w:pPr>
          </w:p>
        </w:tc>
        <w:tc>
          <w:tcPr>
            <w:tcW w:w="1496" w:type="dxa"/>
            <w:vMerge/>
            <w:tcBorders>
              <w:left w:val="single" w:sz="4" w:space="0" w:color="auto"/>
              <w:right w:val="single" w:sz="4" w:space="0" w:color="auto"/>
            </w:tcBorders>
            <w:vAlign w:val="center"/>
            <w:hideMark/>
          </w:tcPr>
          <w:p w14:paraId="0F9D190F" w14:textId="77777777" w:rsidR="00676ACD" w:rsidRPr="00082568" w:rsidRDefault="00676ACD" w:rsidP="007B5579">
            <w:pPr>
              <w:rPr>
                <w:rFonts w:eastAsiaTheme="minorEastAsia"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hideMark/>
          </w:tcPr>
          <w:p w14:paraId="18D70A7A" w14:textId="77777777" w:rsidR="00676ACD" w:rsidRPr="00082568" w:rsidRDefault="00676ACD" w:rsidP="007B5579">
            <w:pPr>
              <w:rPr>
                <w:rFonts w:cstheme="minorHAnsi"/>
                <w:sz w:val="16"/>
                <w:szCs w:val="16"/>
              </w:rPr>
            </w:pPr>
            <w:r w:rsidRPr="00082568">
              <w:rPr>
                <w:rFonts w:cstheme="minorHAnsi"/>
                <w:sz w:val="16"/>
                <w:szCs w:val="16"/>
              </w:rPr>
              <w:t>Cost Benefit Analysis, Return on Investment</w:t>
            </w:r>
          </w:p>
        </w:tc>
        <w:tc>
          <w:tcPr>
            <w:tcW w:w="568" w:type="dxa"/>
            <w:tcBorders>
              <w:top w:val="single" w:sz="4" w:space="0" w:color="auto"/>
              <w:left w:val="single" w:sz="4" w:space="0" w:color="auto"/>
              <w:bottom w:val="single" w:sz="4" w:space="0" w:color="auto"/>
              <w:right w:val="single" w:sz="4" w:space="0" w:color="auto"/>
            </w:tcBorders>
            <w:vAlign w:val="center"/>
          </w:tcPr>
          <w:p w14:paraId="0CB99C60"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47B0CF3D"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650B321F"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798EBCBB"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74" w:type="dxa"/>
            <w:tcBorders>
              <w:top w:val="single" w:sz="4" w:space="0" w:color="auto"/>
              <w:left w:val="single" w:sz="4" w:space="0" w:color="auto"/>
              <w:bottom w:val="single" w:sz="4" w:space="0" w:color="auto"/>
              <w:right w:val="single" w:sz="4" w:space="0" w:color="auto"/>
            </w:tcBorders>
            <w:vAlign w:val="center"/>
          </w:tcPr>
          <w:p w14:paraId="73EB3A3B"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tr w:rsidR="00676ACD" w:rsidRPr="00082568" w14:paraId="385D7A4E" w14:textId="77777777" w:rsidTr="007B5579">
        <w:trPr>
          <w:trHeight w:val="213"/>
        </w:trPr>
        <w:tc>
          <w:tcPr>
            <w:tcW w:w="1124" w:type="dxa"/>
            <w:vMerge/>
            <w:tcBorders>
              <w:left w:val="single" w:sz="4" w:space="0" w:color="auto"/>
              <w:right w:val="single" w:sz="4" w:space="0" w:color="auto"/>
            </w:tcBorders>
            <w:vAlign w:val="center"/>
            <w:hideMark/>
          </w:tcPr>
          <w:p w14:paraId="229AEE4F" w14:textId="77777777" w:rsidR="00676ACD" w:rsidRPr="00082568" w:rsidRDefault="00676ACD" w:rsidP="007B5579">
            <w:pPr>
              <w:rPr>
                <w:rFonts w:eastAsiaTheme="minorEastAsia" w:cstheme="minorHAnsi"/>
                <w:sz w:val="16"/>
                <w:szCs w:val="16"/>
              </w:rPr>
            </w:pPr>
          </w:p>
        </w:tc>
        <w:tc>
          <w:tcPr>
            <w:tcW w:w="1496" w:type="dxa"/>
            <w:vMerge/>
            <w:tcBorders>
              <w:left w:val="single" w:sz="4" w:space="0" w:color="auto"/>
              <w:right w:val="single" w:sz="4" w:space="0" w:color="auto"/>
            </w:tcBorders>
            <w:vAlign w:val="center"/>
            <w:hideMark/>
          </w:tcPr>
          <w:p w14:paraId="2CB51D79" w14:textId="77777777" w:rsidR="00676ACD" w:rsidRPr="00082568" w:rsidRDefault="00676ACD" w:rsidP="007B5579">
            <w:pPr>
              <w:rPr>
                <w:rFonts w:eastAsiaTheme="minorEastAsia"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hideMark/>
          </w:tcPr>
          <w:p w14:paraId="3B387D74" w14:textId="77777777" w:rsidR="00676ACD" w:rsidRPr="00082568" w:rsidRDefault="00676ACD" w:rsidP="007B5579">
            <w:pPr>
              <w:rPr>
                <w:rFonts w:cstheme="minorHAnsi"/>
                <w:sz w:val="16"/>
                <w:szCs w:val="16"/>
              </w:rPr>
            </w:pPr>
            <w:r w:rsidRPr="00082568">
              <w:rPr>
                <w:rFonts w:cstheme="minorHAnsi"/>
                <w:sz w:val="16"/>
                <w:szCs w:val="16"/>
              </w:rPr>
              <w:t>Implementation, translation, fidelity</w:t>
            </w:r>
          </w:p>
        </w:tc>
        <w:tc>
          <w:tcPr>
            <w:tcW w:w="568" w:type="dxa"/>
            <w:tcBorders>
              <w:top w:val="single" w:sz="4" w:space="0" w:color="auto"/>
              <w:left w:val="single" w:sz="4" w:space="0" w:color="auto"/>
              <w:bottom w:val="single" w:sz="4" w:space="0" w:color="auto"/>
              <w:right w:val="single" w:sz="4" w:space="0" w:color="auto"/>
            </w:tcBorders>
            <w:vAlign w:val="center"/>
          </w:tcPr>
          <w:p w14:paraId="0131A476"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687EE3C2"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66F47FB6"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4CD4668C" w14:textId="77777777" w:rsidR="00676ACD" w:rsidRPr="00082568" w:rsidRDefault="00676ACD" w:rsidP="007B5579">
            <w:pPr>
              <w:jc w:val="center"/>
              <w:rPr>
                <w:rFonts w:cstheme="minorHAnsi"/>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14:paraId="0B6EE540"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tr w:rsidR="00676ACD" w:rsidRPr="00082568" w14:paraId="19454CCC" w14:textId="77777777" w:rsidTr="007B5579">
        <w:trPr>
          <w:trHeight w:val="400"/>
        </w:trPr>
        <w:tc>
          <w:tcPr>
            <w:tcW w:w="1124" w:type="dxa"/>
            <w:vMerge/>
            <w:tcBorders>
              <w:left w:val="single" w:sz="4" w:space="0" w:color="auto"/>
              <w:right w:val="single" w:sz="4" w:space="0" w:color="auto"/>
            </w:tcBorders>
            <w:vAlign w:val="center"/>
            <w:hideMark/>
          </w:tcPr>
          <w:p w14:paraId="7529C2B2" w14:textId="77777777" w:rsidR="00676ACD" w:rsidRPr="00082568" w:rsidRDefault="00676ACD" w:rsidP="007B5579">
            <w:pPr>
              <w:rPr>
                <w:rFonts w:eastAsiaTheme="minorEastAsia" w:cstheme="minorHAnsi"/>
                <w:sz w:val="16"/>
                <w:szCs w:val="16"/>
              </w:rPr>
            </w:pPr>
          </w:p>
        </w:tc>
        <w:tc>
          <w:tcPr>
            <w:tcW w:w="1496" w:type="dxa"/>
            <w:vMerge/>
            <w:tcBorders>
              <w:left w:val="single" w:sz="4" w:space="0" w:color="auto"/>
              <w:right w:val="single" w:sz="4" w:space="0" w:color="auto"/>
            </w:tcBorders>
            <w:vAlign w:val="center"/>
            <w:hideMark/>
          </w:tcPr>
          <w:p w14:paraId="5E1F27FD" w14:textId="77777777" w:rsidR="00676ACD" w:rsidRPr="00082568" w:rsidRDefault="00676ACD" w:rsidP="007B5579">
            <w:pPr>
              <w:rPr>
                <w:rFonts w:eastAsiaTheme="minorEastAsia"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hideMark/>
          </w:tcPr>
          <w:p w14:paraId="6C4E0287" w14:textId="77777777" w:rsidR="00676ACD" w:rsidRPr="00082568" w:rsidRDefault="00676ACD" w:rsidP="007B5579">
            <w:pPr>
              <w:rPr>
                <w:rFonts w:cstheme="minorHAnsi"/>
                <w:sz w:val="16"/>
                <w:szCs w:val="16"/>
              </w:rPr>
            </w:pPr>
            <w:r w:rsidRPr="00082568">
              <w:rPr>
                <w:rFonts w:cstheme="minorHAnsi"/>
                <w:sz w:val="16"/>
                <w:szCs w:val="16"/>
              </w:rPr>
              <w:t>Theoretical frameworks, program theory, program logic, evaluative frameworks, Evaluability</w:t>
            </w:r>
          </w:p>
        </w:tc>
        <w:tc>
          <w:tcPr>
            <w:tcW w:w="568" w:type="dxa"/>
            <w:tcBorders>
              <w:top w:val="single" w:sz="4" w:space="0" w:color="auto"/>
              <w:left w:val="single" w:sz="4" w:space="0" w:color="auto"/>
              <w:bottom w:val="single" w:sz="4" w:space="0" w:color="auto"/>
              <w:right w:val="single" w:sz="4" w:space="0" w:color="auto"/>
            </w:tcBorders>
            <w:vAlign w:val="center"/>
          </w:tcPr>
          <w:p w14:paraId="07C3EB49"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0225F4EA"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05315AA0" w14:textId="77777777" w:rsidR="00676ACD" w:rsidRPr="00082568" w:rsidRDefault="00676ACD" w:rsidP="007B5579">
            <w:pPr>
              <w:jc w:val="center"/>
              <w:rPr>
                <w:rFonts w:cstheme="minorHAnsi"/>
                <w:sz w:val="16"/>
                <w:szCs w:val="16"/>
              </w:rPr>
            </w:pPr>
          </w:p>
        </w:tc>
        <w:tc>
          <w:tcPr>
            <w:tcW w:w="568" w:type="dxa"/>
            <w:tcBorders>
              <w:top w:val="single" w:sz="4" w:space="0" w:color="auto"/>
              <w:left w:val="single" w:sz="4" w:space="0" w:color="auto"/>
              <w:bottom w:val="single" w:sz="4" w:space="0" w:color="auto"/>
              <w:right w:val="single" w:sz="4" w:space="0" w:color="auto"/>
            </w:tcBorders>
            <w:vAlign w:val="center"/>
          </w:tcPr>
          <w:p w14:paraId="516E66A5" w14:textId="77777777" w:rsidR="00676ACD" w:rsidRPr="00082568" w:rsidRDefault="00676ACD" w:rsidP="007B5579">
            <w:pPr>
              <w:jc w:val="center"/>
              <w:rPr>
                <w:rFonts w:cstheme="minorHAnsi"/>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14:paraId="1364B375"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tr w:rsidR="00676ACD" w:rsidRPr="00082568" w14:paraId="7E37B382" w14:textId="77777777" w:rsidTr="007B5579">
        <w:trPr>
          <w:trHeight w:val="151"/>
        </w:trPr>
        <w:tc>
          <w:tcPr>
            <w:tcW w:w="1124" w:type="dxa"/>
            <w:vMerge/>
            <w:tcBorders>
              <w:left w:val="single" w:sz="4" w:space="0" w:color="auto"/>
              <w:bottom w:val="single" w:sz="4" w:space="0" w:color="auto"/>
              <w:right w:val="single" w:sz="4" w:space="0" w:color="auto"/>
            </w:tcBorders>
            <w:vAlign w:val="center"/>
          </w:tcPr>
          <w:p w14:paraId="129FF7EB" w14:textId="77777777" w:rsidR="00676ACD" w:rsidRPr="00082568" w:rsidRDefault="00676ACD" w:rsidP="007B5579">
            <w:pPr>
              <w:rPr>
                <w:rFonts w:eastAsiaTheme="minorEastAsia" w:cstheme="minorHAnsi"/>
                <w:sz w:val="16"/>
                <w:szCs w:val="16"/>
              </w:rPr>
            </w:pPr>
          </w:p>
        </w:tc>
        <w:tc>
          <w:tcPr>
            <w:tcW w:w="1496" w:type="dxa"/>
            <w:vMerge/>
            <w:tcBorders>
              <w:left w:val="single" w:sz="4" w:space="0" w:color="auto"/>
              <w:bottom w:val="single" w:sz="4" w:space="0" w:color="auto"/>
              <w:right w:val="single" w:sz="4" w:space="0" w:color="auto"/>
            </w:tcBorders>
            <w:vAlign w:val="center"/>
          </w:tcPr>
          <w:p w14:paraId="1DF6A2A1" w14:textId="77777777" w:rsidR="00676ACD" w:rsidRPr="00082568" w:rsidRDefault="00676ACD" w:rsidP="007B5579">
            <w:pPr>
              <w:rPr>
                <w:rFonts w:eastAsiaTheme="minorEastAsia" w:cstheme="minorHAnsi"/>
                <w:sz w:val="16"/>
                <w:szCs w:val="16"/>
              </w:rPr>
            </w:pPr>
          </w:p>
        </w:tc>
        <w:tc>
          <w:tcPr>
            <w:tcW w:w="3556" w:type="dxa"/>
            <w:tcBorders>
              <w:top w:val="single" w:sz="4" w:space="0" w:color="auto"/>
              <w:left w:val="single" w:sz="4" w:space="0" w:color="auto"/>
              <w:bottom w:val="single" w:sz="4" w:space="0" w:color="auto"/>
              <w:right w:val="single" w:sz="4" w:space="0" w:color="auto"/>
            </w:tcBorders>
            <w:vAlign w:val="center"/>
          </w:tcPr>
          <w:p w14:paraId="19C9AD11" w14:textId="77777777" w:rsidR="00676ACD" w:rsidRPr="00082568" w:rsidRDefault="00676ACD" w:rsidP="007B5579">
            <w:pPr>
              <w:rPr>
                <w:rFonts w:cstheme="minorHAnsi"/>
                <w:sz w:val="16"/>
                <w:szCs w:val="16"/>
              </w:rPr>
            </w:pPr>
            <w:r w:rsidRPr="00082568">
              <w:rPr>
                <w:rFonts w:cstheme="minorHAnsi"/>
                <w:sz w:val="16"/>
                <w:szCs w:val="16"/>
              </w:rPr>
              <w:t>Australian government, Australia</w:t>
            </w:r>
          </w:p>
        </w:tc>
        <w:tc>
          <w:tcPr>
            <w:tcW w:w="568" w:type="dxa"/>
            <w:tcBorders>
              <w:top w:val="single" w:sz="4" w:space="0" w:color="auto"/>
              <w:left w:val="single" w:sz="4" w:space="0" w:color="auto"/>
              <w:bottom w:val="single" w:sz="4" w:space="0" w:color="auto"/>
              <w:right w:val="single" w:sz="4" w:space="0" w:color="auto"/>
            </w:tcBorders>
            <w:vAlign w:val="center"/>
          </w:tcPr>
          <w:p w14:paraId="69012FF4"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6D99881E"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3607D6FE"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c>
          <w:tcPr>
            <w:tcW w:w="568" w:type="dxa"/>
            <w:tcBorders>
              <w:top w:val="single" w:sz="4" w:space="0" w:color="auto"/>
              <w:left w:val="single" w:sz="4" w:space="0" w:color="auto"/>
              <w:bottom w:val="single" w:sz="4" w:space="0" w:color="auto"/>
              <w:right w:val="single" w:sz="4" w:space="0" w:color="auto"/>
            </w:tcBorders>
            <w:vAlign w:val="center"/>
          </w:tcPr>
          <w:p w14:paraId="65CF9DEC" w14:textId="77777777" w:rsidR="00676ACD" w:rsidRPr="00082568" w:rsidRDefault="00676ACD" w:rsidP="007B5579">
            <w:pPr>
              <w:jc w:val="center"/>
              <w:rPr>
                <w:rFonts w:cstheme="minorHAnsi"/>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tcPr>
          <w:p w14:paraId="68EA43CB" w14:textId="77777777" w:rsidR="00676ACD" w:rsidRPr="00082568" w:rsidRDefault="00676ACD" w:rsidP="007B5579">
            <w:pPr>
              <w:jc w:val="center"/>
              <w:rPr>
                <w:rFonts w:cstheme="minorHAnsi"/>
                <w:sz w:val="16"/>
                <w:szCs w:val="16"/>
              </w:rPr>
            </w:pPr>
            <w:r>
              <w:rPr>
                <w:rFonts w:ascii="Segoe UI Symbol" w:hAnsi="Segoe UI Symbol" w:cs="Segoe UI Symbol"/>
                <w:color w:val="4D5156"/>
                <w:sz w:val="21"/>
                <w:szCs w:val="21"/>
                <w:shd w:val="clear" w:color="auto" w:fill="FFFFFF"/>
              </w:rPr>
              <w:t>🗸</w:t>
            </w:r>
          </w:p>
        </w:tc>
      </w:tr>
    </w:tbl>
    <w:p w14:paraId="39EE9097" w14:textId="77777777" w:rsidR="00676ACD" w:rsidRDefault="00676ACD" w:rsidP="00676ACD">
      <w:pPr>
        <w:pStyle w:val="DVABodytextwithparaspace"/>
        <w:rPr>
          <w:sz w:val="18"/>
          <w:szCs w:val="18"/>
          <w:vertAlign w:val="superscript"/>
        </w:rPr>
      </w:pPr>
      <w:r>
        <w:rPr>
          <w:sz w:val="16"/>
          <w:szCs w:val="16"/>
        </w:rPr>
        <w:t>*</w:t>
      </w:r>
      <w:r w:rsidRPr="004B40B7">
        <w:rPr>
          <w:sz w:val="16"/>
          <w:szCs w:val="16"/>
        </w:rPr>
        <w:t xml:space="preserve">Primary </w:t>
      </w:r>
      <w:r>
        <w:rPr>
          <w:sz w:val="16"/>
          <w:szCs w:val="16"/>
        </w:rPr>
        <w:t xml:space="preserve">and secondary </w:t>
      </w:r>
      <w:r w:rsidRPr="004B40B7">
        <w:rPr>
          <w:sz w:val="16"/>
          <w:szCs w:val="16"/>
        </w:rPr>
        <w:t xml:space="preserve">search terms were used in </w:t>
      </w:r>
      <w:r>
        <w:rPr>
          <w:sz w:val="16"/>
          <w:szCs w:val="16"/>
        </w:rPr>
        <w:t>every search</w:t>
      </w:r>
      <w:r w:rsidRPr="004B40B7">
        <w:rPr>
          <w:sz w:val="16"/>
          <w:szCs w:val="16"/>
        </w:rPr>
        <w:t xml:space="preserve">, with tertiary terms </w:t>
      </w:r>
      <w:r>
        <w:rPr>
          <w:sz w:val="16"/>
          <w:szCs w:val="16"/>
        </w:rPr>
        <w:t>separately added as additional terms</w:t>
      </w:r>
      <w:r w:rsidRPr="004B40B7">
        <w:rPr>
          <w:sz w:val="16"/>
          <w:szCs w:val="16"/>
        </w:rPr>
        <w:t xml:space="preserve"> thereafter</w:t>
      </w:r>
      <w:r w:rsidRPr="002858D8">
        <w:rPr>
          <w:sz w:val="18"/>
          <w:szCs w:val="18"/>
          <w:vertAlign w:val="superscript"/>
        </w:rPr>
        <w:t xml:space="preserve"> </w:t>
      </w:r>
    </w:p>
    <w:p w14:paraId="102DCF32" w14:textId="6A7EBA19" w:rsidR="00676ACD" w:rsidRDefault="00676ACD" w:rsidP="00676ACD">
      <w:pPr>
        <w:pStyle w:val="DVABulletnoparaspace"/>
        <w:numPr>
          <w:ilvl w:val="0"/>
          <w:numId w:val="0"/>
        </w:numPr>
        <w:ind w:left="360" w:hanging="360"/>
      </w:pPr>
    </w:p>
    <w:p w14:paraId="1AB650FD" w14:textId="145A9287" w:rsidR="0003533F" w:rsidRDefault="0003533F" w:rsidP="00676ACD">
      <w:pPr>
        <w:pStyle w:val="DVABulletnoparaspace"/>
        <w:numPr>
          <w:ilvl w:val="0"/>
          <w:numId w:val="0"/>
        </w:numPr>
        <w:ind w:left="360" w:hanging="360"/>
      </w:pPr>
    </w:p>
    <w:p w14:paraId="71B3F4B2" w14:textId="6FE8FA69" w:rsidR="0003533F" w:rsidRDefault="0003533F" w:rsidP="00676ACD">
      <w:pPr>
        <w:pStyle w:val="DVABulletnoparaspace"/>
        <w:numPr>
          <w:ilvl w:val="0"/>
          <w:numId w:val="0"/>
        </w:numPr>
        <w:ind w:left="360" w:hanging="360"/>
      </w:pPr>
    </w:p>
    <w:p w14:paraId="57DB8B6C" w14:textId="1A4B7D33" w:rsidR="0003533F" w:rsidRDefault="0003533F" w:rsidP="00676ACD">
      <w:pPr>
        <w:pStyle w:val="DVABulletnoparaspace"/>
        <w:numPr>
          <w:ilvl w:val="0"/>
          <w:numId w:val="0"/>
        </w:numPr>
        <w:ind w:left="360" w:hanging="360"/>
      </w:pPr>
    </w:p>
    <w:p w14:paraId="5D0ED109" w14:textId="77777777" w:rsidR="0003533F" w:rsidRPr="00E72B1E" w:rsidRDefault="0003533F" w:rsidP="00676ACD">
      <w:pPr>
        <w:pStyle w:val="DVABulletnoparaspace"/>
        <w:numPr>
          <w:ilvl w:val="0"/>
          <w:numId w:val="0"/>
        </w:numPr>
        <w:ind w:left="360" w:hanging="360"/>
      </w:pPr>
    </w:p>
    <w:p w14:paraId="41EB4365" w14:textId="150D1163" w:rsidR="00676ACD" w:rsidRPr="00A40CC0" w:rsidRDefault="00676ACD" w:rsidP="00676ACD">
      <w:pPr>
        <w:pStyle w:val="DVA1Number"/>
      </w:pPr>
      <w:r w:rsidRPr="00A40CC0">
        <w:lastRenderedPageBreak/>
        <w:t xml:space="preserve">The inclusion and exclusion criteria </w:t>
      </w:r>
      <w:r>
        <w:t xml:space="preserve">outlined in </w:t>
      </w:r>
      <w:r>
        <w:fldChar w:fldCharType="begin"/>
      </w:r>
      <w:r>
        <w:instrText xml:space="preserve"> REF _Ref105058330 \h  \* MERGEFORMAT </w:instrText>
      </w:r>
      <w:r>
        <w:fldChar w:fldCharType="separate"/>
      </w:r>
      <w:r w:rsidR="00812188" w:rsidRPr="00812188">
        <w:t>Table 2</w:t>
      </w:r>
      <w:r>
        <w:fldChar w:fldCharType="end"/>
      </w:r>
      <w:r>
        <w:t xml:space="preserve"> </w:t>
      </w:r>
      <w:r w:rsidRPr="00A40CC0">
        <w:t>were applied to search results.</w:t>
      </w:r>
    </w:p>
    <w:p w14:paraId="79854A3C" w14:textId="4319ADE1" w:rsidR="00676ACD" w:rsidRPr="00E72B1E" w:rsidRDefault="00676ACD" w:rsidP="00676ACD">
      <w:pPr>
        <w:keepNext/>
        <w:spacing w:after="60"/>
        <w:rPr>
          <w:rFonts w:cstheme="minorHAnsi"/>
          <w:b/>
          <w:color w:val="747480"/>
          <w:sz w:val="16"/>
          <w:szCs w:val="18"/>
        </w:rPr>
      </w:pPr>
      <w:bookmarkStart w:id="64" w:name="_Ref105058330"/>
      <w:r w:rsidRPr="00E72B1E">
        <w:rPr>
          <w:rFonts w:cstheme="minorHAnsi"/>
          <w:b/>
          <w:color w:val="747480"/>
          <w:sz w:val="16"/>
          <w:szCs w:val="18"/>
        </w:rPr>
        <w:t xml:space="preserve">Table </w:t>
      </w:r>
      <w:r w:rsidRPr="00E72B1E">
        <w:rPr>
          <w:rFonts w:cstheme="minorHAnsi"/>
          <w:b/>
          <w:color w:val="747480"/>
          <w:sz w:val="16"/>
          <w:szCs w:val="18"/>
        </w:rPr>
        <w:fldChar w:fldCharType="begin"/>
      </w:r>
      <w:r w:rsidRPr="00E72B1E">
        <w:rPr>
          <w:rFonts w:cstheme="minorHAnsi"/>
          <w:b/>
          <w:color w:val="747480"/>
          <w:sz w:val="16"/>
          <w:szCs w:val="18"/>
        </w:rPr>
        <w:instrText xml:space="preserve"> SEQ Table \* ARABIC </w:instrText>
      </w:r>
      <w:r w:rsidRPr="00E72B1E">
        <w:rPr>
          <w:rFonts w:cstheme="minorHAnsi"/>
          <w:b/>
          <w:color w:val="747480"/>
          <w:sz w:val="16"/>
          <w:szCs w:val="18"/>
        </w:rPr>
        <w:fldChar w:fldCharType="separate"/>
      </w:r>
      <w:r w:rsidR="00812188">
        <w:rPr>
          <w:rFonts w:cstheme="minorHAnsi"/>
          <w:b/>
          <w:noProof/>
          <w:color w:val="747480"/>
          <w:sz w:val="16"/>
          <w:szCs w:val="18"/>
        </w:rPr>
        <w:t>2</w:t>
      </w:r>
      <w:r w:rsidRPr="00E72B1E">
        <w:rPr>
          <w:rFonts w:cstheme="minorHAnsi"/>
          <w:b/>
          <w:color w:val="747480"/>
          <w:sz w:val="16"/>
          <w:szCs w:val="18"/>
        </w:rPr>
        <w:fldChar w:fldCharType="end"/>
      </w:r>
      <w:bookmarkEnd w:id="64"/>
      <w:r w:rsidRPr="00E72B1E">
        <w:rPr>
          <w:rFonts w:cstheme="minorHAnsi"/>
          <w:b/>
          <w:color w:val="747480"/>
          <w:sz w:val="16"/>
          <w:szCs w:val="18"/>
        </w:rPr>
        <w:t>. Review inclusion and exclusion criteria</w:t>
      </w:r>
    </w:p>
    <w:tbl>
      <w:tblPr>
        <w:tblStyle w:val="TableGrid"/>
        <w:tblW w:w="0" w:type="auto"/>
        <w:tblCellMar>
          <w:top w:w="113" w:type="dxa"/>
          <w:bottom w:w="113" w:type="dxa"/>
        </w:tblCellMar>
        <w:tblLook w:val="04A0" w:firstRow="1" w:lastRow="0" w:firstColumn="1" w:lastColumn="0" w:noHBand="0" w:noVBand="1"/>
      </w:tblPr>
      <w:tblGrid>
        <w:gridCol w:w="4450"/>
        <w:gridCol w:w="4450"/>
      </w:tblGrid>
      <w:tr w:rsidR="00676ACD" w:rsidRPr="00E72B1E" w14:paraId="7F3103DA" w14:textId="77777777" w:rsidTr="007B5579">
        <w:trPr>
          <w:trHeight w:val="162"/>
          <w:tblHeader/>
        </w:trPr>
        <w:tc>
          <w:tcPr>
            <w:tcW w:w="4450" w:type="dxa"/>
            <w:shd w:val="clear" w:color="auto" w:fill="1D3567"/>
          </w:tcPr>
          <w:p w14:paraId="097DEA1E" w14:textId="77777777" w:rsidR="00676ACD" w:rsidRPr="00E72B1E" w:rsidRDefault="00676ACD" w:rsidP="007B5579">
            <w:pPr>
              <w:jc w:val="center"/>
              <w:rPr>
                <w:rFonts w:cstheme="minorHAnsi"/>
                <w:b/>
                <w:sz w:val="16"/>
                <w:szCs w:val="16"/>
                <w:lang w:eastAsia="en-AU"/>
              </w:rPr>
            </w:pPr>
            <w:r w:rsidRPr="00E72B1E">
              <w:rPr>
                <w:rFonts w:cstheme="minorHAnsi"/>
                <w:b/>
                <w:sz w:val="16"/>
                <w:szCs w:val="16"/>
                <w:lang w:eastAsia="en-AU"/>
              </w:rPr>
              <w:t>Inclusion criteria</w:t>
            </w:r>
          </w:p>
        </w:tc>
        <w:tc>
          <w:tcPr>
            <w:tcW w:w="4450" w:type="dxa"/>
            <w:shd w:val="clear" w:color="auto" w:fill="CDCDCD"/>
          </w:tcPr>
          <w:p w14:paraId="3E8B405D" w14:textId="77777777" w:rsidR="00676ACD" w:rsidRPr="00E72B1E" w:rsidRDefault="00676ACD" w:rsidP="007B5579">
            <w:pPr>
              <w:jc w:val="center"/>
              <w:rPr>
                <w:rFonts w:cstheme="minorHAnsi"/>
                <w:b/>
                <w:sz w:val="16"/>
                <w:szCs w:val="16"/>
                <w:lang w:eastAsia="en-AU"/>
              </w:rPr>
            </w:pPr>
            <w:r w:rsidRPr="00E72B1E">
              <w:rPr>
                <w:rFonts w:cstheme="minorHAnsi"/>
                <w:b/>
                <w:sz w:val="16"/>
                <w:szCs w:val="16"/>
                <w:lang w:eastAsia="en-AU"/>
              </w:rPr>
              <w:t>Exclusion criteria</w:t>
            </w:r>
          </w:p>
        </w:tc>
      </w:tr>
      <w:tr w:rsidR="00676ACD" w:rsidRPr="00E72B1E" w14:paraId="0F9D975D" w14:textId="77777777" w:rsidTr="007B5579">
        <w:trPr>
          <w:trHeight w:val="1354"/>
        </w:trPr>
        <w:tc>
          <w:tcPr>
            <w:tcW w:w="4450" w:type="dxa"/>
          </w:tcPr>
          <w:p w14:paraId="166DBAC2" w14:textId="77777777" w:rsidR="00676ACD" w:rsidRPr="00E72B1E" w:rsidRDefault="00676ACD" w:rsidP="00676ACD">
            <w:pPr>
              <w:numPr>
                <w:ilvl w:val="0"/>
                <w:numId w:val="21"/>
              </w:numPr>
              <w:contextualSpacing/>
              <w:rPr>
                <w:rFonts w:cstheme="minorHAnsi"/>
                <w:sz w:val="16"/>
                <w:szCs w:val="16"/>
                <w:lang w:eastAsia="en-AU"/>
              </w:rPr>
            </w:pPr>
            <w:r w:rsidRPr="00E72B1E">
              <w:rPr>
                <w:rFonts w:cstheme="minorHAnsi"/>
                <w:sz w:val="16"/>
                <w:szCs w:val="16"/>
                <w:lang w:eastAsia="en-AU"/>
              </w:rPr>
              <w:t>Systematic reviews OR</w:t>
            </w:r>
            <w:r>
              <w:rPr>
                <w:rFonts w:cstheme="minorHAnsi"/>
                <w:sz w:val="16"/>
                <w:szCs w:val="16"/>
                <w:lang w:eastAsia="en-AU"/>
              </w:rPr>
              <w:t xml:space="preserve"> p</w:t>
            </w:r>
            <w:r w:rsidRPr="00BF34A4">
              <w:rPr>
                <w:rFonts w:cstheme="minorHAnsi"/>
                <w:sz w:val="16"/>
                <w:szCs w:val="16"/>
                <w:lang w:eastAsia="en-AU"/>
              </w:rPr>
              <w:t>rimary</w:t>
            </w:r>
            <w:r w:rsidRPr="00E72B1E">
              <w:rPr>
                <w:rFonts w:cstheme="minorHAnsi"/>
                <w:sz w:val="16"/>
                <w:szCs w:val="16"/>
                <w:lang w:eastAsia="en-AU"/>
              </w:rPr>
              <w:t xml:space="preserve"> research/program evaluations for:</w:t>
            </w:r>
          </w:p>
          <w:p w14:paraId="0AA261FF" w14:textId="77777777" w:rsidR="00676ACD" w:rsidRPr="00E72B1E" w:rsidRDefault="00676ACD" w:rsidP="00676ACD">
            <w:pPr>
              <w:numPr>
                <w:ilvl w:val="0"/>
                <w:numId w:val="21"/>
              </w:numPr>
              <w:ind w:left="731"/>
              <w:contextualSpacing/>
              <w:rPr>
                <w:rFonts w:cstheme="minorHAnsi"/>
                <w:sz w:val="16"/>
                <w:szCs w:val="16"/>
                <w:lang w:eastAsia="en-AU"/>
              </w:rPr>
            </w:pPr>
            <w:r w:rsidRPr="00E72B1E">
              <w:rPr>
                <w:rFonts w:cstheme="minorHAnsi"/>
                <w:sz w:val="16"/>
                <w:szCs w:val="16"/>
                <w:lang w:eastAsia="en-AU"/>
              </w:rPr>
              <w:t>Australian veterans</w:t>
            </w:r>
          </w:p>
          <w:p w14:paraId="12962BFC" w14:textId="77777777" w:rsidR="00676ACD" w:rsidRPr="00E72B1E" w:rsidRDefault="00676ACD" w:rsidP="00676ACD">
            <w:pPr>
              <w:numPr>
                <w:ilvl w:val="0"/>
                <w:numId w:val="21"/>
              </w:numPr>
              <w:ind w:left="731"/>
              <w:contextualSpacing/>
              <w:rPr>
                <w:rFonts w:cstheme="minorHAnsi"/>
                <w:sz w:val="16"/>
                <w:szCs w:val="16"/>
                <w:lang w:eastAsia="en-AU"/>
              </w:rPr>
            </w:pPr>
            <w:r w:rsidRPr="00E72B1E">
              <w:rPr>
                <w:rFonts w:cstheme="minorHAnsi"/>
                <w:sz w:val="16"/>
                <w:szCs w:val="16"/>
                <w:lang w:eastAsia="en-AU"/>
              </w:rPr>
              <w:t>Publicly funded or administered health programs (both state and federal)</w:t>
            </w:r>
          </w:p>
          <w:p w14:paraId="26222CCD" w14:textId="45BD81D7" w:rsidR="00676ACD" w:rsidRPr="00E72B1E" w:rsidRDefault="00676ACD" w:rsidP="00676ACD">
            <w:pPr>
              <w:numPr>
                <w:ilvl w:val="0"/>
                <w:numId w:val="21"/>
              </w:numPr>
              <w:ind w:left="731"/>
              <w:contextualSpacing/>
              <w:rPr>
                <w:rFonts w:cstheme="minorHAnsi"/>
                <w:sz w:val="16"/>
                <w:szCs w:val="16"/>
                <w:lang w:eastAsia="en-AU"/>
              </w:rPr>
            </w:pPr>
            <w:r w:rsidRPr="00E72B1E">
              <w:rPr>
                <w:rFonts w:cstheme="minorHAnsi"/>
                <w:sz w:val="16"/>
                <w:szCs w:val="16"/>
                <w:lang w:eastAsia="en-AU"/>
              </w:rPr>
              <w:t>Health conditions relevant for veterans</w:t>
            </w:r>
          </w:p>
          <w:p w14:paraId="081D8E8A" w14:textId="77777777" w:rsidR="00676ACD" w:rsidRPr="00E72B1E" w:rsidRDefault="00676ACD" w:rsidP="00676ACD">
            <w:pPr>
              <w:numPr>
                <w:ilvl w:val="0"/>
                <w:numId w:val="21"/>
              </w:numPr>
              <w:ind w:left="731"/>
              <w:contextualSpacing/>
              <w:rPr>
                <w:rFonts w:cstheme="minorHAnsi"/>
                <w:sz w:val="16"/>
                <w:szCs w:val="16"/>
                <w:lang w:eastAsia="en-AU"/>
              </w:rPr>
            </w:pPr>
            <w:r w:rsidRPr="00E72B1E">
              <w:rPr>
                <w:rFonts w:cstheme="minorHAnsi"/>
                <w:sz w:val="16"/>
                <w:szCs w:val="16"/>
                <w:lang w:eastAsia="en-AU"/>
              </w:rPr>
              <w:t>Australian data, studies and reports</w:t>
            </w:r>
            <w:r>
              <w:rPr>
                <w:rFonts w:cstheme="minorHAnsi"/>
                <w:sz w:val="16"/>
                <w:szCs w:val="16"/>
                <w:lang w:eastAsia="en-AU"/>
              </w:rPr>
              <w:t>.</w:t>
            </w:r>
          </w:p>
        </w:tc>
        <w:tc>
          <w:tcPr>
            <w:tcW w:w="4450" w:type="dxa"/>
          </w:tcPr>
          <w:p w14:paraId="70F20458" w14:textId="77777777" w:rsidR="00676ACD" w:rsidRPr="00E72B1E" w:rsidRDefault="00676ACD" w:rsidP="00676ACD">
            <w:pPr>
              <w:numPr>
                <w:ilvl w:val="0"/>
                <w:numId w:val="21"/>
              </w:numPr>
              <w:contextualSpacing/>
              <w:rPr>
                <w:rFonts w:cstheme="minorHAnsi"/>
                <w:sz w:val="16"/>
                <w:szCs w:val="16"/>
                <w:lang w:eastAsia="en-AU"/>
              </w:rPr>
            </w:pPr>
            <w:r>
              <w:rPr>
                <w:rFonts w:cstheme="minorHAnsi"/>
                <w:sz w:val="16"/>
                <w:szCs w:val="16"/>
                <w:lang w:eastAsia="en-AU"/>
              </w:rPr>
              <w:t>Published</w:t>
            </w:r>
            <w:r w:rsidRPr="00E72B1E">
              <w:rPr>
                <w:rFonts w:cstheme="minorHAnsi"/>
                <w:sz w:val="16"/>
                <w:szCs w:val="16"/>
                <w:lang w:eastAsia="en-AU"/>
              </w:rPr>
              <w:t xml:space="preserve"> prior to 2015</w:t>
            </w:r>
            <w:r>
              <w:rPr>
                <w:rFonts w:cstheme="minorHAnsi"/>
                <w:sz w:val="16"/>
                <w:szCs w:val="16"/>
                <w:lang w:eastAsia="en-AU"/>
              </w:rPr>
              <w:t>*</w:t>
            </w:r>
          </w:p>
        </w:tc>
      </w:tr>
    </w:tbl>
    <w:p w14:paraId="2BC473C6" w14:textId="77777777" w:rsidR="00676ACD" w:rsidRPr="00380183" w:rsidRDefault="00676ACD" w:rsidP="00676ACD">
      <w:pPr>
        <w:pStyle w:val="DVABodytextwithparaspace"/>
        <w:rPr>
          <w:sz w:val="16"/>
          <w:szCs w:val="16"/>
        </w:rPr>
      </w:pPr>
      <w:r>
        <w:rPr>
          <w:sz w:val="16"/>
          <w:szCs w:val="16"/>
        </w:rPr>
        <w:t>*</w:t>
      </w:r>
      <w:r w:rsidRPr="00380183">
        <w:rPr>
          <w:sz w:val="16"/>
          <w:szCs w:val="16"/>
        </w:rPr>
        <w:t>This time period was extended for the search beyond the ‘typical’ 5-year period to account for the impact of the COVID-19 pandemic, which has skewed the research landscape over the last 2 – 3 years.</w:t>
      </w:r>
    </w:p>
    <w:p w14:paraId="2A9A341E" w14:textId="3D188F8F" w:rsidR="00676ACD" w:rsidRPr="00E72B1E" w:rsidRDefault="00676ACD" w:rsidP="00676ACD">
      <w:pPr>
        <w:pStyle w:val="DVA1Number"/>
      </w:pPr>
      <w:r>
        <w:t>The title and abstract of the results</w:t>
      </w:r>
      <w:r w:rsidRPr="00E72B1E">
        <w:t xml:space="preserve"> were manually filtered to identify health programs that </w:t>
      </w:r>
      <w:r>
        <w:t xml:space="preserve">were similar </w:t>
      </w:r>
      <w:r w:rsidRPr="00E72B1E">
        <w:t>to DVA health programs</w:t>
      </w:r>
      <w:r>
        <w:t>, recognising there were no directly equivalent programs in the Australian landscape</w:t>
      </w:r>
      <w:r w:rsidRPr="00E72B1E">
        <w:t xml:space="preserve">. Health programs were considered </w:t>
      </w:r>
      <w:r>
        <w:t>similar</w:t>
      </w:r>
      <w:r w:rsidRPr="00E72B1E">
        <w:t xml:space="preserve"> if </w:t>
      </w:r>
      <w:r>
        <w:t xml:space="preserve">they </w:t>
      </w:r>
      <w:r w:rsidRPr="00E72B1E">
        <w:t xml:space="preserve">addressed </w:t>
      </w:r>
      <w:r>
        <w:t xml:space="preserve">similar conditions, services or populations served compared with </w:t>
      </w:r>
      <w:r w:rsidRPr="00E72B1E">
        <w:t>existing DVA programs</w:t>
      </w:r>
      <w:r>
        <w:t xml:space="preserve"> (as shown in </w:t>
      </w:r>
      <w:r>
        <w:fldChar w:fldCharType="begin"/>
      </w:r>
      <w:r>
        <w:instrText xml:space="preserve"> REF _Ref104798336 \h </w:instrText>
      </w:r>
      <w:r>
        <w:fldChar w:fldCharType="separate"/>
      </w:r>
      <w:r w:rsidR="00812188">
        <w:t xml:space="preserve">Table </w:t>
      </w:r>
      <w:r w:rsidR="00812188">
        <w:rPr>
          <w:noProof/>
        </w:rPr>
        <w:t>3</w:t>
      </w:r>
      <w:r>
        <w:fldChar w:fldCharType="end"/>
      </w:r>
      <w:r>
        <w:t>) and were included for review. For example, titles and abstracts indicating that the program evaluated related to medicines use or PBS expenditure were considered relevant for DVA Program 2.3 – Veterans’ Pharmaceutical Benefits, and was included for review</w:t>
      </w:r>
      <w:r w:rsidRPr="00E72B1E">
        <w:t>.</w:t>
      </w:r>
    </w:p>
    <w:p w14:paraId="78CE3DC9" w14:textId="5C61CD64" w:rsidR="00676ACD" w:rsidRDefault="00676ACD" w:rsidP="00676ACD">
      <w:pPr>
        <w:pStyle w:val="Caption"/>
      </w:pPr>
      <w:bookmarkStart w:id="65" w:name="_Ref104798336"/>
      <w:r>
        <w:t xml:space="preserve">Table </w:t>
      </w:r>
      <w:r>
        <w:fldChar w:fldCharType="begin"/>
      </w:r>
      <w:r>
        <w:instrText xml:space="preserve"> SEQ Table \* ARABIC </w:instrText>
      </w:r>
      <w:r>
        <w:fldChar w:fldCharType="separate"/>
      </w:r>
      <w:r w:rsidR="00812188">
        <w:rPr>
          <w:noProof/>
        </w:rPr>
        <w:t>3</w:t>
      </w:r>
      <w:r>
        <w:fldChar w:fldCharType="end"/>
      </w:r>
      <w:bookmarkEnd w:id="65"/>
      <w:r>
        <w:t>. Characteristics of health programs selected for inclusion in the literature review, mapped to existing DVA programs</w:t>
      </w:r>
    </w:p>
    <w:tbl>
      <w:tblPr>
        <w:tblStyle w:val="TableGrid"/>
        <w:tblW w:w="0" w:type="auto"/>
        <w:tblLook w:val="04A0" w:firstRow="1" w:lastRow="0" w:firstColumn="1" w:lastColumn="0" w:noHBand="0" w:noVBand="1"/>
      </w:tblPr>
      <w:tblGrid>
        <w:gridCol w:w="3823"/>
        <w:gridCol w:w="5196"/>
      </w:tblGrid>
      <w:tr w:rsidR="00676ACD" w:rsidRPr="00E72B1E" w14:paraId="6B9B7621" w14:textId="77777777" w:rsidTr="007B5579">
        <w:tc>
          <w:tcPr>
            <w:tcW w:w="3823" w:type="dxa"/>
            <w:shd w:val="clear" w:color="auto" w:fill="1D3567"/>
          </w:tcPr>
          <w:p w14:paraId="1B252E86" w14:textId="77777777" w:rsidR="00676ACD" w:rsidRPr="002832FD" w:rsidRDefault="00676ACD" w:rsidP="007B5579">
            <w:pPr>
              <w:pStyle w:val="DVA1Number"/>
              <w:numPr>
                <w:ilvl w:val="0"/>
                <w:numId w:val="0"/>
              </w:numPr>
              <w:rPr>
                <w:sz w:val="16"/>
                <w:szCs w:val="16"/>
              </w:rPr>
            </w:pPr>
            <w:r w:rsidRPr="002832FD">
              <w:rPr>
                <w:rFonts w:asciiTheme="minorHAnsi" w:hAnsiTheme="minorHAnsi" w:cstheme="minorHAnsi"/>
                <w:b/>
                <w:sz w:val="16"/>
                <w:szCs w:val="16"/>
              </w:rPr>
              <w:t>Health program characteristics of literature included in this review e.g. conditions, services or populations served</w:t>
            </w:r>
          </w:p>
        </w:tc>
        <w:tc>
          <w:tcPr>
            <w:tcW w:w="5196" w:type="dxa"/>
            <w:shd w:val="clear" w:color="auto" w:fill="1D3567"/>
          </w:tcPr>
          <w:p w14:paraId="7C7690BC" w14:textId="77777777" w:rsidR="00676ACD" w:rsidRPr="002832FD" w:rsidRDefault="00676ACD" w:rsidP="007B5579">
            <w:pPr>
              <w:pStyle w:val="DVA1Number"/>
              <w:numPr>
                <w:ilvl w:val="0"/>
                <w:numId w:val="0"/>
              </w:numPr>
              <w:rPr>
                <w:sz w:val="16"/>
                <w:szCs w:val="16"/>
              </w:rPr>
            </w:pPr>
            <w:r w:rsidRPr="002832FD">
              <w:rPr>
                <w:rFonts w:asciiTheme="minorHAnsi" w:hAnsiTheme="minorHAnsi" w:cstheme="minorHAnsi"/>
                <w:b/>
                <w:sz w:val="16"/>
                <w:szCs w:val="16"/>
              </w:rPr>
              <w:t>Relevant existing DVA program</w:t>
            </w:r>
            <w:r w:rsidRPr="002832FD">
              <w:rPr>
                <w:sz w:val="16"/>
                <w:szCs w:val="16"/>
              </w:rPr>
              <w:t>*</w:t>
            </w:r>
          </w:p>
        </w:tc>
      </w:tr>
      <w:tr w:rsidR="00676ACD" w:rsidRPr="00E72B1E" w14:paraId="4B33BC84" w14:textId="77777777" w:rsidTr="007B5579">
        <w:trPr>
          <w:trHeight w:val="239"/>
        </w:trPr>
        <w:tc>
          <w:tcPr>
            <w:tcW w:w="3823" w:type="dxa"/>
            <w:vAlign w:val="center"/>
          </w:tcPr>
          <w:p w14:paraId="460FB750"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 xml:space="preserve">Medical services including GP and specialist services </w:t>
            </w:r>
          </w:p>
        </w:tc>
        <w:tc>
          <w:tcPr>
            <w:tcW w:w="5196" w:type="dxa"/>
            <w:vAlign w:val="center"/>
          </w:tcPr>
          <w:p w14:paraId="63F8647B"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sidRPr="00E72B1E">
              <w:rPr>
                <w:rFonts w:asciiTheme="minorHAnsi" w:hAnsiTheme="minorHAnsi" w:cstheme="minorHAnsi"/>
                <w:sz w:val="16"/>
                <w:szCs w:val="16"/>
              </w:rPr>
              <w:t>Program 2.1 – General Medical Consultations &amp; Services</w:t>
            </w:r>
          </w:p>
        </w:tc>
      </w:tr>
      <w:tr w:rsidR="00676ACD" w:rsidRPr="00E72B1E" w14:paraId="6B33C0CC" w14:textId="77777777" w:rsidTr="007B5579">
        <w:trPr>
          <w:trHeight w:val="372"/>
        </w:trPr>
        <w:tc>
          <w:tcPr>
            <w:tcW w:w="3823" w:type="dxa"/>
            <w:vAlign w:val="center"/>
          </w:tcPr>
          <w:p w14:paraId="1AD3FB22"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sidRPr="00E72B1E">
              <w:rPr>
                <w:rFonts w:asciiTheme="minorHAnsi" w:hAnsiTheme="minorHAnsi" w:cstheme="minorHAnsi"/>
                <w:sz w:val="16"/>
                <w:szCs w:val="16"/>
              </w:rPr>
              <w:t>Hospital services, including public, private and day procedures</w:t>
            </w:r>
          </w:p>
        </w:tc>
        <w:tc>
          <w:tcPr>
            <w:tcW w:w="5196" w:type="dxa"/>
            <w:vAlign w:val="center"/>
          </w:tcPr>
          <w:p w14:paraId="5155FF66"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2.2 – Veterans’ Hospital services</w:t>
            </w:r>
          </w:p>
        </w:tc>
      </w:tr>
      <w:tr w:rsidR="00676ACD" w:rsidRPr="00E72B1E" w14:paraId="584A7306" w14:textId="77777777" w:rsidTr="007B5579">
        <w:tc>
          <w:tcPr>
            <w:tcW w:w="3823" w:type="dxa"/>
            <w:vAlign w:val="center"/>
          </w:tcPr>
          <w:p w14:paraId="3B783CA8"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sidRPr="00E72B1E">
              <w:rPr>
                <w:rFonts w:asciiTheme="minorHAnsi" w:hAnsiTheme="minorHAnsi" w:cstheme="minorHAnsi"/>
                <w:sz w:val="16"/>
                <w:szCs w:val="16"/>
              </w:rPr>
              <w:t xml:space="preserve">Medicines use or PBS utilisation </w:t>
            </w:r>
          </w:p>
        </w:tc>
        <w:tc>
          <w:tcPr>
            <w:tcW w:w="5196" w:type="dxa"/>
            <w:vAlign w:val="center"/>
          </w:tcPr>
          <w:p w14:paraId="0EBBDE43"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2.3 – Veterans’ Pharmaceutical Benefits</w:t>
            </w:r>
          </w:p>
        </w:tc>
      </w:tr>
      <w:tr w:rsidR="00676ACD" w:rsidRPr="00E72B1E" w14:paraId="5C630FD8" w14:textId="77777777" w:rsidTr="007B5579">
        <w:tc>
          <w:tcPr>
            <w:tcW w:w="3823" w:type="dxa"/>
            <w:vAlign w:val="center"/>
          </w:tcPr>
          <w:p w14:paraId="3B2BA058"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Community care and support including nursing</w:t>
            </w:r>
          </w:p>
        </w:tc>
        <w:tc>
          <w:tcPr>
            <w:tcW w:w="5196" w:type="dxa"/>
            <w:vAlign w:val="center"/>
          </w:tcPr>
          <w:p w14:paraId="13B330C7"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2.4 – Veterans’ Community care and support</w:t>
            </w:r>
          </w:p>
        </w:tc>
      </w:tr>
      <w:tr w:rsidR="00676ACD" w:rsidRPr="00E72B1E" w14:paraId="3D39F703" w14:textId="77777777" w:rsidTr="007B5579">
        <w:tc>
          <w:tcPr>
            <w:tcW w:w="3823" w:type="dxa"/>
            <w:vAlign w:val="center"/>
          </w:tcPr>
          <w:p w14:paraId="5F63AB3B"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Veterans counselling &amp; other services</w:t>
            </w:r>
          </w:p>
        </w:tc>
        <w:tc>
          <w:tcPr>
            <w:tcW w:w="5196" w:type="dxa"/>
            <w:vAlign w:val="center"/>
          </w:tcPr>
          <w:p w14:paraId="0DACE781"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2.5 – Veterans’ Counselling &amp; other Health Services</w:t>
            </w:r>
          </w:p>
        </w:tc>
      </w:tr>
      <w:tr w:rsidR="00676ACD" w:rsidRPr="00E72B1E" w14:paraId="14BB4E63" w14:textId="77777777" w:rsidTr="007B5579">
        <w:tc>
          <w:tcPr>
            <w:tcW w:w="3823" w:type="dxa"/>
            <w:vAlign w:val="center"/>
          </w:tcPr>
          <w:p w14:paraId="73C5FBF0"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Rehabilitation services</w:t>
            </w:r>
          </w:p>
        </w:tc>
        <w:tc>
          <w:tcPr>
            <w:tcW w:w="5196" w:type="dxa"/>
            <w:vAlign w:val="center"/>
          </w:tcPr>
          <w:p w14:paraId="0D5F1BD4"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2.6 – Military Rehabilitation &amp; Compensation Acts – Health &amp; Other Care Services</w:t>
            </w:r>
          </w:p>
        </w:tc>
      </w:tr>
      <w:tr w:rsidR="00676ACD" w:rsidRPr="00E72B1E" w14:paraId="11F6E3CB" w14:textId="77777777" w:rsidTr="007B5579">
        <w:tc>
          <w:tcPr>
            <w:tcW w:w="3823" w:type="dxa"/>
            <w:vAlign w:val="center"/>
          </w:tcPr>
          <w:p w14:paraId="70BAF28B"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Disability support</w:t>
            </w:r>
          </w:p>
        </w:tc>
        <w:tc>
          <w:tcPr>
            <w:tcW w:w="5196" w:type="dxa"/>
            <w:vAlign w:val="center"/>
          </w:tcPr>
          <w:p w14:paraId="4EF7C2BE"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Program 1.2 - Veterans’ Disability Support</w:t>
            </w:r>
          </w:p>
        </w:tc>
      </w:tr>
      <w:tr w:rsidR="00676ACD" w:rsidRPr="00E72B1E" w14:paraId="276AC1F7" w14:textId="77777777" w:rsidTr="007B5579">
        <w:tc>
          <w:tcPr>
            <w:tcW w:w="3823" w:type="dxa"/>
            <w:vAlign w:val="center"/>
          </w:tcPr>
          <w:p w14:paraId="478DA462"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sidRPr="00022809">
              <w:rPr>
                <w:rFonts w:asciiTheme="minorHAnsi" w:hAnsiTheme="minorHAnsi" w:cstheme="minorHAnsi"/>
                <w:sz w:val="16"/>
                <w:szCs w:val="16"/>
              </w:rPr>
              <w:t xml:space="preserve">Prevention &amp; Early intervention </w:t>
            </w:r>
            <w:r>
              <w:rPr>
                <w:rFonts w:asciiTheme="minorHAnsi" w:hAnsiTheme="minorHAnsi" w:cstheme="minorHAnsi"/>
                <w:sz w:val="16"/>
                <w:szCs w:val="16"/>
              </w:rPr>
              <w:t>services including health checks</w:t>
            </w:r>
          </w:p>
        </w:tc>
        <w:tc>
          <w:tcPr>
            <w:tcW w:w="5196" w:type="dxa"/>
            <w:vAlign w:val="center"/>
          </w:tcPr>
          <w:p w14:paraId="1FE821F0"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Mental and Social Health Programs – Staying Well, Prevention &amp; Early intervention</w:t>
            </w:r>
          </w:p>
        </w:tc>
      </w:tr>
      <w:tr w:rsidR="00676ACD" w:rsidRPr="00E72B1E" w14:paraId="1CFF4918" w14:textId="77777777" w:rsidTr="007B5579">
        <w:tc>
          <w:tcPr>
            <w:tcW w:w="3823" w:type="dxa"/>
            <w:vAlign w:val="center"/>
          </w:tcPr>
          <w:p w14:paraId="459FE909" w14:textId="77777777" w:rsidR="00676ACD" w:rsidRPr="00022809"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For populations at i</w:t>
            </w:r>
            <w:r w:rsidRPr="00022809">
              <w:rPr>
                <w:rFonts w:asciiTheme="minorHAnsi" w:hAnsiTheme="minorHAnsi" w:cstheme="minorHAnsi"/>
                <w:sz w:val="16"/>
                <w:szCs w:val="16"/>
              </w:rPr>
              <w:t>ncreased risk</w:t>
            </w:r>
            <w:r>
              <w:rPr>
                <w:rFonts w:asciiTheme="minorHAnsi" w:hAnsiTheme="minorHAnsi" w:cstheme="minorHAnsi"/>
                <w:sz w:val="16"/>
                <w:szCs w:val="16"/>
              </w:rPr>
              <w:t>,</w:t>
            </w:r>
            <w:r w:rsidRPr="00022809">
              <w:rPr>
                <w:rFonts w:asciiTheme="minorHAnsi" w:hAnsiTheme="minorHAnsi" w:cstheme="minorHAnsi"/>
                <w:sz w:val="16"/>
                <w:szCs w:val="16"/>
              </w:rPr>
              <w:t xml:space="preserve"> </w:t>
            </w:r>
            <w:r>
              <w:rPr>
                <w:rFonts w:asciiTheme="minorHAnsi" w:hAnsiTheme="minorHAnsi" w:cstheme="minorHAnsi"/>
                <w:sz w:val="16"/>
                <w:szCs w:val="16"/>
              </w:rPr>
              <w:t xml:space="preserve">example conditions include </w:t>
            </w:r>
            <w:r w:rsidRPr="00022809">
              <w:rPr>
                <w:rFonts w:asciiTheme="minorHAnsi" w:hAnsiTheme="minorHAnsi" w:cstheme="minorHAnsi"/>
                <w:sz w:val="16"/>
                <w:szCs w:val="16"/>
              </w:rPr>
              <w:t xml:space="preserve">heart health, </w:t>
            </w:r>
            <w:r>
              <w:rPr>
                <w:rFonts w:asciiTheme="minorHAnsi" w:hAnsiTheme="minorHAnsi" w:cstheme="minorHAnsi"/>
                <w:sz w:val="16"/>
                <w:szCs w:val="16"/>
              </w:rPr>
              <w:t>PTSD</w:t>
            </w:r>
            <w:r w:rsidRPr="00022809">
              <w:rPr>
                <w:rFonts w:asciiTheme="minorHAnsi" w:hAnsiTheme="minorHAnsi" w:cstheme="minorHAnsi"/>
                <w:sz w:val="16"/>
                <w:szCs w:val="16"/>
              </w:rPr>
              <w:t>, mental health</w:t>
            </w:r>
          </w:p>
        </w:tc>
        <w:tc>
          <w:tcPr>
            <w:tcW w:w="5196" w:type="dxa"/>
            <w:vAlign w:val="center"/>
          </w:tcPr>
          <w:p w14:paraId="22BBE2FA"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Mental and Social Health Programs – For those at increased risk</w:t>
            </w:r>
          </w:p>
        </w:tc>
      </w:tr>
      <w:tr w:rsidR="00676ACD" w:rsidRPr="00E72B1E" w14:paraId="023CFE11" w14:textId="77777777" w:rsidTr="007B5579">
        <w:tc>
          <w:tcPr>
            <w:tcW w:w="3823" w:type="dxa"/>
            <w:vAlign w:val="center"/>
          </w:tcPr>
          <w:p w14:paraId="08A3E102" w14:textId="77777777" w:rsidR="00676ACD" w:rsidRPr="00022809"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For populations with m</w:t>
            </w:r>
            <w:r w:rsidRPr="00022809">
              <w:rPr>
                <w:rFonts w:asciiTheme="minorHAnsi" w:hAnsiTheme="minorHAnsi" w:cstheme="minorHAnsi"/>
                <w:sz w:val="16"/>
                <w:szCs w:val="16"/>
              </w:rPr>
              <w:t xml:space="preserve">ild - moderate needs </w:t>
            </w:r>
            <w:r>
              <w:rPr>
                <w:rFonts w:asciiTheme="minorHAnsi" w:hAnsiTheme="minorHAnsi" w:cstheme="minorHAnsi"/>
                <w:sz w:val="16"/>
                <w:szCs w:val="16"/>
              </w:rPr>
              <w:t xml:space="preserve">example conditions include mental health, </w:t>
            </w:r>
            <w:r w:rsidRPr="00022809">
              <w:rPr>
                <w:rFonts w:asciiTheme="minorHAnsi" w:hAnsiTheme="minorHAnsi" w:cstheme="minorHAnsi"/>
                <w:sz w:val="16"/>
                <w:szCs w:val="16"/>
              </w:rPr>
              <w:t>alcohol &amp; other substance disorders</w:t>
            </w:r>
            <w:r>
              <w:rPr>
                <w:rFonts w:asciiTheme="minorHAnsi" w:hAnsiTheme="minorHAnsi" w:cstheme="minorHAnsi"/>
                <w:sz w:val="16"/>
                <w:szCs w:val="16"/>
              </w:rPr>
              <w:t>, mefloquine exposure</w:t>
            </w:r>
          </w:p>
        </w:tc>
        <w:tc>
          <w:tcPr>
            <w:tcW w:w="5196" w:type="dxa"/>
            <w:vAlign w:val="center"/>
          </w:tcPr>
          <w:p w14:paraId="11FBC18D"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Mental and Social Health Programs – For those with mild-moderate needs</w:t>
            </w:r>
          </w:p>
        </w:tc>
      </w:tr>
      <w:tr w:rsidR="00676ACD" w:rsidRPr="00E72B1E" w14:paraId="38EA94A2" w14:textId="77777777" w:rsidTr="007B5579">
        <w:tc>
          <w:tcPr>
            <w:tcW w:w="3823" w:type="dxa"/>
            <w:vAlign w:val="center"/>
          </w:tcPr>
          <w:p w14:paraId="78EB7C5B" w14:textId="77777777" w:rsidR="00676ACD" w:rsidRPr="00022809"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For populations with c</w:t>
            </w:r>
            <w:r w:rsidRPr="00022809">
              <w:rPr>
                <w:rFonts w:asciiTheme="minorHAnsi" w:hAnsiTheme="minorHAnsi" w:cstheme="minorHAnsi"/>
                <w:sz w:val="16"/>
                <w:szCs w:val="16"/>
              </w:rPr>
              <w:t xml:space="preserve">omplex and severe needs e.g. trauma, </w:t>
            </w:r>
            <w:r>
              <w:rPr>
                <w:rFonts w:asciiTheme="minorHAnsi" w:hAnsiTheme="minorHAnsi" w:cstheme="minorHAnsi"/>
                <w:sz w:val="16"/>
                <w:szCs w:val="16"/>
              </w:rPr>
              <w:t>PTSD</w:t>
            </w:r>
            <w:r w:rsidRPr="00022809">
              <w:rPr>
                <w:rFonts w:asciiTheme="minorHAnsi" w:hAnsiTheme="minorHAnsi" w:cstheme="minorHAnsi"/>
                <w:sz w:val="16"/>
                <w:szCs w:val="16"/>
              </w:rPr>
              <w:t>, homelessness</w:t>
            </w:r>
          </w:p>
        </w:tc>
        <w:tc>
          <w:tcPr>
            <w:tcW w:w="5196" w:type="dxa"/>
            <w:vAlign w:val="center"/>
          </w:tcPr>
          <w:p w14:paraId="7D0EB960" w14:textId="77777777" w:rsidR="00676ACD" w:rsidRPr="00E72B1E" w:rsidRDefault="00676ACD" w:rsidP="007B5579">
            <w:pPr>
              <w:pStyle w:val="DVA1Number"/>
              <w:numPr>
                <w:ilvl w:val="0"/>
                <w:numId w:val="0"/>
              </w:numPr>
              <w:spacing w:after="120"/>
              <w:rPr>
                <w:rFonts w:asciiTheme="minorHAnsi" w:hAnsiTheme="minorHAnsi" w:cstheme="minorHAnsi"/>
                <w:sz w:val="16"/>
                <w:szCs w:val="16"/>
              </w:rPr>
            </w:pPr>
            <w:r>
              <w:rPr>
                <w:rFonts w:asciiTheme="minorHAnsi" w:hAnsiTheme="minorHAnsi" w:cstheme="minorHAnsi"/>
                <w:sz w:val="16"/>
                <w:szCs w:val="16"/>
              </w:rPr>
              <w:t>Mental and Social Health Programs – For those with complex – severe needs</w:t>
            </w:r>
          </w:p>
        </w:tc>
      </w:tr>
    </w:tbl>
    <w:p w14:paraId="1A54CEF7" w14:textId="467A4BB3" w:rsidR="00676ACD" w:rsidRPr="00133CCD" w:rsidRDefault="00676ACD" w:rsidP="00676ACD">
      <w:pPr>
        <w:pStyle w:val="DVA1Number"/>
        <w:numPr>
          <w:ilvl w:val="0"/>
          <w:numId w:val="0"/>
        </w:numPr>
        <w:ind w:left="425" w:hanging="425"/>
        <w:rPr>
          <w:sz w:val="16"/>
          <w:szCs w:val="16"/>
        </w:rPr>
      </w:pPr>
      <w:r>
        <w:rPr>
          <w:sz w:val="16"/>
          <w:szCs w:val="16"/>
        </w:rPr>
        <w:t>*</w:t>
      </w:r>
      <w:r w:rsidRPr="00133CCD">
        <w:rPr>
          <w:sz w:val="16"/>
          <w:szCs w:val="16"/>
        </w:rPr>
        <w:t>Based on additional background materials provided by DVA</w:t>
      </w:r>
      <w:sdt>
        <w:sdtPr>
          <w:rPr>
            <w:rFonts w:asciiTheme="minorHAnsi" w:hAnsiTheme="minorHAnsi" w:cstheme="minorHAnsi"/>
            <w:b/>
            <w:sz w:val="16"/>
            <w:szCs w:val="16"/>
          </w:rPr>
          <w:id w:val="-817410793"/>
          <w:citation/>
        </w:sdtPr>
        <w:sdtEndPr/>
        <w:sdtContent>
          <w:r>
            <w:rPr>
              <w:rFonts w:asciiTheme="minorHAnsi" w:hAnsiTheme="minorHAnsi" w:cstheme="minorHAnsi"/>
              <w:b/>
              <w:sz w:val="16"/>
              <w:szCs w:val="16"/>
            </w:rPr>
            <w:fldChar w:fldCharType="begin"/>
          </w:r>
          <w:r>
            <w:rPr>
              <w:rFonts w:asciiTheme="minorHAnsi" w:hAnsiTheme="minorHAnsi" w:cstheme="minorHAnsi"/>
              <w:b/>
              <w:sz w:val="16"/>
              <w:szCs w:val="16"/>
            </w:rPr>
            <w:instrText xml:space="preserve"> CITATION Aus \l 3081 </w:instrText>
          </w:r>
          <w:r>
            <w:rPr>
              <w:rFonts w:asciiTheme="minorHAnsi" w:hAnsiTheme="minorHAnsi" w:cstheme="minorHAnsi"/>
              <w:b/>
              <w:sz w:val="16"/>
              <w:szCs w:val="16"/>
            </w:rPr>
            <w:fldChar w:fldCharType="separate"/>
          </w:r>
          <w:r w:rsidR="00710993">
            <w:rPr>
              <w:rFonts w:asciiTheme="minorHAnsi" w:hAnsiTheme="minorHAnsi" w:cstheme="minorHAnsi"/>
              <w:b/>
              <w:noProof/>
              <w:sz w:val="16"/>
              <w:szCs w:val="16"/>
            </w:rPr>
            <w:t xml:space="preserve"> </w:t>
          </w:r>
          <w:r w:rsidR="00710993" w:rsidRPr="00710993">
            <w:rPr>
              <w:rFonts w:asciiTheme="minorHAnsi" w:hAnsiTheme="minorHAnsi" w:cstheme="minorHAnsi"/>
              <w:noProof/>
              <w:sz w:val="16"/>
              <w:szCs w:val="16"/>
            </w:rPr>
            <w:t>(1)</w:t>
          </w:r>
          <w:r>
            <w:rPr>
              <w:rFonts w:asciiTheme="minorHAnsi" w:hAnsiTheme="minorHAnsi" w:cstheme="minorHAnsi"/>
              <w:b/>
              <w:sz w:val="16"/>
              <w:szCs w:val="16"/>
            </w:rPr>
            <w:fldChar w:fldCharType="end"/>
          </w:r>
        </w:sdtContent>
      </w:sdt>
    </w:p>
    <w:p w14:paraId="589DD48E" w14:textId="6E2BC01E" w:rsidR="0003533F" w:rsidRDefault="00676ACD" w:rsidP="00BA720D">
      <w:pPr>
        <w:pStyle w:val="DVA1Number"/>
      </w:pPr>
      <w:r w:rsidRPr="00E72B1E">
        <w:t xml:space="preserve">The snowball technique, where reference lists of included literature are reviewed, was </w:t>
      </w:r>
      <w:r>
        <w:t xml:space="preserve">then </w:t>
      </w:r>
      <w:r w:rsidRPr="00E72B1E">
        <w:t>used to identify any additional relevant literature.</w:t>
      </w:r>
      <w:bookmarkStart w:id="66" w:name="_Ref102592730"/>
    </w:p>
    <w:p w14:paraId="1F762614" w14:textId="77777777" w:rsidR="0003533F" w:rsidRDefault="0003533F">
      <w:pPr>
        <w:rPr>
          <w:rFonts w:ascii="Calibri" w:eastAsia="Times New Roman" w:hAnsi="Calibri" w:cs="Times New Roman"/>
          <w:kern w:val="12"/>
          <w:sz w:val="20"/>
          <w:lang w:val="en-AU" w:eastAsia="en-AU"/>
        </w:rPr>
      </w:pPr>
      <w:r>
        <w:br w:type="page"/>
      </w:r>
    </w:p>
    <w:p w14:paraId="0EC9C8DF" w14:textId="77777777" w:rsidR="00676ACD" w:rsidRPr="00BA720D" w:rsidRDefault="00676ACD" w:rsidP="0003533F">
      <w:pPr>
        <w:pStyle w:val="DVA1Number"/>
        <w:numPr>
          <w:ilvl w:val="0"/>
          <w:numId w:val="0"/>
        </w:numPr>
      </w:pPr>
    </w:p>
    <w:p w14:paraId="39F02041" w14:textId="77777777" w:rsidR="00676ACD" w:rsidRPr="00E72B1E" w:rsidRDefault="00676ACD" w:rsidP="009014F6">
      <w:pPr>
        <w:pStyle w:val="Heading3numbered"/>
      </w:pPr>
      <w:bookmarkStart w:id="67" w:name="_Toc110956284"/>
      <w:bookmarkEnd w:id="66"/>
      <w:r w:rsidRPr="00E72B1E">
        <w:t>Grey literature search</w:t>
      </w:r>
      <w:bookmarkEnd w:id="67"/>
      <w:r w:rsidRPr="00E72B1E">
        <w:t xml:space="preserve"> </w:t>
      </w:r>
    </w:p>
    <w:p w14:paraId="4C124131" w14:textId="77777777" w:rsidR="00676ACD" w:rsidRPr="00E72B1E" w:rsidRDefault="00676ACD" w:rsidP="00676ACD">
      <w:pPr>
        <w:pStyle w:val="DVABodytextwithparaspace"/>
        <w:rPr>
          <w:lang w:eastAsia="en-AU"/>
        </w:rPr>
      </w:pPr>
      <w:r w:rsidRPr="00E72B1E">
        <w:t>The following outlines the protocol for the grey literature search:</w:t>
      </w:r>
    </w:p>
    <w:p w14:paraId="735BDDFF" w14:textId="793FFDE7" w:rsidR="00676ACD" w:rsidRPr="00E72B1E" w:rsidRDefault="00676ACD" w:rsidP="00676ACD">
      <w:pPr>
        <w:pStyle w:val="DVA1Number"/>
        <w:numPr>
          <w:ilvl w:val="0"/>
          <w:numId w:val="23"/>
        </w:numPr>
      </w:pPr>
      <w:r w:rsidRPr="00E72B1E">
        <w:t xml:space="preserve">Google was used to search for publicly available evaluation reports and guidelines on jurisdiction websites and webpages of well-regarded evaluation sites, as per </w:t>
      </w:r>
      <w:r w:rsidRPr="00E72B1E">
        <w:fldChar w:fldCharType="begin"/>
      </w:r>
      <w:r w:rsidRPr="00E72B1E">
        <w:instrText xml:space="preserve"> REF _Ref102591452 \h </w:instrText>
      </w:r>
      <w:r>
        <w:instrText xml:space="preserve"> \* MERGEFORMAT </w:instrText>
      </w:r>
      <w:r w:rsidRPr="00E72B1E">
        <w:fldChar w:fldCharType="separate"/>
      </w:r>
      <w:r w:rsidR="00812188" w:rsidRPr="00812188">
        <w:t>Table 4</w:t>
      </w:r>
      <w:r w:rsidRPr="00E72B1E">
        <w:fldChar w:fldCharType="end"/>
      </w:r>
      <w:r w:rsidRPr="00E72B1E">
        <w:t>. These sites were reviewed for:</w:t>
      </w:r>
    </w:p>
    <w:p w14:paraId="266080BD" w14:textId="77777777" w:rsidR="00676ACD" w:rsidRPr="00E72B1E" w:rsidRDefault="00676ACD" w:rsidP="00676ACD">
      <w:pPr>
        <w:pStyle w:val="DVABulletnoparaspace"/>
        <w:ind w:left="709"/>
      </w:pPr>
      <w:r w:rsidRPr="00E72B1E">
        <w:t xml:space="preserve">Policies or guidelines to inform evaluation </w:t>
      </w:r>
    </w:p>
    <w:p w14:paraId="5F37AB4C" w14:textId="77777777" w:rsidR="00676ACD" w:rsidRPr="00E72B1E" w:rsidRDefault="00676ACD" w:rsidP="00676ACD">
      <w:pPr>
        <w:pStyle w:val="DVABulletnoparaspace"/>
        <w:ind w:left="709"/>
      </w:pPr>
      <w:r w:rsidRPr="00E72B1E">
        <w:t>Evaluation approaches used</w:t>
      </w:r>
    </w:p>
    <w:p w14:paraId="75B37E3D" w14:textId="77777777" w:rsidR="00676ACD" w:rsidRPr="00E72B1E" w:rsidRDefault="00676ACD" w:rsidP="00676ACD">
      <w:pPr>
        <w:pStyle w:val="DVABulletnoparaspace"/>
        <w:spacing w:after="120"/>
        <w:ind w:left="709"/>
      </w:pPr>
      <w:r w:rsidRPr="00E72B1E">
        <w:t>Evaluation reports for programs that are applicable or specific to DVA programs or veterans’ healthcare needs</w:t>
      </w:r>
      <w:r>
        <w:t xml:space="preserve"> using the same criteria as the published literature search</w:t>
      </w:r>
      <w:r w:rsidRPr="00E72B1E">
        <w:t>.</w:t>
      </w:r>
    </w:p>
    <w:p w14:paraId="01FEDF21" w14:textId="77777777" w:rsidR="00676ACD" w:rsidRPr="00E72B1E" w:rsidRDefault="00676ACD" w:rsidP="00676ACD">
      <w:pPr>
        <w:pStyle w:val="DVA1Number"/>
        <w:numPr>
          <w:ilvl w:val="0"/>
          <w:numId w:val="23"/>
        </w:numPr>
      </w:pPr>
      <w:r w:rsidRPr="00E72B1E">
        <w:t xml:space="preserve">Like the Published Literature search, information before 2015 </w:t>
      </w:r>
      <w:r>
        <w:t>was</w:t>
      </w:r>
      <w:r w:rsidRPr="00E72B1E">
        <w:t xml:space="preserve"> excluded.</w:t>
      </w:r>
    </w:p>
    <w:p w14:paraId="29C296EF" w14:textId="0EE4E1A1" w:rsidR="00676ACD" w:rsidRPr="00E72B1E" w:rsidRDefault="00676ACD" w:rsidP="00676ACD">
      <w:pPr>
        <w:keepNext/>
        <w:spacing w:after="60"/>
        <w:rPr>
          <w:rFonts w:cstheme="minorHAnsi"/>
          <w:b/>
          <w:color w:val="747480"/>
          <w:sz w:val="16"/>
          <w:szCs w:val="18"/>
        </w:rPr>
      </w:pPr>
      <w:bookmarkStart w:id="68" w:name="_Ref102591452"/>
      <w:r w:rsidRPr="00E72B1E">
        <w:rPr>
          <w:rFonts w:cstheme="minorHAnsi"/>
          <w:b/>
          <w:color w:val="747480"/>
          <w:sz w:val="16"/>
          <w:szCs w:val="18"/>
        </w:rPr>
        <w:t xml:space="preserve">Table </w:t>
      </w:r>
      <w:r w:rsidRPr="00E72B1E">
        <w:rPr>
          <w:rFonts w:cstheme="minorHAnsi"/>
          <w:b/>
          <w:color w:val="747480"/>
          <w:sz w:val="16"/>
          <w:szCs w:val="18"/>
        </w:rPr>
        <w:fldChar w:fldCharType="begin"/>
      </w:r>
      <w:r w:rsidRPr="00E72B1E">
        <w:rPr>
          <w:rFonts w:cstheme="minorHAnsi"/>
          <w:b/>
          <w:color w:val="747480"/>
          <w:sz w:val="16"/>
          <w:szCs w:val="18"/>
        </w:rPr>
        <w:instrText xml:space="preserve"> SEQ Table \* ARABIC </w:instrText>
      </w:r>
      <w:r w:rsidRPr="00E72B1E">
        <w:rPr>
          <w:rFonts w:cstheme="minorHAnsi"/>
          <w:b/>
          <w:color w:val="747480"/>
          <w:sz w:val="16"/>
          <w:szCs w:val="18"/>
        </w:rPr>
        <w:fldChar w:fldCharType="separate"/>
      </w:r>
      <w:r w:rsidR="00812188">
        <w:rPr>
          <w:rFonts w:cstheme="minorHAnsi"/>
          <w:b/>
          <w:noProof/>
          <w:color w:val="747480"/>
          <w:sz w:val="16"/>
          <w:szCs w:val="18"/>
        </w:rPr>
        <w:t>4</w:t>
      </w:r>
      <w:r w:rsidRPr="00E72B1E">
        <w:rPr>
          <w:rFonts w:cstheme="minorHAnsi"/>
          <w:b/>
          <w:color w:val="747480"/>
          <w:sz w:val="16"/>
          <w:szCs w:val="18"/>
        </w:rPr>
        <w:fldChar w:fldCharType="end"/>
      </w:r>
      <w:bookmarkEnd w:id="68"/>
      <w:r w:rsidRPr="00E72B1E">
        <w:rPr>
          <w:rFonts w:cstheme="minorHAnsi"/>
          <w:b/>
          <w:color w:val="747480"/>
          <w:sz w:val="16"/>
          <w:szCs w:val="18"/>
        </w:rPr>
        <w:t xml:space="preserve">. </w:t>
      </w:r>
      <w:r>
        <w:rPr>
          <w:rFonts w:cstheme="minorHAnsi"/>
          <w:b/>
          <w:color w:val="747480"/>
          <w:sz w:val="16"/>
          <w:szCs w:val="18"/>
        </w:rPr>
        <w:t>Organisations reviewed in the grey literature search</w:t>
      </w:r>
    </w:p>
    <w:tbl>
      <w:tblPr>
        <w:tblStyle w:val="EYTable1"/>
        <w:tblW w:w="0" w:type="auto"/>
        <w:tblLook w:val="04A0" w:firstRow="1" w:lastRow="0" w:firstColumn="1" w:lastColumn="0" w:noHBand="0" w:noVBand="1"/>
      </w:tblPr>
      <w:tblGrid>
        <w:gridCol w:w="3006"/>
        <w:gridCol w:w="3006"/>
        <w:gridCol w:w="3007"/>
      </w:tblGrid>
      <w:tr w:rsidR="00676ACD" w:rsidRPr="00E72B1E" w14:paraId="2BD3D8F1" w14:textId="77777777" w:rsidTr="007B5579">
        <w:tc>
          <w:tcPr>
            <w:tcW w:w="3006" w:type="dxa"/>
            <w:shd w:val="clear" w:color="auto" w:fill="1D3567"/>
          </w:tcPr>
          <w:p w14:paraId="29250D2B" w14:textId="77777777" w:rsidR="00676ACD" w:rsidRPr="002832FD" w:rsidRDefault="00676ACD" w:rsidP="007B5579">
            <w:pPr>
              <w:spacing w:after="240"/>
              <w:rPr>
                <w:rFonts w:cstheme="minorHAnsi"/>
                <w:b/>
                <w:bCs/>
                <w:sz w:val="16"/>
                <w:szCs w:val="16"/>
                <w:lang w:eastAsia="en-AU"/>
              </w:rPr>
            </w:pPr>
            <w:r w:rsidRPr="002832FD">
              <w:rPr>
                <w:rFonts w:cstheme="minorHAnsi"/>
                <w:b/>
                <w:bCs/>
                <w:sz w:val="16"/>
                <w:szCs w:val="16"/>
                <w:lang w:eastAsia="en-AU"/>
              </w:rPr>
              <w:t>Jurisdictions</w:t>
            </w:r>
          </w:p>
        </w:tc>
        <w:tc>
          <w:tcPr>
            <w:tcW w:w="3006" w:type="dxa"/>
            <w:shd w:val="clear" w:color="auto" w:fill="1D3567"/>
          </w:tcPr>
          <w:p w14:paraId="0D76F9E6" w14:textId="77777777" w:rsidR="00676ACD" w:rsidRPr="002832FD" w:rsidRDefault="00676ACD" w:rsidP="007B5579">
            <w:pPr>
              <w:spacing w:after="240"/>
              <w:rPr>
                <w:rFonts w:cstheme="minorHAnsi"/>
                <w:b/>
                <w:bCs/>
                <w:sz w:val="16"/>
                <w:szCs w:val="16"/>
                <w:lang w:eastAsia="en-AU"/>
              </w:rPr>
            </w:pPr>
            <w:r w:rsidRPr="002832FD">
              <w:rPr>
                <w:rFonts w:cstheme="minorHAnsi"/>
                <w:b/>
                <w:bCs/>
                <w:sz w:val="16"/>
                <w:szCs w:val="16"/>
                <w:lang w:eastAsia="en-AU"/>
              </w:rPr>
              <w:t>Evaluation Societies</w:t>
            </w:r>
          </w:p>
        </w:tc>
        <w:tc>
          <w:tcPr>
            <w:tcW w:w="3007" w:type="dxa"/>
            <w:shd w:val="clear" w:color="auto" w:fill="1D3567"/>
          </w:tcPr>
          <w:p w14:paraId="285DA6C7" w14:textId="77777777" w:rsidR="00676ACD" w:rsidRPr="002832FD" w:rsidRDefault="00676ACD" w:rsidP="007B5579">
            <w:pPr>
              <w:spacing w:after="240"/>
              <w:rPr>
                <w:rFonts w:cstheme="minorHAnsi"/>
                <w:b/>
                <w:bCs/>
                <w:sz w:val="16"/>
                <w:szCs w:val="16"/>
                <w:lang w:eastAsia="en-AU"/>
              </w:rPr>
            </w:pPr>
            <w:r w:rsidRPr="002832FD">
              <w:rPr>
                <w:rFonts w:cstheme="minorHAnsi"/>
                <w:b/>
                <w:bCs/>
                <w:sz w:val="16"/>
                <w:szCs w:val="16"/>
                <w:lang w:eastAsia="en-AU"/>
              </w:rPr>
              <w:t>Peak Bodies / Experts in the field</w:t>
            </w:r>
          </w:p>
        </w:tc>
      </w:tr>
      <w:tr w:rsidR="00676ACD" w:rsidRPr="00E72B1E" w14:paraId="7DB52758" w14:textId="77777777" w:rsidTr="007B5579">
        <w:tc>
          <w:tcPr>
            <w:tcW w:w="3006" w:type="dxa"/>
          </w:tcPr>
          <w:p w14:paraId="79365550"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Australian Government Department of Health</w:t>
            </w:r>
          </w:p>
          <w:p w14:paraId="3473CE02" w14:textId="2682B49C" w:rsidR="00676ACD" w:rsidRPr="002832FD" w:rsidRDefault="00676ACD" w:rsidP="00504EDE">
            <w:pPr>
              <w:pStyle w:val="DVABulletnoparaspace"/>
              <w:rPr>
                <w:rFonts w:cstheme="minorHAnsi"/>
                <w:sz w:val="16"/>
                <w:lang w:eastAsia="en-AU"/>
              </w:rPr>
            </w:pPr>
            <w:r w:rsidRPr="002832FD">
              <w:rPr>
                <w:rFonts w:cstheme="minorHAnsi"/>
                <w:sz w:val="16"/>
                <w:lang w:eastAsia="en-AU"/>
              </w:rPr>
              <w:t>Australian Department of Finance</w:t>
            </w:r>
            <w:r w:rsidR="00504EDE">
              <w:rPr>
                <w:rFonts w:cstheme="minorHAnsi"/>
                <w:sz w:val="16"/>
                <w:lang w:eastAsia="en-AU"/>
              </w:rPr>
              <w:t xml:space="preserve"> </w:t>
            </w:r>
            <w:r w:rsidR="00504EDE" w:rsidRPr="00504EDE">
              <w:rPr>
                <w:rFonts w:asciiTheme="minorHAnsi" w:hAnsiTheme="minorHAnsi" w:cstheme="minorHAnsi"/>
                <w:sz w:val="16"/>
                <w:lang w:val="en-US" w:eastAsia="en-AU"/>
              </w:rPr>
              <w:t>(now Australian Centre for Evaluation)</w:t>
            </w:r>
          </w:p>
          <w:p w14:paraId="59B2E496"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NSW Ministry of Health</w:t>
            </w:r>
          </w:p>
          <w:p w14:paraId="3EF841BB"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QLD Department of Health</w:t>
            </w:r>
          </w:p>
          <w:p w14:paraId="54FE8AB5"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Victorian Department of Health and Human Services</w:t>
            </w:r>
          </w:p>
        </w:tc>
        <w:tc>
          <w:tcPr>
            <w:tcW w:w="3006" w:type="dxa"/>
          </w:tcPr>
          <w:p w14:paraId="441C318C"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Australian Evaluation Society</w:t>
            </w:r>
          </w:p>
          <w:p w14:paraId="08A5A200"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UK Evaluation Society</w:t>
            </w:r>
          </w:p>
          <w:p w14:paraId="5544A12E"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American Evaluation Association</w:t>
            </w:r>
          </w:p>
        </w:tc>
        <w:tc>
          <w:tcPr>
            <w:tcW w:w="3007" w:type="dxa"/>
          </w:tcPr>
          <w:p w14:paraId="44E850FB"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Better Evaluation</w:t>
            </w:r>
          </w:p>
          <w:p w14:paraId="1F777CE9"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Centres for Disease Control and Prevention (US)</w:t>
            </w:r>
          </w:p>
          <w:p w14:paraId="45FFB44F" w14:textId="77777777" w:rsidR="00676ACD" w:rsidRPr="002832FD" w:rsidRDefault="00676ACD" w:rsidP="00676ACD">
            <w:pPr>
              <w:numPr>
                <w:ilvl w:val="0"/>
                <w:numId w:val="21"/>
              </w:numPr>
              <w:contextualSpacing/>
              <w:rPr>
                <w:rFonts w:cstheme="minorHAnsi"/>
                <w:sz w:val="16"/>
                <w:szCs w:val="16"/>
                <w:lang w:eastAsia="en-AU"/>
              </w:rPr>
            </w:pPr>
            <w:r w:rsidRPr="002832FD">
              <w:rPr>
                <w:rFonts w:cstheme="minorHAnsi"/>
                <w:sz w:val="16"/>
                <w:szCs w:val="16"/>
                <w:lang w:eastAsia="en-AU"/>
              </w:rPr>
              <w:t>The Kings Fund (UK)</w:t>
            </w:r>
          </w:p>
        </w:tc>
      </w:tr>
    </w:tbl>
    <w:p w14:paraId="5D2B61DB" w14:textId="77777777" w:rsidR="00676ACD" w:rsidRPr="00E72B1E" w:rsidRDefault="00676ACD" w:rsidP="00676ACD">
      <w:pPr>
        <w:pStyle w:val="Heading2numbered"/>
      </w:pPr>
      <w:bookmarkStart w:id="69" w:name="_Toc105749440"/>
      <w:bookmarkStart w:id="70" w:name="_Toc107225293"/>
      <w:bookmarkStart w:id="71" w:name="_Toc105758415"/>
      <w:bookmarkStart w:id="72" w:name="_Toc110956285"/>
      <w:r w:rsidRPr="00E72B1E">
        <w:t>Key informant interviews</w:t>
      </w:r>
      <w:bookmarkEnd w:id="69"/>
      <w:bookmarkEnd w:id="70"/>
      <w:bookmarkEnd w:id="71"/>
      <w:bookmarkEnd w:id="72"/>
    </w:p>
    <w:p w14:paraId="6455F50F" w14:textId="77777777" w:rsidR="00676ACD" w:rsidRPr="00E72B1E" w:rsidRDefault="00676ACD" w:rsidP="00676ACD">
      <w:pPr>
        <w:pStyle w:val="DVABodytextwithparaspace"/>
      </w:pPr>
      <w:r w:rsidRPr="00E72B1E">
        <w:t xml:space="preserve">Key informant interviews were used to identify and understand the transferability of learnings from </w:t>
      </w:r>
      <w:r>
        <w:t xml:space="preserve">the US, which is </w:t>
      </w:r>
      <w:r w:rsidRPr="00E72B1E">
        <w:t xml:space="preserve">mature in conducting evaluations for veterans’ programs. The US </w:t>
      </w:r>
      <w:r>
        <w:t>was</w:t>
      </w:r>
      <w:r w:rsidRPr="00E72B1E">
        <w:t xml:space="preserve"> identified as </w:t>
      </w:r>
      <w:r>
        <w:t xml:space="preserve">a </w:t>
      </w:r>
      <w:r w:rsidRPr="00E72B1E">
        <w:t>suitable jurisdiction given the large number of health services and programs available to veterans. Leveraging Australian EY team</w:t>
      </w:r>
      <w:r>
        <w:t>’s</w:t>
      </w:r>
      <w:r w:rsidRPr="00E72B1E">
        <w:t xml:space="preserve"> international contacts, the team identified potential interviewees and confirmed their suitability with DVA. Once interviewees were confirmed, the team:</w:t>
      </w:r>
    </w:p>
    <w:p w14:paraId="50A72CDF" w14:textId="77777777" w:rsidR="00676ACD" w:rsidRPr="00E72B1E" w:rsidRDefault="00676ACD" w:rsidP="00676ACD">
      <w:pPr>
        <w:pStyle w:val="DVA1Number"/>
        <w:numPr>
          <w:ilvl w:val="0"/>
          <w:numId w:val="24"/>
        </w:numPr>
        <w:spacing w:after="0"/>
      </w:pPr>
      <w:r w:rsidRPr="00E72B1E">
        <w:t>Contacted interviewees to introduce them to the project and invited them to participate in the interviews</w:t>
      </w:r>
    </w:p>
    <w:p w14:paraId="38713A7C" w14:textId="77777777" w:rsidR="00676ACD" w:rsidRPr="00E72B1E" w:rsidRDefault="00676ACD" w:rsidP="00676ACD">
      <w:pPr>
        <w:pStyle w:val="DVA1Number"/>
        <w:numPr>
          <w:ilvl w:val="0"/>
          <w:numId w:val="24"/>
        </w:numPr>
        <w:spacing w:after="0"/>
      </w:pPr>
      <w:r w:rsidRPr="00E72B1E">
        <w:t xml:space="preserve">Developed discussion guides to address </w:t>
      </w:r>
      <w:r>
        <w:t>the</w:t>
      </w:r>
      <w:r w:rsidRPr="00E72B1E">
        <w:t xml:space="preserve"> evaluation questions </w:t>
      </w:r>
    </w:p>
    <w:p w14:paraId="6ADD67DC" w14:textId="77777777" w:rsidR="00676ACD" w:rsidRPr="00E72B1E" w:rsidRDefault="00676ACD" w:rsidP="00676ACD">
      <w:pPr>
        <w:pStyle w:val="DVA1Number"/>
        <w:numPr>
          <w:ilvl w:val="0"/>
          <w:numId w:val="24"/>
        </w:numPr>
        <w:spacing w:after="0"/>
      </w:pPr>
      <w:r w:rsidRPr="00E72B1E">
        <w:t>Scheduled and conducted 1-hour interviews over MS Teams</w:t>
      </w:r>
      <w:r>
        <w:t xml:space="preserve"> (note that DVA project team members were also invited to attend). The team also t</w:t>
      </w:r>
      <w:r w:rsidRPr="00E72B1E">
        <w:t xml:space="preserve">ook detailed notes during the interviews for thematic analysis </w:t>
      </w:r>
    </w:p>
    <w:p w14:paraId="4AE64155" w14:textId="46C01B22" w:rsidR="00676ACD" w:rsidRPr="00E72B1E" w:rsidRDefault="00676ACD" w:rsidP="00676ACD">
      <w:pPr>
        <w:pStyle w:val="DVA1Number"/>
        <w:numPr>
          <w:ilvl w:val="0"/>
          <w:numId w:val="24"/>
        </w:numPr>
      </w:pPr>
      <w:r w:rsidRPr="00E72B1E">
        <w:t>Developed interview summaries</w:t>
      </w:r>
      <w:r>
        <w:t xml:space="preserve"> and conducted thematic analysis (see</w:t>
      </w:r>
      <w:r w:rsidRPr="00E72B1E">
        <w:t xml:space="preserve"> </w:t>
      </w:r>
      <w:r>
        <w:fldChar w:fldCharType="begin"/>
      </w:r>
      <w:r>
        <w:instrText xml:space="preserve"> REF _Ref104836516 \r \h </w:instrText>
      </w:r>
      <w:r>
        <w:fldChar w:fldCharType="separate"/>
      </w:r>
      <w:r w:rsidR="00812188">
        <w:t>Appendix B</w:t>
      </w:r>
      <w:r>
        <w:fldChar w:fldCharType="end"/>
      </w:r>
      <w:r>
        <w:t xml:space="preserve">- </w:t>
      </w:r>
      <w:r>
        <w:fldChar w:fldCharType="begin"/>
      </w:r>
      <w:r>
        <w:instrText xml:space="preserve"> REF _Ref104799157 \h </w:instrText>
      </w:r>
      <w:r>
        <w:fldChar w:fldCharType="separate"/>
      </w:r>
      <w:r w:rsidR="00812188" w:rsidRPr="00E72B1E">
        <w:t xml:space="preserve">Key </w:t>
      </w:r>
      <w:r w:rsidR="00812188">
        <w:t>i</w:t>
      </w:r>
      <w:r w:rsidR="00812188" w:rsidRPr="00E72B1E">
        <w:t xml:space="preserve">nformant </w:t>
      </w:r>
      <w:r w:rsidR="00812188">
        <w:t>i</w:t>
      </w:r>
      <w:r w:rsidR="00812188" w:rsidRPr="00E72B1E">
        <w:t xml:space="preserve">nterviews </w:t>
      </w:r>
      <w:r>
        <w:fldChar w:fldCharType="end"/>
      </w:r>
      <w:r>
        <w:t>)</w:t>
      </w:r>
    </w:p>
    <w:p w14:paraId="7E652E9F" w14:textId="77777777" w:rsidR="00676ACD" w:rsidRPr="00E72B1E" w:rsidRDefault="00676ACD" w:rsidP="00676ACD">
      <w:pPr>
        <w:pStyle w:val="Heading2numbered"/>
      </w:pPr>
      <w:bookmarkStart w:id="73" w:name="_Toc105749441"/>
      <w:bookmarkStart w:id="74" w:name="_Toc107225294"/>
      <w:bookmarkStart w:id="75" w:name="_Toc105758416"/>
      <w:bookmarkStart w:id="76" w:name="_Toc110956286"/>
      <w:r w:rsidRPr="00E72B1E">
        <w:t>Case studies</w:t>
      </w:r>
      <w:bookmarkEnd w:id="73"/>
      <w:bookmarkEnd w:id="74"/>
      <w:bookmarkEnd w:id="75"/>
      <w:bookmarkEnd w:id="76"/>
    </w:p>
    <w:p w14:paraId="0ABA7450" w14:textId="77777777" w:rsidR="00676ACD" w:rsidRPr="00E72B1E" w:rsidRDefault="00676ACD" w:rsidP="00676ACD">
      <w:pPr>
        <w:pStyle w:val="DVABodytextwithparaspace"/>
      </w:pPr>
      <w:r w:rsidRPr="00E72B1E">
        <w:t xml:space="preserve">Case studies were used to identify key learnings from Australian organisations identified </w:t>
      </w:r>
      <w:r>
        <w:t xml:space="preserve">as being </w:t>
      </w:r>
      <w:r w:rsidRPr="00E72B1E">
        <w:t>experienced in conducting health program evaluations, to provide in-depth insights in</w:t>
      </w:r>
      <w:r>
        <w:t>to</w:t>
      </w:r>
      <w:r w:rsidRPr="00E72B1E">
        <w:t>:</w:t>
      </w:r>
    </w:p>
    <w:p w14:paraId="2E0CDFEE" w14:textId="77777777" w:rsidR="00676ACD" w:rsidRPr="00E72B1E" w:rsidRDefault="00676ACD" w:rsidP="00676ACD">
      <w:pPr>
        <w:pStyle w:val="DVABulletnoparaspace"/>
        <w:ind w:left="709"/>
      </w:pPr>
      <w:r w:rsidRPr="00E72B1E">
        <w:t>Evaluation practices, including changes to methodology over time and operational aspects such as resourcing, workflow planning.</w:t>
      </w:r>
    </w:p>
    <w:p w14:paraId="3EF77026" w14:textId="77777777" w:rsidR="00676ACD" w:rsidRPr="00E72B1E" w:rsidRDefault="00676ACD" w:rsidP="00676ACD">
      <w:pPr>
        <w:pStyle w:val="DVABulletnoparaspace"/>
        <w:ind w:left="709"/>
      </w:pPr>
      <w:r w:rsidRPr="00E72B1E">
        <w:t>Organisational considerations</w:t>
      </w:r>
      <w:r>
        <w:t xml:space="preserve"> for conducting evaluations</w:t>
      </w:r>
      <w:r w:rsidRPr="00E72B1E">
        <w:t xml:space="preserve"> such as office setup, resourcing, capability building, challenges encountered and keys to success.</w:t>
      </w:r>
    </w:p>
    <w:p w14:paraId="35962E9B" w14:textId="77777777" w:rsidR="00676ACD" w:rsidRPr="00E72B1E" w:rsidRDefault="00676ACD" w:rsidP="00676ACD">
      <w:pPr>
        <w:pStyle w:val="DVABulletnoparaspace"/>
        <w:ind w:left="709"/>
      </w:pPr>
      <w:r w:rsidRPr="00E72B1E">
        <w:t>Applicable lessons learned and what this means for DVA.</w:t>
      </w:r>
    </w:p>
    <w:p w14:paraId="5D86D11D" w14:textId="77777777" w:rsidR="00676ACD" w:rsidRPr="00E72B1E" w:rsidRDefault="00676ACD" w:rsidP="00676ACD">
      <w:pPr>
        <w:pStyle w:val="DVABulletnoparaspace"/>
        <w:ind w:left="709"/>
      </w:pPr>
      <w:r w:rsidRPr="00E72B1E">
        <w:t xml:space="preserve">The cost of conducting evaluations, including the role of </w:t>
      </w:r>
      <w:r>
        <w:t xml:space="preserve">conducting them using </w:t>
      </w:r>
      <w:r w:rsidRPr="00E72B1E">
        <w:t xml:space="preserve">independent agencies </w:t>
      </w:r>
      <w:r>
        <w:t xml:space="preserve">versus internal resources/teams. </w:t>
      </w:r>
    </w:p>
    <w:p w14:paraId="289B69BE" w14:textId="77777777" w:rsidR="0003533F" w:rsidRDefault="0003533F" w:rsidP="00676ACD">
      <w:pPr>
        <w:pStyle w:val="DVABodytextwithparaspace"/>
      </w:pPr>
    </w:p>
    <w:p w14:paraId="67D5CA8A" w14:textId="3F1F2356" w:rsidR="00676ACD" w:rsidRPr="00E72B1E" w:rsidRDefault="00676ACD" w:rsidP="00676ACD">
      <w:pPr>
        <w:pStyle w:val="DVABodytextwithparaspace"/>
      </w:pPr>
      <w:r w:rsidRPr="00E72B1E">
        <w:t xml:space="preserve">To carry out the case studies, the team:  </w:t>
      </w:r>
    </w:p>
    <w:p w14:paraId="0FC80134" w14:textId="77777777" w:rsidR="00676ACD" w:rsidRPr="00E72B1E" w:rsidRDefault="00676ACD" w:rsidP="00676ACD">
      <w:pPr>
        <w:pStyle w:val="DVA1Number"/>
        <w:numPr>
          <w:ilvl w:val="0"/>
          <w:numId w:val="25"/>
        </w:numPr>
        <w:spacing w:after="0"/>
      </w:pPr>
      <w:r w:rsidRPr="00E72B1E">
        <w:t>Identified suitable candidate organisations using a combination of results from the desktop literature review as well as EY and DVA staff experience and connections.</w:t>
      </w:r>
      <w:r>
        <w:t xml:space="preserve"> S</w:t>
      </w:r>
      <w:r w:rsidRPr="00E72B1E">
        <w:t xml:space="preserve">elected organisations </w:t>
      </w:r>
      <w:r>
        <w:t>were approached</w:t>
      </w:r>
      <w:r w:rsidRPr="00E72B1E">
        <w:t xml:space="preserve"> and </w:t>
      </w:r>
      <w:r>
        <w:t>invited</w:t>
      </w:r>
      <w:r w:rsidRPr="00E72B1E">
        <w:t xml:space="preserve"> to participate.</w:t>
      </w:r>
    </w:p>
    <w:p w14:paraId="06E2DF0B" w14:textId="77777777" w:rsidR="00676ACD" w:rsidRPr="00E72B1E" w:rsidRDefault="00676ACD" w:rsidP="00676ACD">
      <w:pPr>
        <w:pStyle w:val="DVA1Number"/>
        <w:numPr>
          <w:ilvl w:val="0"/>
          <w:numId w:val="25"/>
        </w:numPr>
        <w:spacing w:after="0"/>
      </w:pPr>
      <w:r w:rsidRPr="00E72B1E">
        <w:t>Prepared a discussion guide</w:t>
      </w:r>
      <w:r>
        <w:t xml:space="preserve"> and </w:t>
      </w:r>
      <w:r w:rsidRPr="00E72B1E">
        <w:t>shared with participants beforehand.</w:t>
      </w:r>
    </w:p>
    <w:p w14:paraId="4893507C" w14:textId="77777777" w:rsidR="00676ACD" w:rsidRDefault="00676ACD" w:rsidP="00676ACD">
      <w:pPr>
        <w:pStyle w:val="DVA1Number"/>
        <w:numPr>
          <w:ilvl w:val="0"/>
          <w:numId w:val="25"/>
        </w:numPr>
        <w:spacing w:after="0"/>
      </w:pPr>
      <w:r w:rsidRPr="00E72B1E">
        <w:t>Scheduled interviews with nominated representatives from willing organisations and conducted 30</w:t>
      </w:r>
      <w:r>
        <w:t>-minute</w:t>
      </w:r>
      <w:r w:rsidRPr="00E72B1E">
        <w:t xml:space="preserve"> interviews over </w:t>
      </w:r>
      <w:r>
        <w:t>Microsoft Teams. N</w:t>
      </w:r>
      <w:r w:rsidRPr="00E72B1E">
        <w:t xml:space="preserve">otes </w:t>
      </w:r>
      <w:r>
        <w:t>were taken</w:t>
      </w:r>
      <w:r w:rsidRPr="00E72B1E">
        <w:t xml:space="preserve"> during the interviews for thematic analysis.</w:t>
      </w:r>
    </w:p>
    <w:p w14:paraId="56837452" w14:textId="77777777" w:rsidR="00676ACD" w:rsidRPr="00E72B1E" w:rsidRDefault="00676ACD" w:rsidP="00676ACD">
      <w:pPr>
        <w:pStyle w:val="DVA1Number"/>
        <w:numPr>
          <w:ilvl w:val="0"/>
          <w:numId w:val="25"/>
        </w:numPr>
        <w:spacing w:after="0"/>
      </w:pPr>
      <w:r>
        <w:t>Prepared one-page summaries for each organisation and undertook thematic analysis (see Appendix C for case study summaries).</w:t>
      </w:r>
    </w:p>
    <w:p w14:paraId="0C124E60" w14:textId="77777777" w:rsidR="00676ACD" w:rsidRDefault="00676ACD" w:rsidP="00676ACD">
      <w:pPr>
        <w:pStyle w:val="Heading2numbered"/>
      </w:pPr>
      <w:bookmarkStart w:id="77" w:name="_Toc105749442"/>
      <w:bookmarkStart w:id="78" w:name="_Toc107225295"/>
      <w:bookmarkStart w:id="79" w:name="_Toc105758417"/>
      <w:bookmarkStart w:id="80" w:name="_Toc110956287"/>
      <w:r>
        <w:t>Review search results</w:t>
      </w:r>
      <w:bookmarkEnd w:id="77"/>
      <w:bookmarkEnd w:id="78"/>
      <w:bookmarkEnd w:id="79"/>
      <w:bookmarkEnd w:id="80"/>
    </w:p>
    <w:p w14:paraId="35557186" w14:textId="6D33CBC5" w:rsidR="00676ACD" w:rsidRPr="001405C9" w:rsidRDefault="00676ACD" w:rsidP="00676ACD">
      <w:pPr>
        <w:pStyle w:val="DVABodytextwithparaspace"/>
      </w:pPr>
      <w:r>
        <w:fldChar w:fldCharType="begin"/>
      </w:r>
      <w:r>
        <w:instrText xml:space="preserve"> REF _Ref105058102 \h  \* MERGEFORMAT </w:instrText>
      </w:r>
      <w:r>
        <w:fldChar w:fldCharType="separate"/>
      </w:r>
      <w:r w:rsidR="00812188">
        <w:t xml:space="preserve">Table </w:t>
      </w:r>
      <w:r w:rsidR="00812188">
        <w:rPr>
          <w:noProof/>
        </w:rPr>
        <w:t>5</w:t>
      </w:r>
      <w:r>
        <w:fldChar w:fldCharType="end"/>
      </w:r>
      <w:r>
        <w:t xml:space="preserve"> outlines the results of the desktop literature review, and details of the key information interviews and case studies. </w:t>
      </w:r>
      <w:r w:rsidR="00945EC4">
        <w:fldChar w:fldCharType="begin"/>
      </w:r>
      <w:r w:rsidR="00945EC4">
        <w:instrText xml:space="preserve"> REF _Ref107305828 \h </w:instrText>
      </w:r>
      <w:r w:rsidR="00945EC4">
        <w:fldChar w:fldCharType="separate"/>
      </w:r>
      <w:r w:rsidR="00812188">
        <w:t xml:space="preserve">Table </w:t>
      </w:r>
      <w:r w:rsidR="00812188">
        <w:rPr>
          <w:noProof/>
        </w:rPr>
        <w:t>6</w:t>
      </w:r>
      <w:r w:rsidR="00945EC4">
        <w:fldChar w:fldCharType="end"/>
      </w:r>
      <w:r w:rsidR="00945EC4">
        <w:t xml:space="preserve"> </w:t>
      </w:r>
      <w:r>
        <w:t xml:space="preserve">maps the document type and author to the references listed in Section 5 (References).  </w:t>
      </w:r>
      <w:r>
        <w:fldChar w:fldCharType="begin"/>
      </w:r>
      <w:r>
        <w:instrText xml:space="preserve"> REF _Ref105526452 \h </w:instrText>
      </w:r>
      <w:r>
        <w:fldChar w:fldCharType="separate"/>
      </w:r>
      <w:r w:rsidR="00812188">
        <w:t xml:space="preserve">Figure </w:t>
      </w:r>
      <w:r w:rsidR="00812188">
        <w:rPr>
          <w:noProof/>
        </w:rPr>
        <w:t>2</w:t>
      </w:r>
      <w:r>
        <w:fldChar w:fldCharType="end"/>
      </w:r>
      <w:r>
        <w:t xml:space="preserve"> indicates how each data source informed each review question. Note that not all articles identified in the desktop literature review could contribute to answering the review questions. </w:t>
      </w:r>
    </w:p>
    <w:p w14:paraId="29F0E172" w14:textId="4F689B58" w:rsidR="00676ACD" w:rsidRDefault="00676ACD" w:rsidP="00676ACD">
      <w:pPr>
        <w:pStyle w:val="Caption"/>
      </w:pPr>
      <w:bookmarkStart w:id="81" w:name="_Ref105058102"/>
      <w:bookmarkStart w:id="82" w:name="_Ref105058095"/>
      <w:r>
        <w:t xml:space="preserve">Table </w:t>
      </w:r>
      <w:r>
        <w:fldChar w:fldCharType="begin"/>
      </w:r>
      <w:r>
        <w:instrText xml:space="preserve"> SEQ Table \* ARABIC </w:instrText>
      </w:r>
      <w:r>
        <w:fldChar w:fldCharType="separate"/>
      </w:r>
      <w:r w:rsidR="00812188">
        <w:rPr>
          <w:noProof/>
        </w:rPr>
        <w:t>5</w:t>
      </w:r>
      <w:r>
        <w:fldChar w:fldCharType="end"/>
      </w:r>
      <w:bookmarkEnd w:id="81"/>
      <w:r>
        <w:t>. Summary of data sources generated from the review approach</w:t>
      </w:r>
      <w:bookmarkEnd w:id="82"/>
    </w:p>
    <w:tbl>
      <w:tblPr>
        <w:tblStyle w:val="TableGrid"/>
        <w:tblW w:w="8990" w:type="dxa"/>
        <w:tblInd w:w="-5" w:type="dxa"/>
        <w:tblLook w:val="04A0" w:firstRow="1" w:lastRow="0" w:firstColumn="1" w:lastColumn="0" w:noHBand="0" w:noVBand="1"/>
      </w:tblPr>
      <w:tblGrid>
        <w:gridCol w:w="3119"/>
        <w:gridCol w:w="2835"/>
        <w:gridCol w:w="3036"/>
      </w:tblGrid>
      <w:tr w:rsidR="00676ACD" w:rsidRPr="00E72B1E" w14:paraId="7BBF64DE" w14:textId="77777777" w:rsidTr="007B5579">
        <w:trPr>
          <w:trHeight w:val="359"/>
        </w:trPr>
        <w:tc>
          <w:tcPr>
            <w:tcW w:w="3119" w:type="dxa"/>
            <w:shd w:val="clear" w:color="auto" w:fill="1D3567"/>
          </w:tcPr>
          <w:p w14:paraId="19059BFF" w14:textId="77777777" w:rsidR="00676ACD" w:rsidRPr="0011217C" w:rsidRDefault="00676ACD" w:rsidP="007B5579">
            <w:pPr>
              <w:pStyle w:val="DVA1Number"/>
              <w:numPr>
                <w:ilvl w:val="0"/>
                <w:numId w:val="0"/>
              </w:numPr>
              <w:rPr>
                <w:b/>
                <w:bCs/>
                <w:sz w:val="16"/>
                <w:szCs w:val="16"/>
              </w:rPr>
            </w:pPr>
            <w:r>
              <w:rPr>
                <w:b/>
                <w:bCs/>
                <w:sz w:val="16"/>
                <w:szCs w:val="16"/>
              </w:rPr>
              <w:t>Desktop literature review</w:t>
            </w:r>
          </w:p>
        </w:tc>
        <w:tc>
          <w:tcPr>
            <w:tcW w:w="2835" w:type="dxa"/>
            <w:shd w:val="clear" w:color="auto" w:fill="1D3567"/>
          </w:tcPr>
          <w:p w14:paraId="073E475A" w14:textId="77777777" w:rsidR="00676ACD" w:rsidRPr="0011217C" w:rsidRDefault="00676ACD" w:rsidP="007B5579">
            <w:pPr>
              <w:pStyle w:val="DVA1Number"/>
              <w:numPr>
                <w:ilvl w:val="0"/>
                <w:numId w:val="0"/>
              </w:numPr>
              <w:rPr>
                <w:b/>
                <w:bCs/>
                <w:sz w:val="16"/>
                <w:szCs w:val="16"/>
              </w:rPr>
            </w:pPr>
            <w:r>
              <w:rPr>
                <w:b/>
                <w:bCs/>
                <w:sz w:val="16"/>
                <w:szCs w:val="16"/>
              </w:rPr>
              <w:t>Key informant interviews</w:t>
            </w:r>
          </w:p>
        </w:tc>
        <w:tc>
          <w:tcPr>
            <w:tcW w:w="3036" w:type="dxa"/>
            <w:shd w:val="clear" w:color="auto" w:fill="1D3567"/>
          </w:tcPr>
          <w:p w14:paraId="7B4406A2" w14:textId="77777777" w:rsidR="00676ACD" w:rsidRPr="0011217C" w:rsidRDefault="00676ACD" w:rsidP="007B5579">
            <w:pPr>
              <w:pStyle w:val="DVA1Number"/>
              <w:numPr>
                <w:ilvl w:val="0"/>
                <w:numId w:val="0"/>
              </w:numPr>
              <w:rPr>
                <w:b/>
                <w:bCs/>
                <w:sz w:val="16"/>
                <w:szCs w:val="16"/>
              </w:rPr>
            </w:pPr>
            <w:r>
              <w:rPr>
                <w:b/>
                <w:bCs/>
                <w:sz w:val="16"/>
                <w:szCs w:val="16"/>
              </w:rPr>
              <w:t>Case studies</w:t>
            </w:r>
          </w:p>
        </w:tc>
      </w:tr>
      <w:tr w:rsidR="00676ACD" w:rsidRPr="00E72B1E" w14:paraId="0CB858DB" w14:textId="77777777" w:rsidTr="007B5579">
        <w:trPr>
          <w:trHeight w:val="562"/>
        </w:trPr>
        <w:tc>
          <w:tcPr>
            <w:tcW w:w="3119" w:type="dxa"/>
          </w:tcPr>
          <w:p w14:paraId="788D87C4" w14:textId="77777777" w:rsidR="00676ACD" w:rsidRDefault="00676ACD" w:rsidP="007B5579">
            <w:pPr>
              <w:pStyle w:val="DVABulletnoparaspace"/>
              <w:spacing w:after="120"/>
              <w:ind w:left="177" w:hanging="177"/>
              <w:rPr>
                <w:sz w:val="16"/>
              </w:rPr>
            </w:pPr>
            <w:r>
              <w:rPr>
                <w:sz w:val="16"/>
              </w:rPr>
              <w:t xml:space="preserve">Over </w:t>
            </w:r>
            <w:r w:rsidRPr="00B86A6C">
              <w:rPr>
                <w:sz w:val="16"/>
              </w:rPr>
              <w:t>500</w:t>
            </w:r>
            <w:r>
              <w:rPr>
                <w:sz w:val="16"/>
              </w:rPr>
              <w:t xml:space="preserve"> articles generated from initial the search strategy across published and grey literature </w:t>
            </w:r>
          </w:p>
          <w:p w14:paraId="689E526D" w14:textId="77777777" w:rsidR="00676ACD" w:rsidRDefault="00676ACD" w:rsidP="007B5579">
            <w:pPr>
              <w:pStyle w:val="DVABulletnoparaspace"/>
              <w:spacing w:after="120"/>
              <w:ind w:left="177" w:hanging="177"/>
              <w:rPr>
                <w:sz w:val="16"/>
              </w:rPr>
            </w:pPr>
            <w:r>
              <w:rPr>
                <w:sz w:val="16"/>
              </w:rPr>
              <w:t xml:space="preserve">Application of the manual filter resulted in a total of </w:t>
            </w:r>
            <w:r w:rsidRPr="00DE491E">
              <w:rPr>
                <w:sz w:val="16"/>
              </w:rPr>
              <w:t>45</w:t>
            </w:r>
            <w:r>
              <w:rPr>
                <w:sz w:val="16"/>
              </w:rPr>
              <w:t xml:space="preserve"> articles:</w:t>
            </w:r>
          </w:p>
          <w:p w14:paraId="1CCD12EA" w14:textId="5FD91EA4" w:rsidR="00676ACD" w:rsidRDefault="00676ACD" w:rsidP="007B5579">
            <w:pPr>
              <w:pStyle w:val="DVABulletnoparaspace"/>
              <w:spacing w:after="120"/>
              <w:ind w:left="322" w:hanging="177"/>
              <w:rPr>
                <w:sz w:val="16"/>
              </w:rPr>
            </w:pPr>
            <w:r w:rsidRPr="00DE491E">
              <w:rPr>
                <w:sz w:val="16"/>
              </w:rPr>
              <w:t>17</w:t>
            </w:r>
            <w:r>
              <w:rPr>
                <w:sz w:val="16"/>
              </w:rPr>
              <w:t xml:space="preserve"> evaluation and polic</w:t>
            </w:r>
            <w:r w:rsidRPr="00A06C90">
              <w:rPr>
                <w:sz w:val="16"/>
              </w:rPr>
              <w:t>y documents</w:t>
            </w:r>
            <w:r w:rsidRPr="00760F1E">
              <w:rPr>
                <w:sz w:val="16"/>
              </w:rPr>
              <w:t>*</w:t>
            </w:r>
            <w:r w:rsidRPr="001601AE">
              <w:rPr>
                <w:sz w:val="16"/>
                <w:vertAlign w:val="superscript"/>
              </w:rPr>
              <w:t xml:space="preserve"> </w:t>
            </w:r>
            <w:r w:rsidRPr="00A06C90">
              <w:rPr>
                <w:sz w:val="16"/>
              </w:rPr>
              <w:t>(</w:t>
            </w:r>
            <w:r w:rsidRPr="00A06C90">
              <w:rPr>
                <w:sz w:val="16"/>
              </w:rPr>
              <w:fldChar w:fldCharType="begin"/>
            </w:r>
            <w:r w:rsidRPr="00A06C90">
              <w:rPr>
                <w:sz w:val="16"/>
              </w:rPr>
              <w:instrText xml:space="preserve"> REF _Ref105177271 \n \h  \* MERGEFORMAT </w:instrText>
            </w:r>
            <w:r w:rsidRPr="00A06C90">
              <w:rPr>
                <w:sz w:val="16"/>
              </w:rPr>
            </w:r>
            <w:r w:rsidRPr="00A06C90">
              <w:rPr>
                <w:sz w:val="16"/>
              </w:rPr>
              <w:fldChar w:fldCharType="separate"/>
            </w:r>
            <w:r w:rsidR="00812188">
              <w:rPr>
                <w:sz w:val="16"/>
              </w:rPr>
              <w:t>Appendix A</w:t>
            </w:r>
            <w:r w:rsidRPr="00A06C90">
              <w:rPr>
                <w:sz w:val="16"/>
              </w:rPr>
              <w:fldChar w:fldCharType="end"/>
            </w:r>
            <w:r w:rsidRPr="00A06C90">
              <w:rPr>
                <w:sz w:val="16"/>
              </w:rPr>
              <w:t xml:space="preserve">: </w:t>
            </w:r>
            <w:r w:rsidRPr="00A06C90">
              <w:rPr>
                <w:sz w:val="16"/>
              </w:rPr>
              <w:fldChar w:fldCharType="begin"/>
            </w:r>
            <w:r w:rsidRPr="00A06C90">
              <w:rPr>
                <w:sz w:val="16"/>
              </w:rPr>
              <w:instrText xml:space="preserve"> REF _Ref105603809 \h </w:instrText>
            </w:r>
            <w:r>
              <w:rPr>
                <w:sz w:val="16"/>
              </w:rPr>
              <w:instrText xml:space="preserve"> \* MERGEFORMAT </w:instrText>
            </w:r>
            <w:r w:rsidRPr="00A06C90">
              <w:rPr>
                <w:sz w:val="16"/>
              </w:rPr>
            </w:r>
            <w:r w:rsidRPr="00A06C90">
              <w:rPr>
                <w:sz w:val="16"/>
              </w:rPr>
              <w:fldChar w:fldCharType="separate"/>
            </w:r>
            <w:r w:rsidR="00812188" w:rsidRPr="00812188">
              <w:rPr>
                <w:sz w:val="16"/>
              </w:rPr>
              <w:t xml:space="preserve">Table </w:t>
            </w:r>
            <w:r w:rsidR="00812188" w:rsidRPr="00812188">
              <w:rPr>
                <w:noProof/>
                <w:sz w:val="16"/>
              </w:rPr>
              <w:t>16</w:t>
            </w:r>
            <w:r w:rsidRPr="00A06C90">
              <w:rPr>
                <w:sz w:val="16"/>
              </w:rPr>
              <w:fldChar w:fldCharType="end"/>
            </w:r>
            <w:r>
              <w:rPr>
                <w:sz w:val="16"/>
              </w:rPr>
              <w:t>)</w:t>
            </w:r>
          </w:p>
          <w:p w14:paraId="025B6365" w14:textId="513FEBB7" w:rsidR="00676ACD" w:rsidRDefault="00676ACD" w:rsidP="007B5579">
            <w:pPr>
              <w:pStyle w:val="DVABulletnoparaspace"/>
              <w:spacing w:after="120"/>
              <w:ind w:left="322" w:hanging="177"/>
              <w:rPr>
                <w:sz w:val="16"/>
              </w:rPr>
            </w:pPr>
            <w:r w:rsidRPr="00DE491E">
              <w:rPr>
                <w:sz w:val="16"/>
              </w:rPr>
              <w:t>16</w:t>
            </w:r>
            <w:r>
              <w:rPr>
                <w:sz w:val="16"/>
              </w:rPr>
              <w:t xml:space="preserve"> articles that published the results of evaluations on health programs relevant to DVA health programs </w:t>
            </w:r>
            <w:r>
              <w:rPr>
                <w:sz w:val="16"/>
              </w:rPr>
              <w:br/>
              <w:t>(</w:t>
            </w:r>
            <w:r w:rsidRPr="00DE491E">
              <w:rPr>
                <w:sz w:val="16"/>
              </w:rPr>
              <w:fldChar w:fldCharType="begin"/>
            </w:r>
            <w:r w:rsidRPr="00DE491E">
              <w:rPr>
                <w:sz w:val="16"/>
              </w:rPr>
              <w:instrText xml:space="preserve"> REF _Ref105508769 \n \h </w:instrText>
            </w:r>
            <w:r>
              <w:rPr>
                <w:sz w:val="16"/>
              </w:rPr>
              <w:instrText xml:space="preserve"> \* MERGEFORMAT </w:instrText>
            </w:r>
            <w:r w:rsidRPr="00DE491E">
              <w:rPr>
                <w:sz w:val="16"/>
              </w:rPr>
            </w:r>
            <w:r w:rsidRPr="00DE491E">
              <w:rPr>
                <w:sz w:val="16"/>
              </w:rPr>
              <w:fldChar w:fldCharType="separate"/>
            </w:r>
            <w:r w:rsidR="00812188">
              <w:rPr>
                <w:sz w:val="16"/>
              </w:rPr>
              <w:t>Appendix A</w:t>
            </w:r>
            <w:r w:rsidRPr="00DE491E">
              <w:rPr>
                <w:sz w:val="16"/>
              </w:rPr>
              <w:fldChar w:fldCharType="end"/>
            </w:r>
            <w:r>
              <w:rPr>
                <w:sz w:val="16"/>
              </w:rPr>
              <w:t xml:space="preserve">: </w:t>
            </w:r>
            <w:r w:rsidRPr="008054C5">
              <w:rPr>
                <w:sz w:val="16"/>
              </w:rPr>
              <w:fldChar w:fldCharType="begin"/>
            </w:r>
            <w:r w:rsidRPr="0045663E">
              <w:rPr>
                <w:sz w:val="16"/>
              </w:rPr>
              <w:instrText xml:space="preserve"> REF _Ref106717976 \h </w:instrText>
            </w:r>
            <w:r>
              <w:rPr>
                <w:sz w:val="16"/>
              </w:rPr>
              <w:instrText xml:space="preserve"> \* MERGEFORMAT </w:instrText>
            </w:r>
            <w:r w:rsidRPr="008054C5">
              <w:rPr>
                <w:sz w:val="16"/>
              </w:rPr>
            </w:r>
            <w:r w:rsidRPr="008054C5">
              <w:rPr>
                <w:sz w:val="16"/>
              </w:rPr>
              <w:fldChar w:fldCharType="separate"/>
            </w:r>
            <w:r w:rsidR="00812188" w:rsidRPr="00812188">
              <w:rPr>
                <w:sz w:val="16"/>
              </w:rPr>
              <w:t xml:space="preserve">Table </w:t>
            </w:r>
            <w:r w:rsidR="00812188" w:rsidRPr="00812188">
              <w:rPr>
                <w:noProof/>
                <w:sz w:val="16"/>
              </w:rPr>
              <w:t>17</w:t>
            </w:r>
            <w:r w:rsidRPr="008054C5">
              <w:rPr>
                <w:sz w:val="16"/>
              </w:rPr>
              <w:fldChar w:fldCharType="end"/>
            </w:r>
            <w:r>
              <w:rPr>
                <w:sz w:val="16"/>
              </w:rPr>
              <w:t>)</w:t>
            </w:r>
          </w:p>
          <w:p w14:paraId="0700B8A4" w14:textId="182BFD0A" w:rsidR="00676ACD" w:rsidRPr="00E15627" w:rsidRDefault="00676ACD" w:rsidP="007B5579">
            <w:pPr>
              <w:pStyle w:val="DVABulletnoparaspace"/>
              <w:spacing w:after="120"/>
              <w:ind w:left="322" w:hanging="177"/>
              <w:rPr>
                <w:sz w:val="16"/>
              </w:rPr>
            </w:pPr>
            <w:r w:rsidRPr="00DE491E">
              <w:rPr>
                <w:sz w:val="16"/>
              </w:rPr>
              <w:t>12</w:t>
            </w:r>
            <w:r>
              <w:rPr>
                <w:sz w:val="16"/>
              </w:rPr>
              <w:t xml:space="preserve"> systematic reviews of evaluations of health programs relevant to DVA health programs </w:t>
            </w:r>
            <w:r>
              <w:rPr>
                <w:sz w:val="16"/>
              </w:rPr>
              <w:br/>
              <w:t>(</w:t>
            </w:r>
            <w:r>
              <w:rPr>
                <w:sz w:val="16"/>
              </w:rPr>
              <w:fldChar w:fldCharType="begin"/>
            </w:r>
            <w:r>
              <w:rPr>
                <w:sz w:val="16"/>
              </w:rPr>
              <w:instrText xml:space="preserve"> REF _Ref105508859 \n \h </w:instrText>
            </w:r>
            <w:r>
              <w:rPr>
                <w:sz w:val="16"/>
              </w:rPr>
            </w:r>
            <w:r>
              <w:rPr>
                <w:sz w:val="16"/>
              </w:rPr>
              <w:fldChar w:fldCharType="separate"/>
            </w:r>
            <w:r w:rsidR="00812188">
              <w:rPr>
                <w:sz w:val="16"/>
              </w:rPr>
              <w:t>Appendix A</w:t>
            </w:r>
            <w:r>
              <w:rPr>
                <w:sz w:val="16"/>
              </w:rPr>
              <w:fldChar w:fldCharType="end"/>
            </w:r>
            <w:r w:rsidRPr="00176CF3">
              <w:rPr>
                <w:sz w:val="16"/>
              </w:rPr>
              <w:t xml:space="preserve">: </w:t>
            </w:r>
            <w:r w:rsidRPr="00176CF3">
              <w:rPr>
                <w:sz w:val="16"/>
              </w:rPr>
              <w:fldChar w:fldCharType="begin"/>
            </w:r>
            <w:r w:rsidRPr="00176CF3">
              <w:rPr>
                <w:sz w:val="16"/>
              </w:rPr>
              <w:instrText xml:space="preserve"> REF _Ref105508901 \h </w:instrText>
            </w:r>
            <w:r>
              <w:rPr>
                <w:sz w:val="16"/>
              </w:rPr>
              <w:instrText xml:space="preserve"> \* MERGEFORMAT </w:instrText>
            </w:r>
            <w:r w:rsidRPr="00176CF3">
              <w:rPr>
                <w:sz w:val="16"/>
              </w:rPr>
            </w:r>
            <w:r w:rsidRPr="00176CF3">
              <w:rPr>
                <w:sz w:val="16"/>
              </w:rPr>
              <w:fldChar w:fldCharType="separate"/>
            </w:r>
            <w:r w:rsidR="00812188" w:rsidRPr="00812188">
              <w:rPr>
                <w:sz w:val="16"/>
              </w:rPr>
              <w:t xml:space="preserve">Table </w:t>
            </w:r>
            <w:r w:rsidR="00812188" w:rsidRPr="00812188">
              <w:rPr>
                <w:noProof/>
                <w:sz w:val="16"/>
              </w:rPr>
              <w:t>18</w:t>
            </w:r>
            <w:r w:rsidRPr="00176CF3">
              <w:rPr>
                <w:sz w:val="16"/>
              </w:rPr>
              <w:fldChar w:fldCharType="end"/>
            </w:r>
            <w:r>
              <w:rPr>
                <w:sz w:val="16"/>
              </w:rPr>
              <w:t>)</w:t>
            </w:r>
          </w:p>
        </w:tc>
        <w:tc>
          <w:tcPr>
            <w:tcW w:w="2835" w:type="dxa"/>
          </w:tcPr>
          <w:p w14:paraId="41B81FBB" w14:textId="77777777" w:rsidR="00676ACD" w:rsidRDefault="00676ACD" w:rsidP="007B5579">
            <w:pPr>
              <w:pStyle w:val="DVABulletnoparaspace"/>
              <w:numPr>
                <w:ilvl w:val="0"/>
                <w:numId w:val="0"/>
              </w:numPr>
              <w:spacing w:after="120"/>
              <w:rPr>
                <w:sz w:val="16"/>
              </w:rPr>
            </w:pPr>
            <w:r w:rsidRPr="00CA7E78">
              <w:rPr>
                <w:sz w:val="16"/>
              </w:rPr>
              <w:t>2 key informant</w:t>
            </w:r>
            <w:r>
              <w:rPr>
                <w:sz w:val="16"/>
              </w:rPr>
              <w:t xml:space="preserve"> interviews conducted with US experts:</w:t>
            </w:r>
          </w:p>
          <w:p w14:paraId="4FA62396" w14:textId="77777777" w:rsidR="00676ACD" w:rsidRDefault="00676ACD" w:rsidP="007B5579">
            <w:pPr>
              <w:pStyle w:val="DVABulletnoparaspace"/>
              <w:numPr>
                <w:ilvl w:val="0"/>
                <w:numId w:val="0"/>
              </w:numPr>
              <w:spacing w:after="120"/>
              <w:rPr>
                <w:sz w:val="16"/>
              </w:rPr>
            </w:pPr>
          </w:p>
          <w:p w14:paraId="33B01A2B" w14:textId="6E8DF29A" w:rsidR="00676ACD" w:rsidRDefault="00676ACD" w:rsidP="007B5579">
            <w:pPr>
              <w:pStyle w:val="DVABulletnoparaspace"/>
              <w:spacing w:after="120"/>
              <w:ind w:left="177" w:hanging="177"/>
              <w:rPr>
                <w:sz w:val="16"/>
              </w:rPr>
            </w:pPr>
            <w:r w:rsidRPr="00E15627">
              <w:rPr>
                <w:sz w:val="16"/>
              </w:rPr>
              <w:t>EY Executive Director</w:t>
            </w:r>
            <w:r>
              <w:rPr>
                <w:sz w:val="16"/>
              </w:rPr>
              <w:t xml:space="preserve"> of</w:t>
            </w:r>
            <w:r w:rsidRPr="00E15627">
              <w:rPr>
                <w:sz w:val="16"/>
              </w:rPr>
              <w:t xml:space="preserve"> Technology Consulting, Data &amp; Analytics (United States)</w:t>
            </w:r>
            <w:r>
              <w:rPr>
                <w:sz w:val="16"/>
              </w:rPr>
              <w:br/>
              <w:t>(</w:t>
            </w:r>
            <w:r>
              <w:rPr>
                <w:sz w:val="16"/>
              </w:rPr>
              <w:fldChar w:fldCharType="begin"/>
            </w:r>
            <w:r>
              <w:rPr>
                <w:sz w:val="16"/>
              </w:rPr>
              <w:instrText xml:space="preserve"> REF _Ref105057799 \n \h </w:instrText>
            </w:r>
            <w:r>
              <w:rPr>
                <w:sz w:val="16"/>
              </w:rPr>
            </w:r>
            <w:r>
              <w:rPr>
                <w:sz w:val="16"/>
              </w:rPr>
              <w:fldChar w:fldCharType="separate"/>
            </w:r>
            <w:r w:rsidR="00812188">
              <w:rPr>
                <w:sz w:val="16"/>
              </w:rPr>
              <w:t>Appendix B</w:t>
            </w:r>
            <w:r>
              <w:rPr>
                <w:sz w:val="16"/>
              </w:rPr>
              <w:fldChar w:fldCharType="end"/>
            </w:r>
            <w:r w:rsidRPr="00137581">
              <w:rPr>
                <w:sz w:val="16"/>
              </w:rPr>
              <w:t>:</w:t>
            </w:r>
            <w:r w:rsidRPr="00137581">
              <w:rPr>
                <w:sz w:val="16"/>
              </w:rPr>
              <w:fldChar w:fldCharType="begin"/>
            </w:r>
            <w:r w:rsidRPr="00137581">
              <w:rPr>
                <w:sz w:val="16"/>
              </w:rPr>
              <w:instrText xml:space="preserve"> REF _Ref106781295 \h </w:instrText>
            </w:r>
            <w:r>
              <w:rPr>
                <w:sz w:val="16"/>
              </w:rPr>
              <w:instrText xml:space="preserve"> \* MERGEFORMAT </w:instrText>
            </w:r>
            <w:r w:rsidRPr="00137581">
              <w:rPr>
                <w:sz w:val="16"/>
              </w:rPr>
            </w:r>
            <w:r w:rsidRPr="00137581">
              <w:rPr>
                <w:sz w:val="16"/>
              </w:rPr>
              <w:fldChar w:fldCharType="separate"/>
            </w:r>
            <w:r w:rsidR="00812188" w:rsidRPr="00812188">
              <w:rPr>
                <w:sz w:val="16"/>
              </w:rPr>
              <w:t xml:space="preserve">Table </w:t>
            </w:r>
            <w:r w:rsidR="00812188" w:rsidRPr="00812188">
              <w:rPr>
                <w:noProof/>
                <w:sz w:val="16"/>
              </w:rPr>
              <w:t>19</w:t>
            </w:r>
            <w:r w:rsidRPr="00137581">
              <w:rPr>
                <w:sz w:val="16"/>
              </w:rPr>
              <w:fldChar w:fldCharType="end"/>
            </w:r>
            <w:r>
              <w:rPr>
                <w:sz w:val="16"/>
              </w:rPr>
              <w:t>)</w:t>
            </w:r>
          </w:p>
          <w:p w14:paraId="05E8B3F3" w14:textId="7F38A65C" w:rsidR="00676ACD" w:rsidRPr="00E72B1E" w:rsidRDefault="00676ACD" w:rsidP="007B5579">
            <w:pPr>
              <w:pStyle w:val="DVABulletnoparaspace"/>
              <w:spacing w:after="120"/>
              <w:ind w:left="177" w:hanging="177"/>
              <w:rPr>
                <w:sz w:val="16"/>
              </w:rPr>
            </w:pPr>
            <w:r>
              <w:rPr>
                <w:sz w:val="16"/>
              </w:rPr>
              <w:t xml:space="preserve">EY Partner of Strategy and Transactions, </w:t>
            </w:r>
            <w:r w:rsidRPr="000B4A21">
              <w:rPr>
                <w:sz w:val="16"/>
              </w:rPr>
              <w:t xml:space="preserve">former </w:t>
            </w:r>
            <w:r w:rsidRPr="0009606A">
              <w:rPr>
                <w:sz w:val="16"/>
              </w:rPr>
              <w:t xml:space="preserve">Assistant Secretary for Enterprise Integration </w:t>
            </w:r>
            <w:r w:rsidRPr="000B4A21">
              <w:rPr>
                <w:sz w:val="16"/>
              </w:rPr>
              <w:t xml:space="preserve">for Department of Veterans Affairs </w:t>
            </w:r>
            <w:r>
              <w:rPr>
                <w:sz w:val="16"/>
              </w:rPr>
              <w:t>(United States)</w:t>
            </w:r>
            <w:r>
              <w:rPr>
                <w:sz w:val="16"/>
              </w:rPr>
              <w:br/>
              <w:t>(</w:t>
            </w:r>
            <w:r w:rsidRPr="008C0746">
              <w:rPr>
                <w:sz w:val="16"/>
              </w:rPr>
              <w:fldChar w:fldCharType="begin"/>
            </w:r>
            <w:r w:rsidRPr="008C0746">
              <w:rPr>
                <w:sz w:val="16"/>
              </w:rPr>
              <w:instrText xml:space="preserve"> REF _Ref104836516 \n \h  \* MERGEFORMAT </w:instrText>
            </w:r>
            <w:r w:rsidRPr="008C0746">
              <w:rPr>
                <w:sz w:val="16"/>
              </w:rPr>
            </w:r>
            <w:r w:rsidRPr="008C0746">
              <w:rPr>
                <w:sz w:val="16"/>
              </w:rPr>
              <w:fldChar w:fldCharType="separate"/>
            </w:r>
            <w:r w:rsidR="00812188">
              <w:rPr>
                <w:sz w:val="16"/>
              </w:rPr>
              <w:t>Appendix B</w:t>
            </w:r>
            <w:r w:rsidRPr="008C0746">
              <w:rPr>
                <w:sz w:val="16"/>
              </w:rPr>
              <w:fldChar w:fldCharType="end"/>
            </w:r>
            <w:r w:rsidRPr="00137581">
              <w:rPr>
                <w:sz w:val="16"/>
              </w:rPr>
              <w:t xml:space="preserve">: </w:t>
            </w:r>
            <w:r w:rsidRPr="00137581">
              <w:rPr>
                <w:sz w:val="16"/>
              </w:rPr>
              <w:fldChar w:fldCharType="begin"/>
            </w:r>
            <w:r w:rsidRPr="00137581">
              <w:rPr>
                <w:sz w:val="16"/>
              </w:rPr>
              <w:instrText xml:space="preserve"> REF _Ref106781304 \h </w:instrText>
            </w:r>
            <w:r>
              <w:rPr>
                <w:sz w:val="16"/>
              </w:rPr>
              <w:instrText xml:space="preserve"> \* MERGEFORMAT </w:instrText>
            </w:r>
            <w:r w:rsidRPr="00137581">
              <w:rPr>
                <w:sz w:val="16"/>
              </w:rPr>
            </w:r>
            <w:r w:rsidRPr="00137581">
              <w:rPr>
                <w:sz w:val="16"/>
              </w:rPr>
              <w:fldChar w:fldCharType="separate"/>
            </w:r>
            <w:r w:rsidR="00812188" w:rsidRPr="00812188">
              <w:rPr>
                <w:sz w:val="16"/>
              </w:rPr>
              <w:t xml:space="preserve">Table </w:t>
            </w:r>
            <w:r w:rsidR="00812188" w:rsidRPr="00812188">
              <w:rPr>
                <w:noProof/>
                <w:sz w:val="16"/>
              </w:rPr>
              <w:t>20</w:t>
            </w:r>
            <w:r w:rsidRPr="00137581">
              <w:rPr>
                <w:sz w:val="16"/>
              </w:rPr>
              <w:fldChar w:fldCharType="end"/>
            </w:r>
            <w:r w:rsidRPr="008C0746">
              <w:rPr>
                <w:sz w:val="16"/>
              </w:rPr>
              <w:t>)</w:t>
            </w:r>
            <w:r>
              <w:rPr>
                <w:sz w:val="16"/>
              </w:rPr>
              <w:br/>
            </w:r>
          </w:p>
        </w:tc>
        <w:tc>
          <w:tcPr>
            <w:tcW w:w="3036" w:type="dxa"/>
          </w:tcPr>
          <w:p w14:paraId="4B4C19F7" w14:textId="77777777" w:rsidR="00676ACD" w:rsidRDefault="00676ACD" w:rsidP="007B5579">
            <w:pPr>
              <w:pStyle w:val="DVABulletnoparaspace"/>
              <w:numPr>
                <w:ilvl w:val="0"/>
                <w:numId w:val="0"/>
              </w:numPr>
              <w:spacing w:after="120"/>
              <w:rPr>
                <w:sz w:val="16"/>
              </w:rPr>
            </w:pPr>
            <w:r>
              <w:rPr>
                <w:sz w:val="16"/>
              </w:rPr>
              <w:t>Representatives from three Australian organisations interviewed</w:t>
            </w:r>
          </w:p>
          <w:p w14:paraId="418CE469" w14:textId="77777777" w:rsidR="00676ACD" w:rsidRDefault="00676ACD" w:rsidP="007B5579">
            <w:pPr>
              <w:pStyle w:val="DVABulletnoparaspace"/>
              <w:numPr>
                <w:ilvl w:val="0"/>
                <w:numId w:val="0"/>
              </w:numPr>
              <w:spacing w:after="120"/>
              <w:rPr>
                <w:sz w:val="16"/>
              </w:rPr>
            </w:pPr>
          </w:p>
          <w:p w14:paraId="55235527" w14:textId="1C7EBC3D" w:rsidR="00676ACD" w:rsidRDefault="00676ACD" w:rsidP="007B5579">
            <w:pPr>
              <w:pStyle w:val="DVABulletnoparaspace"/>
              <w:spacing w:after="120"/>
              <w:rPr>
                <w:sz w:val="16"/>
              </w:rPr>
            </w:pPr>
            <w:r w:rsidRPr="002B28C3">
              <w:rPr>
                <w:sz w:val="16"/>
              </w:rPr>
              <w:t xml:space="preserve">Program evaluation unit, NT Department of Treasury and Finance </w:t>
            </w:r>
            <w:r>
              <w:rPr>
                <w:sz w:val="16"/>
              </w:rPr>
              <w:t>(</w:t>
            </w:r>
            <w:r>
              <w:rPr>
                <w:sz w:val="16"/>
              </w:rPr>
              <w:fldChar w:fldCharType="begin"/>
            </w:r>
            <w:r>
              <w:rPr>
                <w:sz w:val="16"/>
              </w:rPr>
              <w:instrText xml:space="preserve"> REF _Ref106703241 \n \h </w:instrText>
            </w:r>
            <w:r>
              <w:rPr>
                <w:sz w:val="16"/>
              </w:rPr>
            </w:r>
            <w:r>
              <w:rPr>
                <w:sz w:val="16"/>
              </w:rPr>
              <w:fldChar w:fldCharType="separate"/>
            </w:r>
            <w:r w:rsidR="00812188">
              <w:rPr>
                <w:sz w:val="16"/>
              </w:rPr>
              <w:t>Appendix C</w:t>
            </w:r>
            <w:r>
              <w:rPr>
                <w:sz w:val="16"/>
              </w:rPr>
              <w:fldChar w:fldCharType="end"/>
            </w:r>
            <w:r w:rsidRPr="008916D1">
              <w:rPr>
                <w:sz w:val="16"/>
              </w:rPr>
              <w:t xml:space="preserve">: </w:t>
            </w:r>
            <w:r w:rsidRPr="008916D1">
              <w:rPr>
                <w:sz w:val="16"/>
              </w:rPr>
              <w:fldChar w:fldCharType="begin"/>
            </w:r>
            <w:r w:rsidRPr="008916D1">
              <w:rPr>
                <w:sz w:val="16"/>
              </w:rPr>
              <w:instrText xml:space="preserve"> REF _Ref105509729 \h </w:instrText>
            </w:r>
            <w:r>
              <w:rPr>
                <w:sz w:val="16"/>
              </w:rPr>
              <w:instrText xml:space="preserve"> \* MERGEFORMAT </w:instrText>
            </w:r>
            <w:r w:rsidRPr="008916D1">
              <w:rPr>
                <w:sz w:val="16"/>
              </w:rPr>
            </w:r>
            <w:r w:rsidRPr="008916D1">
              <w:rPr>
                <w:sz w:val="16"/>
              </w:rPr>
              <w:fldChar w:fldCharType="separate"/>
            </w:r>
            <w:r w:rsidR="00812188" w:rsidRPr="00812188">
              <w:rPr>
                <w:sz w:val="16"/>
              </w:rPr>
              <w:t>Table 21</w:t>
            </w:r>
            <w:r w:rsidRPr="008916D1">
              <w:rPr>
                <w:sz w:val="16"/>
              </w:rPr>
              <w:fldChar w:fldCharType="end"/>
            </w:r>
            <w:r>
              <w:rPr>
                <w:sz w:val="16"/>
              </w:rPr>
              <w:t>)</w:t>
            </w:r>
          </w:p>
          <w:p w14:paraId="47869E2C" w14:textId="03F29647" w:rsidR="00676ACD" w:rsidRPr="00535852" w:rsidRDefault="00676ACD" w:rsidP="007B5579">
            <w:pPr>
              <w:pStyle w:val="DVABulletnoparaspace"/>
              <w:spacing w:after="120"/>
              <w:rPr>
                <w:sz w:val="16"/>
              </w:rPr>
            </w:pPr>
            <w:r w:rsidRPr="000C086C">
              <w:rPr>
                <w:sz w:val="16"/>
              </w:rPr>
              <w:t>NSW Ministry of Health Advisor</w:t>
            </w:r>
            <w:r w:rsidRPr="000C086C">
              <w:rPr>
                <w:sz w:val="16"/>
              </w:rPr>
              <w:br/>
              <w:t>(</w:t>
            </w:r>
            <w:r w:rsidRPr="00535852">
              <w:rPr>
                <w:sz w:val="16"/>
              </w:rPr>
              <w:fldChar w:fldCharType="begin"/>
            </w:r>
            <w:r w:rsidRPr="00535852">
              <w:rPr>
                <w:sz w:val="16"/>
              </w:rPr>
              <w:instrText xml:space="preserve"> REF _Ref106703139 \n \h </w:instrText>
            </w:r>
            <w:r>
              <w:rPr>
                <w:sz w:val="16"/>
              </w:rPr>
              <w:instrText xml:space="preserve"> \* MERGEFORMAT </w:instrText>
            </w:r>
            <w:r w:rsidRPr="00535852">
              <w:rPr>
                <w:sz w:val="16"/>
              </w:rPr>
            </w:r>
            <w:r w:rsidRPr="00535852">
              <w:rPr>
                <w:sz w:val="16"/>
              </w:rPr>
              <w:fldChar w:fldCharType="separate"/>
            </w:r>
            <w:r w:rsidR="00812188">
              <w:rPr>
                <w:sz w:val="16"/>
              </w:rPr>
              <w:t>Appendix C</w:t>
            </w:r>
            <w:r w:rsidRPr="00535852">
              <w:rPr>
                <w:sz w:val="16"/>
              </w:rPr>
              <w:fldChar w:fldCharType="end"/>
            </w:r>
            <w:r w:rsidRPr="00535852">
              <w:rPr>
                <w:sz w:val="16"/>
              </w:rPr>
              <w:t>:</w:t>
            </w:r>
            <w:r>
              <w:rPr>
                <w:sz w:val="16"/>
              </w:rPr>
              <w:t xml:space="preserve"> </w:t>
            </w:r>
            <w:r w:rsidRPr="00535852">
              <w:rPr>
                <w:sz w:val="16"/>
              </w:rPr>
              <w:fldChar w:fldCharType="begin"/>
            </w:r>
            <w:r w:rsidRPr="00535852">
              <w:rPr>
                <w:sz w:val="16"/>
              </w:rPr>
              <w:instrText xml:space="preserve"> REF _Ref106703207 \h </w:instrText>
            </w:r>
            <w:r>
              <w:rPr>
                <w:sz w:val="16"/>
              </w:rPr>
              <w:instrText xml:space="preserve"> \* MERGEFORMAT </w:instrText>
            </w:r>
            <w:r w:rsidRPr="00535852">
              <w:rPr>
                <w:sz w:val="16"/>
              </w:rPr>
            </w:r>
            <w:r w:rsidRPr="00535852">
              <w:rPr>
                <w:sz w:val="16"/>
              </w:rPr>
              <w:fldChar w:fldCharType="separate"/>
            </w:r>
            <w:r w:rsidR="00812188" w:rsidRPr="00812188">
              <w:rPr>
                <w:sz w:val="16"/>
              </w:rPr>
              <w:t xml:space="preserve">Table </w:t>
            </w:r>
            <w:r w:rsidR="00812188" w:rsidRPr="00812188">
              <w:rPr>
                <w:noProof/>
                <w:sz w:val="16"/>
              </w:rPr>
              <w:t>22</w:t>
            </w:r>
            <w:r w:rsidRPr="00535852">
              <w:rPr>
                <w:sz w:val="16"/>
              </w:rPr>
              <w:fldChar w:fldCharType="end"/>
            </w:r>
            <w:r w:rsidR="00DB3165">
              <w:rPr>
                <w:sz w:val="16"/>
              </w:rPr>
              <w:t>)</w:t>
            </w:r>
            <w:r w:rsidRPr="00535852">
              <w:rPr>
                <w:sz w:val="16"/>
              </w:rPr>
              <w:t xml:space="preserve"> </w:t>
            </w:r>
          </w:p>
          <w:p w14:paraId="5291C3E9" w14:textId="415DF9E1" w:rsidR="00812188" w:rsidRPr="00812188" w:rsidRDefault="00676ACD" w:rsidP="00504EDE">
            <w:pPr>
              <w:pStyle w:val="DVABulletnoparaspace"/>
            </w:pPr>
            <w:r w:rsidRPr="00504EDE">
              <w:rPr>
                <w:sz w:val="16"/>
              </w:rPr>
              <w:t>Australian Government Department of Finance</w:t>
            </w:r>
            <w:r w:rsidR="00504EDE" w:rsidRPr="00504EDE">
              <w:rPr>
                <w:sz w:val="16"/>
              </w:rPr>
              <w:t xml:space="preserve"> (now Australian Centre for Evaluation)</w:t>
            </w:r>
            <w:r w:rsidRPr="008916D1">
              <w:br/>
            </w:r>
            <w:r>
              <w:t>(</w:t>
            </w:r>
            <w:r w:rsidRPr="00535852">
              <w:fldChar w:fldCharType="begin"/>
            </w:r>
            <w:r w:rsidRPr="00535852">
              <w:instrText xml:space="preserve"> REF _Ref106703153 \n \h </w:instrText>
            </w:r>
            <w:r>
              <w:instrText xml:space="preserve"> \* MERGEFORMAT </w:instrText>
            </w:r>
            <w:r w:rsidRPr="00535852">
              <w:fldChar w:fldCharType="separate"/>
            </w:r>
            <w:r w:rsidR="00812188">
              <w:t>Appendix C</w:t>
            </w:r>
            <w:r w:rsidRPr="00535852">
              <w:fldChar w:fldCharType="end"/>
            </w:r>
            <w:r w:rsidRPr="00535852">
              <w:t xml:space="preserve">: </w:t>
            </w:r>
            <w:r w:rsidRPr="00137581">
              <w:fldChar w:fldCharType="begin"/>
            </w:r>
            <w:r w:rsidRPr="00587403">
              <w:instrText xml:space="preserve"> REF _Ref105509824 \h  \* MERGEFORMAT </w:instrText>
            </w:r>
            <w:r w:rsidRPr="00137581">
              <w:fldChar w:fldCharType="separate"/>
            </w:r>
            <w:r w:rsidR="00812188" w:rsidRPr="00812188">
              <w:br w:type="page"/>
            </w:r>
          </w:p>
          <w:p w14:paraId="40801527" w14:textId="0056DD18" w:rsidR="00676ACD" w:rsidRPr="00DE6FB9" w:rsidRDefault="00812188" w:rsidP="006C68F1">
            <w:pPr>
              <w:pStyle w:val="DVABulletnoparaspace"/>
              <w:spacing w:after="120"/>
              <w:rPr>
                <w:sz w:val="16"/>
              </w:rPr>
            </w:pPr>
            <w:r w:rsidRPr="00812188">
              <w:rPr>
                <w:sz w:val="16"/>
              </w:rPr>
              <w:t xml:space="preserve">Table </w:t>
            </w:r>
            <w:r>
              <w:rPr>
                <w:noProof/>
              </w:rPr>
              <w:t>23</w:t>
            </w:r>
            <w:r w:rsidR="00676ACD" w:rsidRPr="00137581">
              <w:rPr>
                <w:sz w:val="16"/>
              </w:rPr>
              <w:fldChar w:fldCharType="end"/>
            </w:r>
            <w:r w:rsidR="00676ACD" w:rsidRPr="00137581">
              <w:rPr>
                <w:sz w:val="16"/>
              </w:rPr>
              <w:t>)</w:t>
            </w:r>
          </w:p>
        </w:tc>
      </w:tr>
    </w:tbl>
    <w:p w14:paraId="79C876EA" w14:textId="646FD8E4" w:rsidR="00676ACD" w:rsidRPr="009014F6" w:rsidRDefault="00676ACD" w:rsidP="009014F6">
      <w:pPr>
        <w:pStyle w:val="DVABodytextwithparaspace"/>
        <w:rPr>
          <w:sz w:val="16"/>
          <w:szCs w:val="16"/>
        </w:rPr>
      </w:pPr>
      <w:bookmarkStart w:id="83" w:name="_Ref105065559"/>
      <w:r>
        <w:rPr>
          <w:sz w:val="16"/>
          <w:szCs w:val="16"/>
        </w:rPr>
        <w:t>*</w:t>
      </w:r>
      <w:r w:rsidRPr="001601AE">
        <w:rPr>
          <w:sz w:val="16"/>
          <w:szCs w:val="16"/>
        </w:rPr>
        <w:t xml:space="preserve">We reviewed all websites listed in </w:t>
      </w:r>
      <w:r w:rsidRPr="001601AE">
        <w:rPr>
          <w:sz w:val="16"/>
          <w:szCs w:val="16"/>
        </w:rPr>
        <w:fldChar w:fldCharType="begin"/>
      </w:r>
      <w:r w:rsidRPr="001601AE">
        <w:rPr>
          <w:sz w:val="16"/>
          <w:szCs w:val="16"/>
        </w:rPr>
        <w:instrText xml:space="preserve"> REF _Ref102591452 \h  \* MERGEFORMAT </w:instrText>
      </w:r>
      <w:r w:rsidRPr="001601AE">
        <w:rPr>
          <w:sz w:val="16"/>
          <w:szCs w:val="16"/>
        </w:rPr>
      </w:r>
      <w:r w:rsidRPr="001601AE">
        <w:rPr>
          <w:sz w:val="16"/>
          <w:szCs w:val="16"/>
        </w:rPr>
        <w:fldChar w:fldCharType="separate"/>
      </w:r>
      <w:r w:rsidR="00812188" w:rsidRPr="00812188">
        <w:rPr>
          <w:rFonts w:ascii="Calibri" w:hAnsi="Calibri"/>
          <w:sz w:val="16"/>
          <w:szCs w:val="16"/>
        </w:rPr>
        <w:t>Table 4</w:t>
      </w:r>
      <w:r w:rsidRPr="001601AE">
        <w:rPr>
          <w:sz w:val="16"/>
          <w:szCs w:val="16"/>
        </w:rPr>
        <w:fldChar w:fldCharType="end"/>
      </w:r>
      <w:r w:rsidRPr="001601AE">
        <w:rPr>
          <w:sz w:val="16"/>
          <w:szCs w:val="16"/>
        </w:rPr>
        <w:t>, however, not all sites provided program guidelines and policies to inform evaluation. Therefore, only those that provided specific guidance were used and referenced in this report.</w:t>
      </w:r>
    </w:p>
    <w:p w14:paraId="1A86DA75" w14:textId="440324FE" w:rsidR="00676ACD" w:rsidRDefault="00B031C7" w:rsidP="00676ACD">
      <w:pPr>
        <w:pStyle w:val="Caption"/>
      </w:pPr>
      <w:bookmarkStart w:id="84" w:name="_Ref106736491"/>
      <w:r>
        <w:br w:type="column"/>
      </w:r>
      <w:bookmarkStart w:id="85" w:name="_Ref107305828"/>
      <w:r w:rsidR="00676ACD">
        <w:lastRenderedPageBreak/>
        <w:t xml:space="preserve">Table </w:t>
      </w:r>
      <w:r w:rsidR="00676ACD">
        <w:fldChar w:fldCharType="begin"/>
      </w:r>
      <w:r w:rsidR="00676ACD">
        <w:instrText xml:space="preserve"> SEQ Table \* ARABIC </w:instrText>
      </w:r>
      <w:r w:rsidR="00676ACD">
        <w:fldChar w:fldCharType="separate"/>
      </w:r>
      <w:r w:rsidR="00812188">
        <w:rPr>
          <w:noProof/>
        </w:rPr>
        <w:t>6</w:t>
      </w:r>
      <w:r w:rsidR="00676ACD">
        <w:fldChar w:fldCharType="end"/>
      </w:r>
      <w:bookmarkEnd w:id="84"/>
      <w:bookmarkEnd w:id="85"/>
      <w:r w:rsidR="00676ACD">
        <w:t xml:space="preserve">: Document type and author of references in Section 5 - References </w:t>
      </w:r>
    </w:p>
    <w:tbl>
      <w:tblPr>
        <w:tblStyle w:val="TableGrid"/>
        <w:tblW w:w="0" w:type="auto"/>
        <w:tblLook w:val="04A0" w:firstRow="1" w:lastRow="0" w:firstColumn="1" w:lastColumn="0" w:noHBand="0" w:noVBand="1"/>
      </w:tblPr>
      <w:tblGrid>
        <w:gridCol w:w="930"/>
        <w:gridCol w:w="2184"/>
        <w:gridCol w:w="816"/>
        <w:gridCol w:w="2069"/>
        <w:gridCol w:w="897"/>
        <w:gridCol w:w="2154"/>
      </w:tblGrid>
      <w:tr w:rsidR="00676ACD" w14:paraId="7F0BEB0D" w14:textId="77777777" w:rsidTr="007B5579">
        <w:trPr>
          <w:trHeight w:val="423"/>
          <w:tblHeader/>
        </w:trPr>
        <w:tc>
          <w:tcPr>
            <w:tcW w:w="3083" w:type="dxa"/>
            <w:gridSpan w:val="2"/>
            <w:shd w:val="clear" w:color="auto" w:fill="1D3567"/>
          </w:tcPr>
          <w:p w14:paraId="42778043" w14:textId="77777777" w:rsidR="00676ACD" w:rsidRPr="000920BA" w:rsidRDefault="00676ACD" w:rsidP="007B5579">
            <w:pPr>
              <w:pStyle w:val="DVA1Number"/>
              <w:numPr>
                <w:ilvl w:val="0"/>
                <w:numId w:val="0"/>
              </w:numPr>
              <w:spacing w:after="0"/>
              <w:ind w:left="425" w:hanging="425"/>
              <w:rPr>
                <w:rFonts w:asciiTheme="minorHAnsi" w:hAnsiTheme="minorHAnsi"/>
                <w:b/>
                <w:sz w:val="16"/>
                <w:szCs w:val="16"/>
              </w:rPr>
            </w:pPr>
            <w:r w:rsidRPr="000920BA">
              <w:rPr>
                <w:rFonts w:asciiTheme="minorHAnsi" w:hAnsiTheme="minorHAnsi"/>
                <w:b/>
                <w:sz w:val="16"/>
                <w:szCs w:val="16"/>
              </w:rPr>
              <w:t>Policy and Guidance doc</w:t>
            </w:r>
            <w:r>
              <w:rPr>
                <w:rFonts w:asciiTheme="minorHAnsi" w:hAnsiTheme="minorHAnsi"/>
                <w:b/>
                <w:sz w:val="16"/>
                <w:szCs w:val="16"/>
              </w:rPr>
              <w:t>uments</w:t>
            </w:r>
          </w:p>
        </w:tc>
        <w:tc>
          <w:tcPr>
            <w:tcW w:w="2885" w:type="dxa"/>
            <w:gridSpan w:val="2"/>
            <w:shd w:val="clear" w:color="auto" w:fill="1D3567"/>
          </w:tcPr>
          <w:p w14:paraId="7D80684C" w14:textId="77777777" w:rsidR="00676ACD" w:rsidRPr="000920BA" w:rsidRDefault="00676ACD" w:rsidP="007B5579">
            <w:pPr>
              <w:pStyle w:val="DVA1Number"/>
              <w:numPr>
                <w:ilvl w:val="0"/>
                <w:numId w:val="0"/>
              </w:numPr>
              <w:spacing w:after="0"/>
              <w:ind w:left="425" w:hanging="425"/>
              <w:rPr>
                <w:rFonts w:asciiTheme="minorHAnsi" w:hAnsiTheme="minorHAnsi"/>
                <w:b/>
                <w:sz w:val="16"/>
                <w:szCs w:val="16"/>
              </w:rPr>
            </w:pPr>
            <w:r w:rsidRPr="000920BA">
              <w:rPr>
                <w:rFonts w:asciiTheme="minorHAnsi" w:hAnsiTheme="minorHAnsi"/>
                <w:b/>
                <w:sz w:val="16"/>
                <w:szCs w:val="16"/>
              </w:rPr>
              <w:t>Program evaluation articles</w:t>
            </w:r>
          </w:p>
        </w:tc>
        <w:tc>
          <w:tcPr>
            <w:tcW w:w="3051" w:type="dxa"/>
            <w:gridSpan w:val="2"/>
            <w:shd w:val="clear" w:color="auto" w:fill="1D3567"/>
          </w:tcPr>
          <w:p w14:paraId="422E2345" w14:textId="77777777" w:rsidR="00676ACD" w:rsidRPr="000920BA" w:rsidRDefault="00676ACD" w:rsidP="007B5579">
            <w:pPr>
              <w:pStyle w:val="DVA1Number"/>
              <w:numPr>
                <w:ilvl w:val="0"/>
                <w:numId w:val="0"/>
              </w:numPr>
              <w:spacing w:after="0"/>
              <w:ind w:left="425" w:hanging="425"/>
              <w:rPr>
                <w:rFonts w:asciiTheme="minorHAnsi" w:hAnsiTheme="minorHAnsi"/>
                <w:b/>
                <w:sz w:val="16"/>
                <w:szCs w:val="16"/>
              </w:rPr>
            </w:pPr>
            <w:r w:rsidRPr="000920BA">
              <w:rPr>
                <w:rFonts w:asciiTheme="minorHAnsi" w:hAnsiTheme="minorHAnsi"/>
                <w:b/>
                <w:sz w:val="16"/>
                <w:szCs w:val="16"/>
              </w:rPr>
              <w:t>Systematic reviews</w:t>
            </w:r>
          </w:p>
        </w:tc>
      </w:tr>
      <w:tr w:rsidR="00BA720D" w14:paraId="5F0D2A35" w14:textId="77777777" w:rsidTr="007B5579">
        <w:trPr>
          <w:trHeight w:val="249"/>
          <w:tblHeader/>
        </w:trPr>
        <w:tc>
          <w:tcPr>
            <w:tcW w:w="899" w:type="dxa"/>
            <w:shd w:val="clear" w:color="auto" w:fill="1D3567"/>
          </w:tcPr>
          <w:p w14:paraId="07453B86" w14:textId="77777777" w:rsidR="00676ACD" w:rsidRPr="000920BA" w:rsidRDefault="00676ACD" w:rsidP="007B5579">
            <w:pPr>
              <w:pStyle w:val="DVA1Number"/>
              <w:numPr>
                <w:ilvl w:val="0"/>
                <w:numId w:val="0"/>
              </w:numPr>
              <w:spacing w:after="0"/>
              <w:ind w:left="425" w:hanging="425"/>
              <w:rPr>
                <w:rFonts w:asciiTheme="minorHAnsi" w:hAnsiTheme="minorHAnsi"/>
                <w:sz w:val="16"/>
                <w:szCs w:val="16"/>
              </w:rPr>
            </w:pPr>
            <w:r w:rsidRPr="000920BA">
              <w:rPr>
                <w:rFonts w:asciiTheme="minorHAnsi" w:hAnsiTheme="minorHAnsi"/>
                <w:sz w:val="16"/>
                <w:szCs w:val="16"/>
              </w:rPr>
              <w:t>Ref no.</w:t>
            </w:r>
            <w:r>
              <w:rPr>
                <w:rFonts w:asciiTheme="minorHAnsi" w:hAnsiTheme="minorHAnsi"/>
                <w:sz w:val="16"/>
                <w:szCs w:val="16"/>
              </w:rPr>
              <w:t>*</w:t>
            </w:r>
          </w:p>
        </w:tc>
        <w:tc>
          <w:tcPr>
            <w:tcW w:w="2184" w:type="dxa"/>
            <w:shd w:val="clear" w:color="auto" w:fill="1D3567"/>
          </w:tcPr>
          <w:p w14:paraId="06094971" w14:textId="77777777" w:rsidR="00676ACD" w:rsidRPr="000920BA" w:rsidRDefault="00676ACD" w:rsidP="007B5579">
            <w:pPr>
              <w:pStyle w:val="DVA1Number"/>
              <w:numPr>
                <w:ilvl w:val="0"/>
                <w:numId w:val="0"/>
              </w:numPr>
              <w:spacing w:after="0"/>
              <w:rPr>
                <w:rFonts w:asciiTheme="minorHAnsi" w:hAnsiTheme="minorHAnsi"/>
                <w:sz w:val="16"/>
                <w:szCs w:val="16"/>
              </w:rPr>
            </w:pPr>
            <w:r w:rsidRPr="000920BA">
              <w:rPr>
                <w:rFonts w:asciiTheme="minorHAnsi" w:hAnsiTheme="minorHAnsi"/>
                <w:sz w:val="16"/>
                <w:szCs w:val="16"/>
              </w:rPr>
              <w:t>Author</w:t>
            </w:r>
          </w:p>
        </w:tc>
        <w:tc>
          <w:tcPr>
            <w:tcW w:w="816" w:type="dxa"/>
            <w:shd w:val="clear" w:color="auto" w:fill="1D3567"/>
          </w:tcPr>
          <w:p w14:paraId="2D532BA6" w14:textId="77777777" w:rsidR="00676ACD" w:rsidRPr="000920BA" w:rsidRDefault="00676ACD" w:rsidP="007B5579">
            <w:pPr>
              <w:pStyle w:val="DVA1Number"/>
              <w:numPr>
                <w:ilvl w:val="0"/>
                <w:numId w:val="0"/>
              </w:numPr>
              <w:spacing w:after="0"/>
              <w:rPr>
                <w:rFonts w:asciiTheme="minorHAnsi" w:hAnsiTheme="minorHAnsi"/>
                <w:sz w:val="16"/>
                <w:szCs w:val="16"/>
              </w:rPr>
            </w:pPr>
            <w:r w:rsidRPr="000920BA">
              <w:rPr>
                <w:rFonts w:asciiTheme="minorHAnsi" w:hAnsiTheme="minorHAnsi"/>
                <w:sz w:val="16"/>
                <w:szCs w:val="16"/>
              </w:rPr>
              <w:t>Ref no.</w:t>
            </w:r>
          </w:p>
        </w:tc>
        <w:tc>
          <w:tcPr>
            <w:tcW w:w="2069" w:type="dxa"/>
            <w:shd w:val="clear" w:color="auto" w:fill="1D3567"/>
          </w:tcPr>
          <w:p w14:paraId="6ABE5099" w14:textId="77777777" w:rsidR="00676ACD" w:rsidRPr="000920BA" w:rsidRDefault="00676ACD" w:rsidP="007B5579">
            <w:pPr>
              <w:pStyle w:val="DVA1Number"/>
              <w:numPr>
                <w:ilvl w:val="0"/>
                <w:numId w:val="0"/>
              </w:numPr>
              <w:spacing w:after="0"/>
              <w:rPr>
                <w:rFonts w:asciiTheme="minorHAnsi" w:hAnsiTheme="minorHAnsi"/>
                <w:sz w:val="16"/>
                <w:szCs w:val="16"/>
              </w:rPr>
            </w:pPr>
            <w:r w:rsidRPr="000920BA">
              <w:rPr>
                <w:rFonts w:asciiTheme="minorHAnsi" w:hAnsiTheme="minorHAnsi"/>
                <w:sz w:val="16"/>
                <w:szCs w:val="16"/>
              </w:rPr>
              <w:t>Author</w:t>
            </w:r>
          </w:p>
        </w:tc>
        <w:tc>
          <w:tcPr>
            <w:tcW w:w="897" w:type="dxa"/>
            <w:shd w:val="clear" w:color="auto" w:fill="1D3567"/>
          </w:tcPr>
          <w:p w14:paraId="222700DC" w14:textId="77777777" w:rsidR="00676ACD" w:rsidRPr="000920BA" w:rsidRDefault="00676ACD" w:rsidP="007B5579">
            <w:pPr>
              <w:pStyle w:val="DVA1Number"/>
              <w:numPr>
                <w:ilvl w:val="0"/>
                <w:numId w:val="0"/>
              </w:numPr>
              <w:spacing w:after="0"/>
              <w:rPr>
                <w:rFonts w:asciiTheme="minorHAnsi" w:hAnsiTheme="minorHAnsi"/>
                <w:sz w:val="16"/>
                <w:szCs w:val="16"/>
              </w:rPr>
            </w:pPr>
            <w:r w:rsidRPr="000920BA">
              <w:rPr>
                <w:rFonts w:asciiTheme="minorHAnsi" w:hAnsiTheme="minorHAnsi"/>
                <w:sz w:val="16"/>
                <w:szCs w:val="16"/>
              </w:rPr>
              <w:t xml:space="preserve">Ref no. </w:t>
            </w:r>
          </w:p>
        </w:tc>
        <w:tc>
          <w:tcPr>
            <w:tcW w:w="2154" w:type="dxa"/>
            <w:shd w:val="clear" w:color="auto" w:fill="1D3567"/>
          </w:tcPr>
          <w:p w14:paraId="4D58B463" w14:textId="77777777" w:rsidR="00676ACD" w:rsidRPr="000920BA" w:rsidRDefault="00676ACD" w:rsidP="007B5579">
            <w:pPr>
              <w:pStyle w:val="DVA1Number"/>
              <w:numPr>
                <w:ilvl w:val="0"/>
                <w:numId w:val="0"/>
              </w:numPr>
              <w:spacing w:after="0"/>
              <w:ind w:left="425" w:hanging="425"/>
              <w:rPr>
                <w:rFonts w:asciiTheme="minorHAnsi" w:hAnsiTheme="minorHAnsi"/>
                <w:sz w:val="16"/>
                <w:szCs w:val="16"/>
              </w:rPr>
            </w:pPr>
            <w:r w:rsidRPr="000920BA">
              <w:rPr>
                <w:rFonts w:asciiTheme="minorHAnsi" w:hAnsiTheme="minorHAnsi"/>
                <w:sz w:val="16"/>
                <w:szCs w:val="16"/>
              </w:rPr>
              <w:t>Author</w:t>
            </w:r>
          </w:p>
        </w:tc>
      </w:tr>
      <w:tr w:rsidR="00676ACD" w14:paraId="16B6C0B0" w14:textId="77777777" w:rsidTr="007B5579">
        <w:tc>
          <w:tcPr>
            <w:tcW w:w="899" w:type="dxa"/>
          </w:tcPr>
          <w:p w14:paraId="171910D8" w14:textId="5CCF56E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fldChar w:fldCharType="begin"/>
            </w:r>
            <w:r w:rsidRPr="000920BA">
              <w:rPr>
                <w:rFonts w:asciiTheme="minorHAnsi" w:hAnsiTheme="minorHAnsi"/>
                <w:szCs w:val="16"/>
              </w:rPr>
              <w:instrText xml:space="preserve"> CITATION Aus21 \l 3081 </w:instrText>
            </w:r>
            <w:r w:rsidRPr="000920BA">
              <w:rPr>
                <w:rFonts w:asciiTheme="minorHAnsi" w:hAnsiTheme="minorHAnsi"/>
                <w:szCs w:val="16"/>
              </w:rPr>
              <w:fldChar w:fldCharType="separate"/>
            </w:r>
            <w:r w:rsidR="00710993" w:rsidRPr="00710993">
              <w:rPr>
                <w:rFonts w:asciiTheme="minorHAnsi" w:hAnsiTheme="minorHAnsi"/>
                <w:noProof/>
                <w:szCs w:val="16"/>
              </w:rPr>
              <w:t>(2)</w:t>
            </w:r>
            <w:r w:rsidRPr="000920BA">
              <w:rPr>
                <w:rFonts w:asciiTheme="minorHAnsi" w:hAnsiTheme="minorHAnsi"/>
                <w:szCs w:val="16"/>
              </w:rPr>
              <w:fldChar w:fldCharType="end"/>
            </w:r>
          </w:p>
        </w:tc>
        <w:tc>
          <w:tcPr>
            <w:tcW w:w="2184" w:type="dxa"/>
          </w:tcPr>
          <w:p w14:paraId="37A7DCED" w14:textId="13D9661E"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Australian Government Department of Finance</w:t>
            </w:r>
            <w:r w:rsidR="00504EDE">
              <w:rPr>
                <w:rFonts w:asciiTheme="minorHAnsi" w:hAnsiTheme="minorHAnsi"/>
                <w:szCs w:val="16"/>
              </w:rPr>
              <w:t xml:space="preserve"> </w:t>
            </w:r>
            <w:r w:rsidR="00504EDE" w:rsidRPr="00504EDE">
              <w:rPr>
                <w:rFonts w:asciiTheme="minorHAnsi" w:hAnsiTheme="minorHAnsi"/>
                <w:szCs w:val="16"/>
              </w:rPr>
              <w:t>(now Australian Centre for Evaluation)</w:t>
            </w:r>
          </w:p>
        </w:tc>
        <w:tc>
          <w:tcPr>
            <w:tcW w:w="816" w:type="dxa"/>
            <w:shd w:val="clear" w:color="auto" w:fill="CCCCCC" w:themeFill="text1" w:themeFillTint="33"/>
          </w:tcPr>
          <w:p w14:paraId="3DD33B40" w14:textId="65B31EC0"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color w:val="000000"/>
                <w:szCs w:val="16"/>
              </w:rPr>
              <w:fldChar w:fldCharType="begin"/>
            </w:r>
            <w:r w:rsidRPr="000920BA">
              <w:rPr>
                <w:rFonts w:asciiTheme="minorHAnsi" w:hAnsiTheme="minorHAnsi" w:cstheme="minorHAnsi"/>
                <w:color w:val="000000"/>
                <w:szCs w:val="16"/>
              </w:rPr>
              <w:instrText xml:space="preserve">CITATION Bar21 \l 3081 </w:instrText>
            </w:r>
            <w:r w:rsidRPr="000920BA">
              <w:rPr>
                <w:rFonts w:asciiTheme="minorHAnsi" w:hAnsiTheme="minorHAnsi" w:cstheme="minorHAnsi"/>
                <w:color w:val="000000"/>
                <w:szCs w:val="16"/>
              </w:rPr>
              <w:fldChar w:fldCharType="separate"/>
            </w:r>
            <w:r w:rsidR="00710993">
              <w:rPr>
                <w:rFonts w:asciiTheme="minorHAnsi" w:hAnsiTheme="minorHAnsi" w:cstheme="minorHAnsi"/>
                <w:noProof/>
                <w:color w:val="000000"/>
                <w:szCs w:val="16"/>
              </w:rPr>
              <w:t xml:space="preserve"> </w:t>
            </w:r>
            <w:r w:rsidR="00710993" w:rsidRPr="00710993">
              <w:rPr>
                <w:rFonts w:asciiTheme="minorHAnsi" w:hAnsiTheme="minorHAnsi" w:cstheme="minorHAnsi"/>
                <w:noProof/>
                <w:color w:val="000000"/>
                <w:szCs w:val="16"/>
              </w:rPr>
              <w:t>(3)</w:t>
            </w:r>
            <w:r w:rsidRPr="000920BA">
              <w:rPr>
                <w:rFonts w:asciiTheme="minorHAnsi" w:hAnsiTheme="minorHAnsi" w:cstheme="minorHAnsi"/>
                <w:color w:val="000000"/>
                <w:szCs w:val="16"/>
              </w:rPr>
              <w:fldChar w:fldCharType="end"/>
            </w:r>
          </w:p>
        </w:tc>
        <w:tc>
          <w:tcPr>
            <w:tcW w:w="2069" w:type="dxa"/>
            <w:shd w:val="clear" w:color="auto" w:fill="CCCCCC" w:themeFill="text1" w:themeFillTint="33"/>
          </w:tcPr>
          <w:p w14:paraId="6B94E734"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Barton, Christian J. et al.</w:t>
            </w:r>
          </w:p>
          <w:p w14:paraId="4A76B7BE" w14:textId="77777777" w:rsidR="00676ACD" w:rsidRPr="000920BA" w:rsidRDefault="00676ACD" w:rsidP="007B5579">
            <w:pPr>
              <w:pStyle w:val="EYTableText"/>
              <w:spacing w:before="0" w:after="0"/>
              <w:rPr>
                <w:rFonts w:asciiTheme="minorHAnsi" w:hAnsiTheme="minorHAnsi"/>
                <w:szCs w:val="16"/>
              </w:rPr>
            </w:pPr>
          </w:p>
        </w:tc>
        <w:tc>
          <w:tcPr>
            <w:tcW w:w="897" w:type="dxa"/>
          </w:tcPr>
          <w:p w14:paraId="4773C59F" w14:textId="66FF0FAA"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fldChar w:fldCharType="begin"/>
            </w:r>
            <w:r w:rsidRPr="000920BA">
              <w:rPr>
                <w:rFonts w:asciiTheme="minorHAnsi" w:hAnsiTheme="minorHAnsi" w:cstheme="minorHAnsi"/>
                <w:szCs w:val="16"/>
              </w:rPr>
              <w:instrText xml:space="preserve"> CITATION Bar20 \l 3081 </w:instrText>
            </w:r>
            <w:r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(4)</w:t>
            </w:r>
            <w:r w:rsidRPr="000920BA">
              <w:rPr>
                <w:rFonts w:asciiTheme="minorHAnsi" w:hAnsiTheme="minorHAnsi" w:cstheme="minorHAnsi"/>
                <w:szCs w:val="16"/>
              </w:rPr>
              <w:fldChar w:fldCharType="end"/>
            </w:r>
          </w:p>
          <w:p w14:paraId="3F71372F" w14:textId="77777777" w:rsidR="00676ACD" w:rsidRPr="000920BA" w:rsidRDefault="00676ACD" w:rsidP="007B5579">
            <w:pPr>
              <w:pStyle w:val="EYTableText"/>
              <w:spacing w:before="0" w:after="0"/>
              <w:rPr>
                <w:rFonts w:asciiTheme="minorHAnsi" w:hAnsiTheme="minorHAnsi"/>
                <w:szCs w:val="16"/>
              </w:rPr>
            </w:pPr>
          </w:p>
        </w:tc>
        <w:tc>
          <w:tcPr>
            <w:tcW w:w="2154" w:type="dxa"/>
          </w:tcPr>
          <w:p w14:paraId="755ED86B"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Barclay, Linda et al.</w:t>
            </w:r>
          </w:p>
          <w:p w14:paraId="52A1729D" w14:textId="77777777" w:rsidR="00676ACD" w:rsidRPr="000920BA" w:rsidRDefault="00676ACD" w:rsidP="007B5579">
            <w:pPr>
              <w:pStyle w:val="EYTableText"/>
              <w:spacing w:before="0" w:after="0"/>
              <w:rPr>
                <w:rFonts w:asciiTheme="minorHAnsi" w:hAnsiTheme="minorHAnsi"/>
                <w:szCs w:val="16"/>
              </w:rPr>
            </w:pPr>
          </w:p>
        </w:tc>
      </w:tr>
      <w:tr w:rsidR="00676ACD" w14:paraId="5F5FF3BD" w14:textId="77777777" w:rsidTr="007B5579">
        <w:tc>
          <w:tcPr>
            <w:tcW w:w="899" w:type="dxa"/>
          </w:tcPr>
          <w:p w14:paraId="7C0AD6A2" w14:textId="225B98F0"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fldChar w:fldCharType="begin"/>
            </w:r>
            <w:r w:rsidRPr="000920BA">
              <w:rPr>
                <w:rFonts w:asciiTheme="minorHAnsi" w:hAnsiTheme="minorHAnsi"/>
                <w:szCs w:val="16"/>
              </w:rPr>
              <w:instrText xml:space="preserve"> CITATION Aus22 \l 3081 </w:instrText>
            </w:r>
            <w:r w:rsidRPr="000920BA">
              <w:rPr>
                <w:rFonts w:asciiTheme="minorHAnsi" w:hAnsiTheme="minorHAnsi"/>
                <w:szCs w:val="16"/>
              </w:rPr>
              <w:fldChar w:fldCharType="separate"/>
            </w:r>
            <w:r w:rsidR="00710993" w:rsidRPr="00710993">
              <w:rPr>
                <w:rFonts w:asciiTheme="minorHAnsi" w:hAnsiTheme="minorHAnsi"/>
                <w:noProof/>
                <w:szCs w:val="16"/>
              </w:rPr>
              <w:t>(5)</w:t>
            </w:r>
            <w:r w:rsidRPr="000920BA">
              <w:rPr>
                <w:rFonts w:asciiTheme="minorHAnsi" w:hAnsiTheme="minorHAnsi"/>
                <w:szCs w:val="16"/>
              </w:rPr>
              <w:fldChar w:fldCharType="end"/>
            </w:r>
          </w:p>
        </w:tc>
        <w:tc>
          <w:tcPr>
            <w:tcW w:w="2184" w:type="dxa"/>
          </w:tcPr>
          <w:p w14:paraId="46D8F59E" w14:textId="7F5E5533"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Australian Government Department of Finance</w:t>
            </w:r>
            <w:r w:rsidR="00504EDE">
              <w:rPr>
                <w:rFonts w:asciiTheme="minorHAnsi" w:hAnsiTheme="minorHAnsi"/>
                <w:szCs w:val="16"/>
              </w:rPr>
              <w:t xml:space="preserve"> </w:t>
            </w:r>
            <w:r w:rsidR="00504EDE" w:rsidRPr="00504EDE">
              <w:rPr>
                <w:rFonts w:asciiTheme="minorHAnsi" w:hAnsiTheme="minorHAnsi"/>
                <w:szCs w:val="16"/>
              </w:rPr>
              <w:t>(now Australian Centre for Evaluation)</w:t>
            </w:r>
          </w:p>
        </w:tc>
        <w:tc>
          <w:tcPr>
            <w:tcW w:w="816" w:type="dxa"/>
            <w:shd w:val="clear" w:color="auto" w:fill="CCCCCC" w:themeFill="text1" w:themeFillTint="33"/>
          </w:tcPr>
          <w:p w14:paraId="0C53967A" w14:textId="24FCA423"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color w:val="000000"/>
                <w:szCs w:val="16"/>
              </w:rPr>
              <w:fldChar w:fldCharType="begin"/>
            </w:r>
            <w:r w:rsidRPr="000920BA">
              <w:rPr>
                <w:rFonts w:asciiTheme="minorHAnsi" w:hAnsiTheme="minorHAnsi" w:cstheme="minorHAnsi"/>
                <w:color w:val="000000"/>
                <w:szCs w:val="16"/>
              </w:rPr>
              <w:instrText xml:space="preserve">CITATION Bli15 \l 3081 </w:instrText>
            </w:r>
            <w:r w:rsidRPr="000920BA">
              <w:rPr>
                <w:rFonts w:asciiTheme="minorHAnsi" w:hAnsiTheme="minorHAnsi" w:cstheme="minorHAnsi"/>
                <w:color w:val="000000"/>
                <w:szCs w:val="16"/>
              </w:rPr>
              <w:fldChar w:fldCharType="separate"/>
            </w:r>
            <w:r w:rsidR="00710993">
              <w:rPr>
                <w:rFonts w:asciiTheme="minorHAnsi" w:hAnsiTheme="minorHAnsi" w:cstheme="minorHAnsi"/>
                <w:noProof/>
                <w:color w:val="000000"/>
                <w:szCs w:val="16"/>
              </w:rPr>
              <w:t xml:space="preserve"> </w:t>
            </w:r>
            <w:r w:rsidR="00710993" w:rsidRPr="00710993">
              <w:rPr>
                <w:rFonts w:asciiTheme="minorHAnsi" w:hAnsiTheme="minorHAnsi" w:cstheme="minorHAnsi"/>
                <w:noProof/>
                <w:color w:val="000000"/>
                <w:szCs w:val="16"/>
              </w:rPr>
              <w:t>(6)</w:t>
            </w:r>
            <w:r w:rsidRPr="000920BA">
              <w:rPr>
                <w:rFonts w:asciiTheme="minorHAnsi" w:hAnsiTheme="minorHAnsi" w:cstheme="minorHAnsi"/>
                <w:color w:val="000000"/>
                <w:szCs w:val="16"/>
              </w:rPr>
              <w:fldChar w:fldCharType="end"/>
            </w:r>
          </w:p>
        </w:tc>
        <w:tc>
          <w:tcPr>
            <w:tcW w:w="2069" w:type="dxa"/>
            <w:shd w:val="clear" w:color="auto" w:fill="CCCCCC" w:themeFill="text1" w:themeFillTint="33"/>
          </w:tcPr>
          <w:p w14:paraId="7DC08542"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color w:val="000000"/>
                <w:szCs w:val="16"/>
              </w:rPr>
              <w:t>Blignault, Ilse et al.</w:t>
            </w:r>
          </w:p>
        </w:tc>
        <w:tc>
          <w:tcPr>
            <w:tcW w:w="897" w:type="dxa"/>
          </w:tcPr>
          <w:p w14:paraId="5DC524FE" w14:textId="07569C9A"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szCs w:val="16"/>
              </w:rPr>
              <w:fldChar w:fldCharType="begin"/>
            </w:r>
            <w:r w:rsidRPr="000920BA">
              <w:rPr>
                <w:rFonts w:asciiTheme="minorHAnsi" w:hAnsiTheme="minorHAnsi" w:cstheme="minorHAnsi"/>
                <w:szCs w:val="16"/>
              </w:rPr>
              <w:instrText xml:space="preserve"> CITATION Bro18 \l 3081 </w:instrText>
            </w:r>
            <w:r w:rsidRPr="000920BA">
              <w:rPr>
                <w:rFonts w:asciiTheme="minorHAnsi" w:hAnsiTheme="minorHAnsi" w:cstheme="minorHAnsi"/>
                <w:szCs w:val="16"/>
              </w:rPr>
              <w:fldChar w:fldCharType="separate"/>
            </w:r>
            <w:r w:rsidR="00710993">
              <w:rPr>
                <w:rFonts w:asciiTheme="minorHAnsi" w:hAnsiTheme="minorHAnsi" w:cstheme="minorHAnsi"/>
                <w:noProof/>
                <w:szCs w:val="16"/>
              </w:rPr>
              <w:t xml:space="preserve"> </w:t>
            </w:r>
            <w:r w:rsidR="00710993" w:rsidRPr="00710993">
              <w:rPr>
                <w:rFonts w:asciiTheme="minorHAnsi" w:hAnsiTheme="minorHAnsi" w:cstheme="minorHAnsi"/>
                <w:noProof/>
                <w:szCs w:val="16"/>
              </w:rPr>
              <w:t>(7)</w:t>
            </w:r>
            <w:r w:rsidRPr="000920BA">
              <w:rPr>
                <w:rFonts w:asciiTheme="minorHAnsi" w:hAnsiTheme="minorHAnsi" w:cstheme="minorHAnsi"/>
                <w:szCs w:val="16"/>
              </w:rPr>
              <w:fldChar w:fldCharType="end"/>
            </w:r>
          </w:p>
        </w:tc>
        <w:tc>
          <w:tcPr>
            <w:tcW w:w="2154" w:type="dxa"/>
          </w:tcPr>
          <w:p w14:paraId="6F291364"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Browne, Jennifer, et al.</w:t>
            </w:r>
          </w:p>
          <w:p w14:paraId="15D9CB7B" w14:textId="77777777" w:rsidR="00676ACD" w:rsidRPr="000920BA" w:rsidRDefault="00676ACD" w:rsidP="007B5579">
            <w:pPr>
              <w:pStyle w:val="EYTableText"/>
              <w:spacing w:before="0" w:after="0"/>
              <w:rPr>
                <w:rFonts w:asciiTheme="minorHAnsi" w:hAnsiTheme="minorHAnsi"/>
                <w:szCs w:val="16"/>
              </w:rPr>
            </w:pPr>
          </w:p>
        </w:tc>
      </w:tr>
      <w:tr w:rsidR="00676ACD" w14:paraId="122573C1" w14:textId="77777777" w:rsidTr="007B5579">
        <w:tc>
          <w:tcPr>
            <w:tcW w:w="899" w:type="dxa"/>
          </w:tcPr>
          <w:p w14:paraId="7F16937D" w14:textId="518A08A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fldChar w:fldCharType="begin"/>
            </w:r>
            <w:r w:rsidRPr="000920BA">
              <w:rPr>
                <w:rFonts w:asciiTheme="minorHAnsi" w:hAnsiTheme="minorHAnsi"/>
                <w:szCs w:val="16"/>
              </w:rPr>
              <w:instrText xml:space="preserve"> CITATION Aus23 \l 3081 </w:instrText>
            </w:r>
            <w:r w:rsidRPr="000920BA">
              <w:rPr>
                <w:rFonts w:asciiTheme="minorHAnsi" w:hAnsiTheme="minorHAnsi"/>
                <w:szCs w:val="16"/>
              </w:rPr>
              <w:fldChar w:fldCharType="separate"/>
            </w:r>
            <w:r w:rsidR="00710993" w:rsidRPr="00710993">
              <w:rPr>
                <w:rFonts w:asciiTheme="minorHAnsi" w:hAnsiTheme="minorHAnsi"/>
                <w:noProof/>
                <w:szCs w:val="16"/>
              </w:rPr>
              <w:t>(8)</w:t>
            </w:r>
            <w:r w:rsidRPr="000920BA">
              <w:rPr>
                <w:rFonts w:asciiTheme="minorHAnsi" w:hAnsiTheme="minorHAnsi"/>
                <w:szCs w:val="16"/>
              </w:rPr>
              <w:fldChar w:fldCharType="end"/>
            </w:r>
          </w:p>
        </w:tc>
        <w:tc>
          <w:tcPr>
            <w:tcW w:w="2184" w:type="dxa"/>
          </w:tcPr>
          <w:p w14:paraId="20252FF4" w14:textId="5EBF416D"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Australian Government Department of Finance</w:t>
            </w:r>
            <w:r w:rsidR="00504EDE">
              <w:rPr>
                <w:rFonts w:asciiTheme="minorHAnsi" w:hAnsiTheme="minorHAnsi"/>
                <w:szCs w:val="16"/>
              </w:rPr>
              <w:t xml:space="preserve"> </w:t>
            </w:r>
            <w:r w:rsidR="00504EDE" w:rsidRPr="00504EDE">
              <w:rPr>
                <w:rFonts w:asciiTheme="minorHAnsi" w:hAnsiTheme="minorHAnsi"/>
                <w:szCs w:val="16"/>
              </w:rPr>
              <w:t>(now Australian Centre for Evaluation)</w:t>
            </w:r>
          </w:p>
        </w:tc>
        <w:tc>
          <w:tcPr>
            <w:tcW w:w="816" w:type="dxa"/>
            <w:shd w:val="clear" w:color="auto" w:fill="CCCCCC" w:themeFill="text1" w:themeFillTint="33"/>
          </w:tcPr>
          <w:p w14:paraId="4DAD5BC3" w14:textId="11A0EBB8"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szCs w:val="16"/>
              </w:rPr>
              <w:fldChar w:fldCharType="begin"/>
            </w:r>
            <w:r w:rsidRPr="000920BA">
              <w:rPr>
                <w:rFonts w:asciiTheme="minorHAnsi" w:hAnsiTheme="minorHAnsi" w:cstheme="minorHAnsi"/>
                <w:szCs w:val="16"/>
              </w:rPr>
              <w:instrText xml:space="preserve">CITATION Cam20 \l 3081 </w:instrText>
            </w:r>
            <w:r w:rsidRPr="000920BA">
              <w:rPr>
                <w:rFonts w:asciiTheme="minorHAnsi" w:hAnsiTheme="minorHAnsi" w:cstheme="minorHAnsi"/>
                <w:szCs w:val="16"/>
              </w:rPr>
              <w:fldChar w:fldCharType="separate"/>
            </w:r>
            <w:r w:rsidR="00710993">
              <w:rPr>
                <w:rFonts w:asciiTheme="minorHAnsi" w:hAnsiTheme="minorHAnsi" w:cstheme="minorHAnsi"/>
                <w:noProof/>
                <w:szCs w:val="16"/>
              </w:rPr>
              <w:t xml:space="preserve"> </w:t>
            </w:r>
            <w:r w:rsidR="00710993" w:rsidRPr="00710993">
              <w:rPr>
                <w:rFonts w:asciiTheme="minorHAnsi" w:hAnsiTheme="minorHAnsi" w:cstheme="minorHAnsi"/>
                <w:noProof/>
                <w:szCs w:val="16"/>
              </w:rPr>
              <w:t>(9)</w:t>
            </w:r>
            <w:r w:rsidRPr="000920BA">
              <w:rPr>
                <w:rFonts w:asciiTheme="minorHAnsi" w:hAnsiTheme="minorHAnsi" w:cstheme="minorHAnsi"/>
                <w:szCs w:val="16"/>
              </w:rPr>
              <w:fldChar w:fldCharType="end"/>
            </w:r>
          </w:p>
        </w:tc>
        <w:tc>
          <w:tcPr>
            <w:tcW w:w="2069" w:type="dxa"/>
            <w:shd w:val="clear" w:color="auto" w:fill="CCCCCC" w:themeFill="text1" w:themeFillTint="33"/>
          </w:tcPr>
          <w:p w14:paraId="0EA6238E"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Campbell, Brayden et al.</w:t>
            </w:r>
          </w:p>
          <w:p w14:paraId="16AEBEA7" w14:textId="77777777" w:rsidR="00676ACD" w:rsidRPr="000920BA" w:rsidRDefault="00676ACD" w:rsidP="007B5579">
            <w:pPr>
              <w:pStyle w:val="EYTableText"/>
              <w:spacing w:before="0" w:after="0"/>
              <w:rPr>
                <w:rFonts w:asciiTheme="minorHAnsi" w:hAnsiTheme="minorHAnsi"/>
                <w:szCs w:val="16"/>
              </w:rPr>
            </w:pPr>
          </w:p>
        </w:tc>
        <w:tc>
          <w:tcPr>
            <w:tcW w:w="897" w:type="dxa"/>
          </w:tcPr>
          <w:p w14:paraId="48D4CBC2" w14:textId="1A80314D"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szCs w:val="16"/>
              </w:rPr>
              <w:fldChar w:fldCharType="begin"/>
            </w:r>
            <w:r w:rsidRPr="000920BA">
              <w:rPr>
                <w:rFonts w:asciiTheme="minorHAnsi" w:hAnsiTheme="minorHAnsi" w:cstheme="minorHAnsi"/>
                <w:szCs w:val="16"/>
              </w:rPr>
              <w:instrText xml:space="preserve">CITATION Dab21 \l 3081 </w:instrText>
            </w:r>
            <w:r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(10)</w:t>
            </w:r>
            <w:r w:rsidRPr="000920BA">
              <w:rPr>
                <w:rFonts w:asciiTheme="minorHAnsi" w:hAnsiTheme="minorHAnsi" w:cstheme="minorHAnsi"/>
                <w:szCs w:val="16"/>
              </w:rPr>
              <w:fldChar w:fldCharType="end"/>
            </w:r>
          </w:p>
        </w:tc>
        <w:tc>
          <w:tcPr>
            <w:tcW w:w="2154" w:type="dxa"/>
          </w:tcPr>
          <w:p w14:paraId="2699A912"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Dabkowski, Elissa et al.</w:t>
            </w:r>
          </w:p>
          <w:p w14:paraId="6FF7D7FA" w14:textId="77777777" w:rsidR="00676ACD" w:rsidRPr="000920BA" w:rsidRDefault="00676ACD" w:rsidP="007B5579">
            <w:pPr>
              <w:pStyle w:val="EYTableText"/>
              <w:spacing w:before="0" w:after="0"/>
              <w:rPr>
                <w:rFonts w:asciiTheme="minorHAnsi" w:hAnsiTheme="minorHAnsi"/>
                <w:szCs w:val="16"/>
              </w:rPr>
            </w:pPr>
          </w:p>
        </w:tc>
      </w:tr>
      <w:tr w:rsidR="00676ACD" w14:paraId="42AEEE88" w14:textId="77777777" w:rsidTr="007B5579">
        <w:tc>
          <w:tcPr>
            <w:tcW w:w="899" w:type="dxa"/>
          </w:tcPr>
          <w:p w14:paraId="41D6762D" w14:textId="1134F548"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fldChar w:fldCharType="begin"/>
            </w:r>
            <w:r w:rsidRPr="000920BA">
              <w:rPr>
                <w:rFonts w:asciiTheme="minorHAnsi" w:hAnsiTheme="minorHAnsi"/>
                <w:szCs w:val="16"/>
              </w:rPr>
              <w:instrText xml:space="preserve"> CITATION Aus18 \l 3081 </w:instrText>
            </w:r>
            <w:r w:rsidRPr="000920BA">
              <w:rPr>
                <w:rFonts w:asciiTheme="minorHAnsi" w:hAnsiTheme="minorHAnsi"/>
                <w:szCs w:val="16"/>
              </w:rPr>
              <w:fldChar w:fldCharType="separate"/>
            </w:r>
            <w:r w:rsidR="00710993" w:rsidRPr="00710993">
              <w:rPr>
                <w:rFonts w:asciiTheme="minorHAnsi" w:hAnsiTheme="minorHAnsi"/>
                <w:noProof/>
                <w:szCs w:val="16"/>
              </w:rPr>
              <w:t>(11)</w:t>
            </w:r>
            <w:r w:rsidRPr="000920BA">
              <w:rPr>
                <w:rFonts w:asciiTheme="minorHAnsi" w:hAnsiTheme="minorHAnsi"/>
                <w:szCs w:val="16"/>
              </w:rPr>
              <w:fldChar w:fldCharType="end"/>
            </w:r>
          </w:p>
        </w:tc>
        <w:tc>
          <w:tcPr>
            <w:tcW w:w="2184" w:type="dxa"/>
          </w:tcPr>
          <w:p w14:paraId="5B8065A0"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 xml:space="preserve">Australian Government Department of Veterans' Affairs </w:t>
            </w:r>
          </w:p>
        </w:tc>
        <w:tc>
          <w:tcPr>
            <w:tcW w:w="816" w:type="dxa"/>
            <w:shd w:val="clear" w:color="auto" w:fill="CCCCCC" w:themeFill="text1" w:themeFillTint="33"/>
          </w:tcPr>
          <w:p w14:paraId="67C79DB0" w14:textId="6B8C5A6F"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276794686"/>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Dor21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(12)</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6FF95EB9"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Doran, Christopher M. et al.</w:t>
            </w:r>
          </w:p>
          <w:p w14:paraId="4CB3CDBA" w14:textId="77777777" w:rsidR="00676ACD" w:rsidRPr="000920BA" w:rsidRDefault="00676ACD" w:rsidP="007B5579">
            <w:pPr>
              <w:pStyle w:val="EYTableText"/>
              <w:spacing w:before="0" w:after="0"/>
              <w:rPr>
                <w:rFonts w:asciiTheme="minorHAnsi" w:hAnsiTheme="minorHAnsi"/>
                <w:szCs w:val="16"/>
              </w:rPr>
            </w:pPr>
          </w:p>
        </w:tc>
        <w:tc>
          <w:tcPr>
            <w:tcW w:w="897" w:type="dxa"/>
          </w:tcPr>
          <w:p w14:paraId="28E82F6A" w14:textId="68E7DD27" w:rsidR="00676ACD" w:rsidRPr="000920BA" w:rsidRDefault="00D657CC" w:rsidP="007B5579">
            <w:pPr>
              <w:pStyle w:val="EYTableText"/>
              <w:spacing w:before="0" w:after="0"/>
              <w:rPr>
                <w:rFonts w:asciiTheme="minorHAnsi" w:hAnsiTheme="minorHAnsi" w:cstheme="minorHAnsi"/>
                <w:szCs w:val="16"/>
              </w:rPr>
            </w:pPr>
            <w:sdt>
              <w:sdtPr>
                <w:rPr>
                  <w:rFonts w:asciiTheme="minorHAnsi" w:hAnsiTheme="minorHAnsi" w:cstheme="minorHAnsi"/>
                  <w:szCs w:val="16"/>
                </w:rPr>
                <w:id w:val="-469213077"/>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Dav16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(13)</w:t>
                </w:r>
                <w:r w:rsidR="00676ACD" w:rsidRPr="000920BA">
                  <w:rPr>
                    <w:rFonts w:asciiTheme="minorHAnsi" w:hAnsiTheme="minorHAnsi" w:cstheme="minorHAnsi"/>
                    <w:szCs w:val="16"/>
                  </w:rPr>
                  <w:fldChar w:fldCharType="end"/>
                </w:r>
              </w:sdtContent>
            </w:sdt>
          </w:p>
          <w:p w14:paraId="6E6FBCFD" w14:textId="77777777" w:rsidR="00676ACD" w:rsidRPr="000920BA" w:rsidRDefault="00676ACD" w:rsidP="007B5579">
            <w:pPr>
              <w:pStyle w:val="EYTableText"/>
              <w:spacing w:before="0" w:after="0"/>
              <w:rPr>
                <w:rFonts w:asciiTheme="minorHAnsi" w:hAnsiTheme="minorHAnsi"/>
                <w:szCs w:val="16"/>
              </w:rPr>
            </w:pPr>
          </w:p>
        </w:tc>
        <w:tc>
          <w:tcPr>
            <w:tcW w:w="2154" w:type="dxa"/>
          </w:tcPr>
          <w:p w14:paraId="4FB21AB0"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Davis, Jenny et al.</w:t>
            </w:r>
          </w:p>
          <w:p w14:paraId="7EB6B79D" w14:textId="77777777" w:rsidR="00676ACD" w:rsidRPr="000920BA" w:rsidRDefault="00676ACD" w:rsidP="007B5579">
            <w:pPr>
              <w:pStyle w:val="EYTableText"/>
              <w:spacing w:before="0" w:after="0"/>
              <w:rPr>
                <w:rFonts w:asciiTheme="minorHAnsi" w:hAnsiTheme="minorHAnsi"/>
                <w:szCs w:val="16"/>
              </w:rPr>
            </w:pPr>
          </w:p>
        </w:tc>
      </w:tr>
      <w:tr w:rsidR="00676ACD" w14:paraId="31646754" w14:textId="77777777" w:rsidTr="007B5579">
        <w:tc>
          <w:tcPr>
            <w:tcW w:w="899" w:type="dxa"/>
          </w:tcPr>
          <w:p w14:paraId="4C01B1D8" w14:textId="21E5F934" w:rsidR="00676ACD" w:rsidRPr="000920BA" w:rsidRDefault="00676ACD" w:rsidP="007B5579">
            <w:pPr>
              <w:pStyle w:val="EYTableText"/>
              <w:spacing w:before="0" w:after="0"/>
              <w:rPr>
                <w:rFonts w:asciiTheme="minorHAnsi" w:hAnsiTheme="minorHAnsi"/>
                <w:szCs w:val="16"/>
              </w:rPr>
            </w:pPr>
            <w:r>
              <w:rPr>
                <w:rFonts w:asciiTheme="minorHAnsi" w:hAnsiTheme="minorHAnsi"/>
                <w:szCs w:val="16"/>
              </w:rPr>
              <w:fldChar w:fldCharType="begin"/>
            </w:r>
            <w:r>
              <w:rPr>
                <w:rFonts w:asciiTheme="minorHAnsi" w:hAnsiTheme="minorHAnsi"/>
                <w:szCs w:val="16"/>
              </w:rPr>
              <w:instrText xml:space="preserve"> CITATION Aus \l 3081 </w:instrText>
            </w:r>
            <w:r>
              <w:rPr>
                <w:rFonts w:asciiTheme="minorHAnsi" w:hAnsiTheme="minorHAnsi"/>
                <w:szCs w:val="16"/>
              </w:rPr>
              <w:fldChar w:fldCharType="separate"/>
            </w:r>
            <w:r w:rsidR="00710993" w:rsidRPr="00710993">
              <w:rPr>
                <w:rFonts w:asciiTheme="minorHAnsi" w:hAnsiTheme="minorHAnsi"/>
                <w:noProof/>
                <w:szCs w:val="16"/>
              </w:rPr>
              <w:t>(1)</w:t>
            </w:r>
            <w:r>
              <w:rPr>
                <w:rFonts w:asciiTheme="minorHAnsi" w:hAnsiTheme="minorHAnsi"/>
                <w:szCs w:val="16"/>
              </w:rPr>
              <w:fldChar w:fldCharType="end"/>
            </w:r>
          </w:p>
        </w:tc>
        <w:tc>
          <w:tcPr>
            <w:tcW w:w="2184" w:type="dxa"/>
          </w:tcPr>
          <w:p w14:paraId="78108E85"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 xml:space="preserve">Australian Government Department of Veterans' Affairs </w:t>
            </w:r>
          </w:p>
        </w:tc>
        <w:tc>
          <w:tcPr>
            <w:tcW w:w="816" w:type="dxa"/>
            <w:shd w:val="clear" w:color="auto" w:fill="CCCCCC" w:themeFill="text1" w:themeFillTint="33"/>
          </w:tcPr>
          <w:p w14:paraId="2E388977" w14:textId="77A36C79"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445309401"/>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szCs w:val="16"/>
                  </w:rPr>
                  <w:instrText xml:space="preserve"> CITATION KPM21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(14)</w:t>
                </w:r>
                <w:r w:rsidR="00676ACD" w:rsidRPr="000920BA">
                  <w:rPr>
                    <w:rFonts w:asciiTheme="minorHAnsi" w:hAnsiTheme="minorHAnsi" w:cstheme="minorHAnsi"/>
                    <w:color w:val="000000"/>
                    <w:szCs w:val="16"/>
                  </w:rPr>
                  <w:fldChar w:fldCharType="end"/>
                </w:r>
              </w:sdtContent>
            </w:sdt>
          </w:p>
        </w:tc>
        <w:tc>
          <w:tcPr>
            <w:tcW w:w="2069" w:type="dxa"/>
            <w:shd w:val="clear" w:color="auto" w:fill="CCCCCC" w:themeFill="text1" w:themeFillTint="33"/>
          </w:tcPr>
          <w:p w14:paraId="49FE6B87"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KPMG</w:t>
            </w:r>
          </w:p>
          <w:p w14:paraId="406FF6F4" w14:textId="77777777" w:rsidR="00676ACD" w:rsidRPr="000920BA" w:rsidRDefault="00676ACD" w:rsidP="007B5579">
            <w:pPr>
              <w:pStyle w:val="EYTableText"/>
              <w:spacing w:before="0" w:after="0"/>
              <w:rPr>
                <w:rFonts w:asciiTheme="minorHAnsi" w:hAnsiTheme="minorHAnsi"/>
                <w:szCs w:val="16"/>
              </w:rPr>
            </w:pPr>
          </w:p>
        </w:tc>
        <w:tc>
          <w:tcPr>
            <w:tcW w:w="897" w:type="dxa"/>
          </w:tcPr>
          <w:p w14:paraId="2261D179" w14:textId="38685601"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854774088"/>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Dea20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(15)</w:t>
                </w:r>
                <w:r w:rsidR="00676ACD" w:rsidRPr="000920BA">
                  <w:rPr>
                    <w:rFonts w:asciiTheme="minorHAnsi" w:hAnsiTheme="minorHAnsi" w:cstheme="minorHAnsi"/>
                    <w:szCs w:val="16"/>
                  </w:rPr>
                  <w:fldChar w:fldCharType="end"/>
                </w:r>
              </w:sdtContent>
            </w:sdt>
          </w:p>
        </w:tc>
        <w:tc>
          <w:tcPr>
            <w:tcW w:w="2154" w:type="dxa"/>
          </w:tcPr>
          <w:p w14:paraId="1DADD8D7"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szCs w:val="16"/>
              </w:rPr>
              <w:t xml:space="preserve">Deans, C </w:t>
            </w:r>
          </w:p>
        </w:tc>
      </w:tr>
      <w:tr w:rsidR="00676ACD" w14:paraId="567436A1" w14:textId="77777777" w:rsidTr="007B5579">
        <w:tc>
          <w:tcPr>
            <w:tcW w:w="899" w:type="dxa"/>
          </w:tcPr>
          <w:p w14:paraId="73DCD655" w14:textId="14E58BEE"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983228199"/>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Com20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(16)</w:t>
                </w:r>
                <w:r w:rsidR="00676ACD" w:rsidRPr="000920BA">
                  <w:rPr>
                    <w:rFonts w:asciiTheme="minorHAnsi" w:hAnsiTheme="minorHAnsi"/>
                    <w:szCs w:val="16"/>
                  </w:rPr>
                  <w:fldChar w:fldCharType="end"/>
                </w:r>
              </w:sdtContent>
            </w:sdt>
          </w:p>
        </w:tc>
        <w:tc>
          <w:tcPr>
            <w:tcW w:w="2184" w:type="dxa"/>
          </w:tcPr>
          <w:p w14:paraId="7A176C64"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Australian Government Productivity Commission</w:t>
            </w:r>
          </w:p>
        </w:tc>
        <w:tc>
          <w:tcPr>
            <w:tcW w:w="816" w:type="dxa"/>
            <w:shd w:val="clear" w:color="auto" w:fill="CCCCCC" w:themeFill="text1" w:themeFillTint="33"/>
          </w:tcPr>
          <w:p w14:paraId="6FA63FB9" w14:textId="7B281185"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474112410"/>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Mar21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(17)</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57E77EBD"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Marsden, Elisabeth et al.</w:t>
            </w:r>
          </w:p>
          <w:p w14:paraId="66F5ED1A" w14:textId="77777777" w:rsidR="00676ACD" w:rsidRPr="000920BA" w:rsidRDefault="00676ACD" w:rsidP="007B5579">
            <w:pPr>
              <w:pStyle w:val="EYTableText"/>
              <w:spacing w:before="0" w:after="0"/>
              <w:rPr>
                <w:rFonts w:asciiTheme="minorHAnsi" w:hAnsiTheme="minorHAnsi"/>
                <w:szCs w:val="16"/>
              </w:rPr>
            </w:pPr>
          </w:p>
        </w:tc>
        <w:tc>
          <w:tcPr>
            <w:tcW w:w="897" w:type="dxa"/>
          </w:tcPr>
          <w:p w14:paraId="0395F37D" w14:textId="6988AD30"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2076086248"/>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Gei18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(18)</w:t>
                </w:r>
                <w:r w:rsidR="00676ACD" w:rsidRPr="000920BA">
                  <w:rPr>
                    <w:rFonts w:asciiTheme="minorHAnsi" w:hAnsiTheme="minorHAnsi" w:cstheme="minorHAnsi"/>
                    <w:szCs w:val="16"/>
                  </w:rPr>
                  <w:fldChar w:fldCharType="end"/>
                </w:r>
              </w:sdtContent>
            </w:sdt>
          </w:p>
        </w:tc>
        <w:tc>
          <w:tcPr>
            <w:tcW w:w="2154" w:type="dxa"/>
          </w:tcPr>
          <w:p w14:paraId="2AAAAB3F"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Geia, Lynore et al.</w:t>
            </w:r>
          </w:p>
          <w:p w14:paraId="70786980" w14:textId="77777777" w:rsidR="00676ACD" w:rsidRPr="000920BA" w:rsidRDefault="00676ACD" w:rsidP="007B5579">
            <w:pPr>
              <w:pStyle w:val="EYTableText"/>
              <w:spacing w:before="0" w:after="0"/>
              <w:rPr>
                <w:rFonts w:asciiTheme="minorHAnsi" w:hAnsiTheme="minorHAnsi"/>
                <w:szCs w:val="16"/>
              </w:rPr>
            </w:pPr>
          </w:p>
        </w:tc>
      </w:tr>
      <w:tr w:rsidR="00676ACD" w14:paraId="78E0CF44" w14:textId="77777777" w:rsidTr="007B5579">
        <w:tc>
          <w:tcPr>
            <w:tcW w:w="899" w:type="dxa"/>
          </w:tcPr>
          <w:p w14:paraId="4360A451" w14:textId="5A6C2EF2"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890299714"/>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Cen22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(19)</w:t>
                </w:r>
                <w:r w:rsidR="00676ACD" w:rsidRPr="000920BA">
                  <w:rPr>
                    <w:rFonts w:asciiTheme="minorHAnsi" w:hAnsiTheme="minorHAnsi"/>
                    <w:szCs w:val="16"/>
                  </w:rPr>
                  <w:fldChar w:fldCharType="end"/>
                </w:r>
              </w:sdtContent>
            </w:sdt>
          </w:p>
        </w:tc>
        <w:tc>
          <w:tcPr>
            <w:tcW w:w="2184" w:type="dxa"/>
          </w:tcPr>
          <w:p w14:paraId="6D8C8B7E"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Centers for Disease Control and Prevention</w:t>
            </w:r>
          </w:p>
        </w:tc>
        <w:tc>
          <w:tcPr>
            <w:tcW w:w="816" w:type="dxa"/>
            <w:shd w:val="clear" w:color="auto" w:fill="CCCCCC" w:themeFill="text1" w:themeFillTint="33"/>
          </w:tcPr>
          <w:p w14:paraId="43D05955" w14:textId="04480F44" w:rsidR="00676ACD" w:rsidRPr="000920BA" w:rsidRDefault="00D657CC" w:rsidP="007B5579">
            <w:pPr>
              <w:pStyle w:val="EYTableText"/>
              <w:spacing w:before="0" w:after="0"/>
              <w:rPr>
                <w:rFonts w:asciiTheme="minorHAnsi" w:hAnsiTheme="minorHAnsi" w:cstheme="minorHAnsi"/>
                <w:color w:val="000000"/>
                <w:szCs w:val="16"/>
              </w:rPr>
            </w:pPr>
            <w:sdt>
              <w:sdtPr>
                <w:rPr>
                  <w:rFonts w:asciiTheme="minorHAnsi" w:hAnsiTheme="minorHAnsi" w:cstheme="minorHAnsi"/>
                  <w:color w:val="000000"/>
                  <w:szCs w:val="16"/>
                </w:rPr>
                <w:id w:val="-1402899889"/>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color w:val="000000"/>
                    <w:szCs w:val="16"/>
                  </w:rPr>
                  <w:instrText xml:space="preserve"> CITATION Mor20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(20)</w:t>
                </w:r>
                <w:r w:rsidR="00676ACD" w:rsidRPr="000920BA">
                  <w:rPr>
                    <w:rFonts w:asciiTheme="minorHAnsi" w:hAnsiTheme="minorHAnsi" w:cstheme="minorHAnsi"/>
                    <w:color w:val="000000"/>
                    <w:szCs w:val="16"/>
                  </w:rPr>
                  <w:fldChar w:fldCharType="end"/>
                </w:r>
              </w:sdtContent>
            </w:sdt>
          </w:p>
          <w:p w14:paraId="2AFFF5C3" w14:textId="77777777" w:rsidR="00676ACD" w:rsidRPr="000920BA" w:rsidRDefault="00676ACD" w:rsidP="007B5579">
            <w:pPr>
              <w:pStyle w:val="EYTableText"/>
              <w:spacing w:before="0" w:after="0"/>
              <w:rPr>
                <w:rFonts w:asciiTheme="minorHAnsi" w:hAnsiTheme="minorHAnsi"/>
                <w:szCs w:val="16"/>
              </w:rPr>
            </w:pPr>
          </w:p>
        </w:tc>
        <w:tc>
          <w:tcPr>
            <w:tcW w:w="2069" w:type="dxa"/>
            <w:shd w:val="clear" w:color="auto" w:fill="CCCCCC" w:themeFill="text1" w:themeFillTint="33"/>
          </w:tcPr>
          <w:p w14:paraId="3883F230"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Moreton, Sam et al.</w:t>
            </w:r>
          </w:p>
          <w:p w14:paraId="38EEE5B1" w14:textId="77777777" w:rsidR="00676ACD" w:rsidRPr="000920BA" w:rsidRDefault="00676ACD" w:rsidP="007B5579">
            <w:pPr>
              <w:pStyle w:val="EYTableText"/>
              <w:spacing w:before="0" w:after="0"/>
              <w:rPr>
                <w:rFonts w:asciiTheme="minorHAnsi" w:hAnsiTheme="minorHAnsi"/>
                <w:szCs w:val="16"/>
              </w:rPr>
            </w:pPr>
          </w:p>
        </w:tc>
        <w:tc>
          <w:tcPr>
            <w:tcW w:w="897" w:type="dxa"/>
          </w:tcPr>
          <w:p w14:paraId="3FEE915D" w14:textId="2999A282" w:rsidR="00676ACD" w:rsidRPr="000920BA" w:rsidRDefault="00D657CC" w:rsidP="007B5579">
            <w:pPr>
              <w:pStyle w:val="EYTableText"/>
              <w:spacing w:before="0" w:after="0"/>
              <w:rPr>
                <w:rFonts w:asciiTheme="minorHAnsi" w:hAnsiTheme="minorHAnsi" w:cstheme="minorHAnsi"/>
                <w:szCs w:val="16"/>
              </w:rPr>
            </w:pPr>
            <w:sdt>
              <w:sdtPr>
                <w:rPr>
                  <w:rFonts w:asciiTheme="minorHAnsi" w:hAnsiTheme="minorHAnsi" w:cstheme="minorHAnsi"/>
                  <w:szCs w:val="16"/>
                </w:rPr>
                <w:id w:val="-172039628"/>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Lee19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(21)</w:t>
                </w:r>
                <w:r w:rsidR="00676ACD" w:rsidRPr="000920BA">
                  <w:rPr>
                    <w:rFonts w:asciiTheme="minorHAnsi" w:hAnsiTheme="minorHAnsi" w:cstheme="minorHAnsi"/>
                    <w:szCs w:val="16"/>
                  </w:rPr>
                  <w:fldChar w:fldCharType="end"/>
                </w:r>
              </w:sdtContent>
            </w:sdt>
          </w:p>
          <w:p w14:paraId="3E4B835D" w14:textId="77777777" w:rsidR="00676ACD" w:rsidRPr="000920BA" w:rsidRDefault="00676ACD" w:rsidP="007B5579">
            <w:pPr>
              <w:pStyle w:val="EYTableText"/>
              <w:spacing w:before="0" w:after="0"/>
              <w:rPr>
                <w:rFonts w:asciiTheme="minorHAnsi" w:hAnsiTheme="minorHAnsi"/>
                <w:szCs w:val="16"/>
              </w:rPr>
            </w:pPr>
          </w:p>
        </w:tc>
        <w:tc>
          <w:tcPr>
            <w:tcW w:w="2154" w:type="dxa"/>
          </w:tcPr>
          <w:p w14:paraId="71FB53CF"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Lee, Xing Ju et al.</w:t>
            </w:r>
          </w:p>
          <w:p w14:paraId="51CB21E9" w14:textId="77777777" w:rsidR="00676ACD" w:rsidRPr="000920BA" w:rsidRDefault="00676ACD" w:rsidP="007B5579">
            <w:pPr>
              <w:pStyle w:val="EYTableText"/>
              <w:spacing w:before="0" w:after="0"/>
              <w:rPr>
                <w:rFonts w:asciiTheme="minorHAnsi" w:hAnsiTheme="minorHAnsi"/>
                <w:szCs w:val="16"/>
              </w:rPr>
            </w:pPr>
          </w:p>
        </w:tc>
      </w:tr>
      <w:tr w:rsidR="00676ACD" w14:paraId="1619E71E" w14:textId="77777777" w:rsidTr="007B5579">
        <w:tc>
          <w:tcPr>
            <w:tcW w:w="899" w:type="dxa"/>
          </w:tcPr>
          <w:p w14:paraId="637C6BEC" w14:textId="66F4B201"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624391548"/>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Pre22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(22)</w:t>
                </w:r>
                <w:r w:rsidR="00676ACD" w:rsidRPr="000920BA">
                  <w:rPr>
                    <w:rFonts w:asciiTheme="minorHAnsi" w:hAnsiTheme="minorHAnsi"/>
                    <w:szCs w:val="16"/>
                  </w:rPr>
                  <w:fldChar w:fldCharType="end"/>
                </w:r>
              </w:sdtContent>
            </w:sdt>
          </w:p>
        </w:tc>
        <w:tc>
          <w:tcPr>
            <w:tcW w:w="2184" w:type="dxa"/>
          </w:tcPr>
          <w:p w14:paraId="37451F44"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Centers for Disease Control and Prevention</w:t>
            </w:r>
          </w:p>
        </w:tc>
        <w:tc>
          <w:tcPr>
            <w:tcW w:w="816" w:type="dxa"/>
            <w:shd w:val="clear" w:color="auto" w:fill="CCCCCC" w:themeFill="text1" w:themeFillTint="33"/>
          </w:tcPr>
          <w:p w14:paraId="71CD4812" w14:textId="29C00856"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1712725148"/>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color w:val="000000"/>
                    <w:szCs w:val="16"/>
                  </w:rPr>
                  <w:instrText xml:space="preserve"> CITATION Per19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(23)</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6B52C89B"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 xml:space="preserve">Perceval, Meg et al. </w:t>
            </w:r>
          </w:p>
          <w:p w14:paraId="61E6DC11" w14:textId="77777777" w:rsidR="00676ACD" w:rsidRPr="000920BA" w:rsidRDefault="00676ACD" w:rsidP="007B5579">
            <w:pPr>
              <w:pStyle w:val="EYTableText"/>
              <w:spacing w:before="0" w:after="0"/>
              <w:rPr>
                <w:rFonts w:asciiTheme="minorHAnsi" w:hAnsiTheme="minorHAnsi"/>
                <w:szCs w:val="16"/>
              </w:rPr>
            </w:pPr>
          </w:p>
        </w:tc>
        <w:tc>
          <w:tcPr>
            <w:tcW w:w="897" w:type="dxa"/>
          </w:tcPr>
          <w:p w14:paraId="70955875" w14:textId="2FBCBD0B"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428625783"/>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Lim16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(24)</w:t>
                </w:r>
                <w:r w:rsidR="00676ACD" w:rsidRPr="000920BA">
                  <w:rPr>
                    <w:rFonts w:asciiTheme="minorHAnsi" w:hAnsiTheme="minorHAnsi" w:cstheme="minorHAnsi"/>
                    <w:szCs w:val="16"/>
                  </w:rPr>
                  <w:fldChar w:fldCharType="end"/>
                </w:r>
              </w:sdtContent>
            </w:sdt>
          </w:p>
        </w:tc>
        <w:tc>
          <w:tcPr>
            <w:tcW w:w="2154" w:type="dxa"/>
          </w:tcPr>
          <w:p w14:paraId="2C6F6A01"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Lim, Megan S. C. et al.</w:t>
            </w:r>
          </w:p>
          <w:p w14:paraId="4942789C" w14:textId="77777777" w:rsidR="00676ACD" w:rsidRPr="000920BA" w:rsidRDefault="00676ACD" w:rsidP="007B5579">
            <w:pPr>
              <w:pStyle w:val="EYTableText"/>
              <w:spacing w:before="0" w:after="0"/>
              <w:rPr>
                <w:rFonts w:asciiTheme="minorHAnsi" w:hAnsiTheme="minorHAnsi"/>
                <w:szCs w:val="16"/>
              </w:rPr>
            </w:pPr>
          </w:p>
        </w:tc>
      </w:tr>
      <w:tr w:rsidR="00676ACD" w14:paraId="005BA102" w14:textId="77777777" w:rsidTr="007B5579">
        <w:trPr>
          <w:trHeight w:val="373"/>
        </w:trPr>
        <w:tc>
          <w:tcPr>
            <w:tcW w:w="899" w:type="dxa"/>
          </w:tcPr>
          <w:p w14:paraId="7AC439B2" w14:textId="4F4E2EA8"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150327047"/>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Edw16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(25)</w:t>
                </w:r>
                <w:r w:rsidR="00676ACD" w:rsidRPr="000920BA">
                  <w:rPr>
                    <w:rFonts w:asciiTheme="minorHAnsi" w:hAnsiTheme="minorHAnsi"/>
                    <w:szCs w:val="16"/>
                  </w:rPr>
                  <w:fldChar w:fldCharType="end"/>
                </w:r>
              </w:sdtContent>
            </w:sdt>
          </w:p>
        </w:tc>
        <w:tc>
          <w:tcPr>
            <w:tcW w:w="2184" w:type="dxa"/>
          </w:tcPr>
          <w:p w14:paraId="54E64CA9"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 xml:space="preserve">Edwards, Barry et al. </w:t>
            </w:r>
          </w:p>
        </w:tc>
        <w:tc>
          <w:tcPr>
            <w:tcW w:w="816" w:type="dxa"/>
            <w:shd w:val="clear" w:color="auto" w:fill="CCCCCC" w:themeFill="text1" w:themeFillTint="33"/>
          </w:tcPr>
          <w:p w14:paraId="2217D7EC" w14:textId="26B3DA50"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856416009"/>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color w:val="000000"/>
                    <w:szCs w:val="16"/>
                  </w:rPr>
                  <w:instrText xml:space="preserve"> CITATION Rah20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(26)</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07C33B20"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color w:val="000000"/>
                <w:szCs w:val="16"/>
              </w:rPr>
              <w:t xml:space="preserve">Rahja, Miia et al. </w:t>
            </w:r>
          </w:p>
        </w:tc>
        <w:tc>
          <w:tcPr>
            <w:tcW w:w="897" w:type="dxa"/>
          </w:tcPr>
          <w:p w14:paraId="67BFEB8D" w14:textId="2D578739"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179514220"/>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Lok17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(27)</w:t>
                </w:r>
                <w:r w:rsidR="00676ACD" w:rsidRPr="000920BA">
                  <w:rPr>
                    <w:rFonts w:asciiTheme="minorHAnsi" w:hAnsiTheme="minorHAnsi" w:cstheme="minorHAnsi"/>
                    <w:szCs w:val="16"/>
                  </w:rPr>
                  <w:fldChar w:fldCharType="end"/>
                </w:r>
              </w:sdtContent>
            </w:sdt>
          </w:p>
        </w:tc>
        <w:tc>
          <w:tcPr>
            <w:tcW w:w="2154" w:type="dxa"/>
          </w:tcPr>
          <w:p w14:paraId="48BC7184"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szCs w:val="16"/>
              </w:rPr>
              <w:t>Lokuge, Kamalini et al.</w:t>
            </w:r>
          </w:p>
        </w:tc>
      </w:tr>
      <w:tr w:rsidR="00676ACD" w14:paraId="22395BFB" w14:textId="77777777" w:rsidTr="007B5579">
        <w:tc>
          <w:tcPr>
            <w:tcW w:w="899" w:type="dxa"/>
          </w:tcPr>
          <w:p w14:paraId="563C8B36" w14:textId="42226CB9"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13287318"/>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NSW2016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(28)</w:t>
                </w:r>
                <w:r w:rsidR="00676ACD" w:rsidRPr="000920BA">
                  <w:rPr>
                    <w:rFonts w:asciiTheme="minorHAnsi" w:hAnsiTheme="minorHAnsi"/>
                    <w:szCs w:val="16"/>
                  </w:rPr>
                  <w:fldChar w:fldCharType="end"/>
                </w:r>
              </w:sdtContent>
            </w:sdt>
          </w:p>
        </w:tc>
        <w:tc>
          <w:tcPr>
            <w:tcW w:w="2184" w:type="dxa"/>
          </w:tcPr>
          <w:p w14:paraId="6BB58D61"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NSW Government Department of Premier and Cabinet</w:t>
            </w:r>
          </w:p>
        </w:tc>
        <w:tc>
          <w:tcPr>
            <w:tcW w:w="816" w:type="dxa"/>
            <w:shd w:val="clear" w:color="auto" w:fill="CCCCCC" w:themeFill="text1" w:themeFillTint="33"/>
          </w:tcPr>
          <w:p w14:paraId="2EFDA6A5" w14:textId="563C5846"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173502947"/>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color w:val="000000"/>
                    <w:szCs w:val="16"/>
                  </w:rPr>
                  <w:instrText xml:space="preserve"> CITATION Sco19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(29)</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53EECAB4"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 xml:space="preserve">Scott, Theresa et al. </w:t>
            </w:r>
          </w:p>
          <w:p w14:paraId="0AE32F2A" w14:textId="77777777" w:rsidR="00676ACD" w:rsidRPr="000920BA" w:rsidRDefault="00676ACD" w:rsidP="007B5579">
            <w:pPr>
              <w:pStyle w:val="EYTableText"/>
              <w:spacing w:before="0" w:after="0"/>
              <w:rPr>
                <w:rFonts w:asciiTheme="minorHAnsi" w:hAnsiTheme="minorHAnsi"/>
                <w:szCs w:val="16"/>
              </w:rPr>
            </w:pPr>
          </w:p>
        </w:tc>
        <w:tc>
          <w:tcPr>
            <w:tcW w:w="897" w:type="dxa"/>
          </w:tcPr>
          <w:p w14:paraId="48951495" w14:textId="7256451D"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2051338486"/>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New20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(30)</w:t>
                </w:r>
                <w:r w:rsidR="00676ACD" w:rsidRPr="000920BA">
                  <w:rPr>
                    <w:rFonts w:asciiTheme="minorHAnsi" w:hAnsiTheme="minorHAnsi" w:cstheme="minorHAnsi"/>
                    <w:szCs w:val="16"/>
                  </w:rPr>
                  <w:fldChar w:fldCharType="end"/>
                </w:r>
              </w:sdtContent>
            </w:sdt>
          </w:p>
        </w:tc>
        <w:tc>
          <w:tcPr>
            <w:tcW w:w="2154" w:type="dxa"/>
          </w:tcPr>
          <w:p w14:paraId="1A43660F"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 xml:space="preserve">Newton, Danielle et al. </w:t>
            </w:r>
          </w:p>
          <w:p w14:paraId="26AEFD55" w14:textId="77777777" w:rsidR="00676ACD" w:rsidRPr="000920BA" w:rsidRDefault="00676ACD" w:rsidP="007B5579">
            <w:pPr>
              <w:pStyle w:val="EYTableText"/>
              <w:spacing w:before="0" w:after="0"/>
              <w:rPr>
                <w:rFonts w:asciiTheme="minorHAnsi" w:hAnsiTheme="minorHAnsi"/>
                <w:szCs w:val="16"/>
              </w:rPr>
            </w:pPr>
          </w:p>
        </w:tc>
      </w:tr>
      <w:tr w:rsidR="00676ACD" w14:paraId="301D9379" w14:textId="77777777" w:rsidTr="007B5579">
        <w:trPr>
          <w:trHeight w:val="699"/>
        </w:trPr>
        <w:tc>
          <w:tcPr>
            <w:tcW w:w="899" w:type="dxa"/>
          </w:tcPr>
          <w:p w14:paraId="0D8A6535" w14:textId="08EAB594"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246409621"/>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NSW19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(31)</w:t>
                </w:r>
                <w:r w:rsidR="00676ACD" w:rsidRPr="000920BA">
                  <w:rPr>
                    <w:rFonts w:asciiTheme="minorHAnsi" w:hAnsiTheme="minorHAnsi"/>
                    <w:szCs w:val="16"/>
                  </w:rPr>
                  <w:fldChar w:fldCharType="end"/>
                </w:r>
              </w:sdtContent>
            </w:sdt>
          </w:p>
        </w:tc>
        <w:tc>
          <w:tcPr>
            <w:tcW w:w="2184" w:type="dxa"/>
          </w:tcPr>
          <w:p w14:paraId="11595E80"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NSW Ministry of Health, Centre for Epidemiology and Evidence</w:t>
            </w:r>
          </w:p>
        </w:tc>
        <w:tc>
          <w:tcPr>
            <w:tcW w:w="816" w:type="dxa"/>
            <w:shd w:val="clear" w:color="auto" w:fill="CCCCCC" w:themeFill="text1" w:themeFillTint="33"/>
          </w:tcPr>
          <w:p w14:paraId="2C8B097A" w14:textId="3B47BDDE"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1143923546"/>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color w:val="000000"/>
                    <w:szCs w:val="16"/>
                  </w:rPr>
                  <w:instrText xml:space="preserve"> CITATION The20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(32)</w:t>
                </w:r>
                <w:r w:rsidR="00676ACD" w:rsidRPr="000920BA">
                  <w:rPr>
                    <w:rFonts w:asciiTheme="minorHAnsi" w:hAnsiTheme="minorHAnsi" w:cstheme="minorHAnsi"/>
                    <w:color w:val="000000"/>
                    <w:szCs w:val="16"/>
                  </w:rPr>
                  <w:fldChar w:fldCharType="end"/>
                </w:r>
              </w:sdtContent>
            </w:sdt>
          </w:p>
        </w:tc>
        <w:tc>
          <w:tcPr>
            <w:tcW w:w="2069" w:type="dxa"/>
            <w:shd w:val="clear" w:color="auto" w:fill="CCCCCC" w:themeFill="text1" w:themeFillTint="33"/>
          </w:tcPr>
          <w:p w14:paraId="6CF750E7"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cstheme="minorHAnsi"/>
                <w:color w:val="000000"/>
                <w:szCs w:val="16"/>
              </w:rPr>
              <w:t xml:space="preserve">The George Institute of Global Health, EY, University of Sydney </w:t>
            </w:r>
          </w:p>
        </w:tc>
        <w:tc>
          <w:tcPr>
            <w:tcW w:w="897" w:type="dxa"/>
          </w:tcPr>
          <w:p w14:paraId="66E7A7F9" w14:textId="5FF2F5D7"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958075077"/>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CITATION Senrs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(33)</w:t>
                </w:r>
                <w:r w:rsidR="00676ACD" w:rsidRPr="000920BA">
                  <w:rPr>
                    <w:rFonts w:asciiTheme="minorHAnsi" w:hAnsiTheme="minorHAnsi" w:cstheme="minorHAnsi"/>
                    <w:szCs w:val="16"/>
                  </w:rPr>
                  <w:fldChar w:fldCharType="end"/>
                </w:r>
              </w:sdtContent>
            </w:sdt>
          </w:p>
        </w:tc>
        <w:tc>
          <w:tcPr>
            <w:tcW w:w="2154" w:type="dxa"/>
          </w:tcPr>
          <w:p w14:paraId="6023F79D"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Senanayake, Sameera et al.</w:t>
            </w:r>
          </w:p>
          <w:p w14:paraId="5EDF1B0C" w14:textId="77777777" w:rsidR="00676ACD" w:rsidRPr="000920BA" w:rsidRDefault="00676ACD" w:rsidP="007B5579">
            <w:pPr>
              <w:pStyle w:val="EYTableText"/>
              <w:spacing w:before="0" w:after="0"/>
              <w:rPr>
                <w:rFonts w:asciiTheme="minorHAnsi" w:hAnsiTheme="minorHAnsi"/>
                <w:szCs w:val="16"/>
              </w:rPr>
            </w:pPr>
          </w:p>
        </w:tc>
      </w:tr>
      <w:tr w:rsidR="00676ACD" w14:paraId="067B46CD" w14:textId="77777777" w:rsidTr="007B5579">
        <w:tc>
          <w:tcPr>
            <w:tcW w:w="899" w:type="dxa"/>
          </w:tcPr>
          <w:p w14:paraId="79AF42F3" w14:textId="6CCC3E58"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337377399"/>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NSW191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(34)</w:t>
                </w:r>
                <w:r w:rsidR="00676ACD" w:rsidRPr="000920BA">
                  <w:rPr>
                    <w:rFonts w:asciiTheme="minorHAnsi" w:hAnsiTheme="minorHAnsi"/>
                    <w:szCs w:val="16"/>
                  </w:rPr>
                  <w:fldChar w:fldCharType="end"/>
                </w:r>
              </w:sdtContent>
            </w:sdt>
          </w:p>
        </w:tc>
        <w:tc>
          <w:tcPr>
            <w:tcW w:w="2184" w:type="dxa"/>
          </w:tcPr>
          <w:p w14:paraId="53A854BE"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NSW Ministry of Health, Centre for Epidemiology and Evidence</w:t>
            </w:r>
          </w:p>
        </w:tc>
        <w:tc>
          <w:tcPr>
            <w:tcW w:w="816" w:type="dxa"/>
            <w:shd w:val="clear" w:color="auto" w:fill="CCCCCC" w:themeFill="text1" w:themeFillTint="33"/>
          </w:tcPr>
          <w:p w14:paraId="7BC7EF96" w14:textId="579C24E0"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1273667411"/>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color w:val="000000"/>
                    <w:szCs w:val="16"/>
                  </w:rPr>
                  <w:instrText xml:space="preserve"> CITATION Tja17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(35)</w:t>
                </w:r>
                <w:r w:rsidR="00676ACD" w:rsidRPr="000920BA">
                  <w:rPr>
                    <w:rFonts w:asciiTheme="minorHAnsi" w:hAnsiTheme="minorHAnsi" w:cstheme="minorHAnsi"/>
                    <w:szCs w:val="16"/>
                  </w:rPr>
                  <w:fldChar w:fldCharType="end"/>
                </w:r>
              </w:sdtContent>
            </w:sdt>
          </w:p>
        </w:tc>
        <w:tc>
          <w:tcPr>
            <w:tcW w:w="2069" w:type="dxa"/>
            <w:shd w:val="clear" w:color="auto" w:fill="CCCCCC" w:themeFill="text1" w:themeFillTint="33"/>
          </w:tcPr>
          <w:p w14:paraId="403F4348"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Tjalaminu, Mia et al.</w:t>
            </w:r>
          </w:p>
          <w:p w14:paraId="5604E950" w14:textId="77777777" w:rsidR="00676ACD" w:rsidRPr="000920BA" w:rsidRDefault="00676ACD" w:rsidP="007B5579">
            <w:pPr>
              <w:pStyle w:val="EYTableText"/>
              <w:spacing w:before="0" w:after="0"/>
              <w:rPr>
                <w:rFonts w:asciiTheme="minorHAnsi" w:hAnsiTheme="minorHAnsi"/>
                <w:szCs w:val="16"/>
              </w:rPr>
            </w:pPr>
          </w:p>
        </w:tc>
        <w:tc>
          <w:tcPr>
            <w:tcW w:w="897" w:type="dxa"/>
            <w:vMerge w:val="restart"/>
          </w:tcPr>
          <w:p w14:paraId="157778D5" w14:textId="6814C82D"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szCs w:val="16"/>
                </w:rPr>
                <w:id w:val="411055821"/>
                <w:citation/>
              </w:sdtPr>
              <w:sdtEndPr/>
              <w:sdtContent>
                <w:r w:rsidR="00676ACD" w:rsidRPr="000920BA">
                  <w:rPr>
                    <w:rFonts w:asciiTheme="minorHAnsi" w:hAnsiTheme="minorHAnsi" w:cstheme="minorHAnsi"/>
                    <w:szCs w:val="16"/>
                  </w:rPr>
                  <w:fldChar w:fldCharType="begin"/>
                </w:r>
                <w:r w:rsidR="00676ACD" w:rsidRPr="000920BA">
                  <w:rPr>
                    <w:rFonts w:asciiTheme="minorHAnsi" w:hAnsiTheme="minorHAnsi" w:cstheme="minorHAnsi"/>
                    <w:szCs w:val="16"/>
                  </w:rPr>
                  <w:instrText xml:space="preserve"> CITATION Sni15 \l 3081 </w:instrText>
                </w:r>
                <w:r w:rsidR="00676ACD" w:rsidRPr="000920BA">
                  <w:rPr>
                    <w:rFonts w:asciiTheme="minorHAnsi" w:hAnsiTheme="minorHAnsi" w:cstheme="minorHAnsi"/>
                    <w:szCs w:val="16"/>
                  </w:rPr>
                  <w:fldChar w:fldCharType="separate"/>
                </w:r>
                <w:r w:rsidR="00710993" w:rsidRPr="00710993">
                  <w:rPr>
                    <w:rFonts w:asciiTheme="minorHAnsi" w:hAnsiTheme="minorHAnsi" w:cstheme="minorHAnsi"/>
                    <w:noProof/>
                    <w:szCs w:val="16"/>
                  </w:rPr>
                  <w:t>(36)</w:t>
                </w:r>
                <w:r w:rsidR="00676ACD" w:rsidRPr="000920BA">
                  <w:rPr>
                    <w:rFonts w:asciiTheme="minorHAnsi" w:hAnsiTheme="minorHAnsi" w:cstheme="minorHAnsi"/>
                    <w:szCs w:val="16"/>
                  </w:rPr>
                  <w:fldChar w:fldCharType="end"/>
                </w:r>
              </w:sdtContent>
            </w:sdt>
          </w:p>
        </w:tc>
        <w:tc>
          <w:tcPr>
            <w:tcW w:w="2154" w:type="dxa"/>
            <w:vMerge w:val="restart"/>
          </w:tcPr>
          <w:p w14:paraId="236343E5" w14:textId="77777777" w:rsidR="00676ACD" w:rsidRPr="000920BA"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Snijder, Mieke et al.</w:t>
            </w:r>
          </w:p>
          <w:p w14:paraId="32306ABB" w14:textId="77777777" w:rsidR="00676ACD" w:rsidRPr="000920BA" w:rsidRDefault="00676ACD" w:rsidP="007B5579">
            <w:pPr>
              <w:pStyle w:val="EYTableText"/>
              <w:spacing w:before="0" w:after="0"/>
              <w:rPr>
                <w:rFonts w:asciiTheme="minorHAnsi" w:hAnsiTheme="minorHAnsi"/>
                <w:szCs w:val="16"/>
              </w:rPr>
            </w:pPr>
          </w:p>
        </w:tc>
      </w:tr>
      <w:tr w:rsidR="00676ACD" w14:paraId="00302056" w14:textId="77777777" w:rsidTr="007B5579">
        <w:tc>
          <w:tcPr>
            <w:tcW w:w="899" w:type="dxa"/>
          </w:tcPr>
          <w:p w14:paraId="4257E929" w14:textId="31D3617D"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363167456"/>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Que20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(37)</w:t>
                </w:r>
                <w:r w:rsidR="00676ACD" w:rsidRPr="000920BA">
                  <w:rPr>
                    <w:rFonts w:asciiTheme="minorHAnsi" w:hAnsiTheme="minorHAnsi"/>
                    <w:szCs w:val="16"/>
                  </w:rPr>
                  <w:fldChar w:fldCharType="end"/>
                </w:r>
              </w:sdtContent>
            </w:sdt>
          </w:p>
        </w:tc>
        <w:tc>
          <w:tcPr>
            <w:tcW w:w="2184" w:type="dxa"/>
          </w:tcPr>
          <w:p w14:paraId="419896B2"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Queensland Government Statistician's Office, Queensland Treasury</w:t>
            </w:r>
          </w:p>
        </w:tc>
        <w:tc>
          <w:tcPr>
            <w:tcW w:w="816" w:type="dxa"/>
            <w:shd w:val="clear" w:color="auto" w:fill="CCCCCC" w:themeFill="text1" w:themeFillTint="33"/>
          </w:tcPr>
          <w:p w14:paraId="15DA0B79" w14:textId="06BBB1FA"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2047278323"/>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color w:val="000000"/>
                    <w:szCs w:val="16"/>
                  </w:rPr>
                  <w:instrText xml:space="preserve"> CITATION Tra15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(38)</w:t>
                </w:r>
                <w:r w:rsidR="00676ACD" w:rsidRPr="000920BA">
                  <w:rPr>
                    <w:rFonts w:asciiTheme="minorHAnsi" w:hAnsiTheme="minorHAnsi" w:cstheme="minorHAnsi"/>
                    <w:color w:val="000000"/>
                    <w:szCs w:val="16"/>
                  </w:rPr>
                  <w:fldChar w:fldCharType="end"/>
                </w:r>
              </w:sdtContent>
            </w:sdt>
          </w:p>
        </w:tc>
        <w:tc>
          <w:tcPr>
            <w:tcW w:w="2069" w:type="dxa"/>
            <w:shd w:val="clear" w:color="auto" w:fill="CCCCCC" w:themeFill="text1" w:themeFillTint="33"/>
          </w:tcPr>
          <w:p w14:paraId="68F6EE81" w14:textId="77777777" w:rsidR="00676ACD" w:rsidRPr="00695BCF" w:rsidRDefault="00676ACD" w:rsidP="007B5579">
            <w:pPr>
              <w:pStyle w:val="EYTableText"/>
              <w:spacing w:before="0" w:after="0"/>
              <w:rPr>
                <w:rFonts w:asciiTheme="minorHAnsi" w:hAnsiTheme="minorHAnsi" w:cstheme="minorHAnsi"/>
                <w:color w:val="000000"/>
                <w:szCs w:val="16"/>
              </w:rPr>
            </w:pPr>
            <w:r w:rsidRPr="000920BA">
              <w:rPr>
                <w:rFonts w:asciiTheme="minorHAnsi" w:hAnsiTheme="minorHAnsi" w:cstheme="minorHAnsi"/>
                <w:color w:val="000000"/>
                <w:szCs w:val="16"/>
              </w:rPr>
              <w:t>Trankle, Steven et al.</w:t>
            </w:r>
          </w:p>
        </w:tc>
        <w:tc>
          <w:tcPr>
            <w:tcW w:w="897" w:type="dxa"/>
            <w:vMerge/>
          </w:tcPr>
          <w:p w14:paraId="6428CAFD"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0C003CFB" w14:textId="77777777" w:rsidR="00676ACD" w:rsidRPr="000920BA" w:rsidRDefault="00676ACD" w:rsidP="007B5579">
            <w:pPr>
              <w:pStyle w:val="EYTableText"/>
              <w:spacing w:before="0" w:after="0"/>
              <w:rPr>
                <w:rFonts w:asciiTheme="minorHAnsi" w:hAnsiTheme="minorHAnsi"/>
                <w:szCs w:val="16"/>
              </w:rPr>
            </w:pPr>
          </w:p>
        </w:tc>
      </w:tr>
      <w:tr w:rsidR="00676ACD" w14:paraId="08B68CD8" w14:textId="77777777" w:rsidTr="007B5579">
        <w:tc>
          <w:tcPr>
            <w:tcW w:w="899" w:type="dxa"/>
          </w:tcPr>
          <w:p w14:paraId="51552ABB" w14:textId="71FCBDB1"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76281876"/>
                <w:citation/>
              </w:sdtPr>
              <w:sdtEndPr/>
              <w:sdtContent>
                <w:r w:rsidR="00676ACD" w:rsidRPr="000920BA">
                  <w:rPr>
                    <w:rFonts w:asciiTheme="minorHAnsi" w:hAnsiTheme="minorHAnsi"/>
                    <w:szCs w:val="16"/>
                  </w:rPr>
                  <w:fldChar w:fldCharType="begin"/>
                </w:r>
                <w:r w:rsidR="00676ACD">
                  <w:rPr>
                    <w:rFonts w:asciiTheme="minorHAnsi" w:hAnsiTheme="minorHAnsi"/>
                    <w:szCs w:val="16"/>
                  </w:rPr>
                  <w:instrText xml:space="preserve">CITATION Soc17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(39)</w:t>
                </w:r>
                <w:r w:rsidR="00676ACD" w:rsidRPr="000920BA">
                  <w:rPr>
                    <w:rFonts w:asciiTheme="minorHAnsi" w:hAnsiTheme="minorHAnsi"/>
                    <w:szCs w:val="16"/>
                  </w:rPr>
                  <w:fldChar w:fldCharType="end"/>
                </w:r>
              </w:sdtContent>
            </w:sdt>
          </w:p>
        </w:tc>
        <w:tc>
          <w:tcPr>
            <w:tcW w:w="2184" w:type="dxa"/>
          </w:tcPr>
          <w:p w14:paraId="4B551735"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Social Policy and Research Unit (Superu)</w:t>
            </w:r>
          </w:p>
        </w:tc>
        <w:tc>
          <w:tcPr>
            <w:tcW w:w="816" w:type="dxa"/>
            <w:shd w:val="clear" w:color="auto" w:fill="CCCCCC" w:themeFill="text1" w:themeFillTint="33"/>
          </w:tcPr>
          <w:p w14:paraId="1A683B3A" w14:textId="423FBE80"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1393467770"/>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szCs w:val="16"/>
                  </w:rPr>
                  <w:instrText xml:space="preserve"> CITATION Uni22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(40)</w:t>
                </w:r>
                <w:r w:rsidR="00676ACD" w:rsidRPr="000920BA">
                  <w:rPr>
                    <w:rFonts w:asciiTheme="minorHAnsi" w:hAnsiTheme="minorHAnsi" w:cstheme="minorHAnsi"/>
                    <w:color w:val="000000"/>
                    <w:szCs w:val="16"/>
                  </w:rPr>
                  <w:fldChar w:fldCharType="end"/>
                </w:r>
              </w:sdtContent>
            </w:sdt>
          </w:p>
        </w:tc>
        <w:tc>
          <w:tcPr>
            <w:tcW w:w="2069" w:type="dxa"/>
            <w:shd w:val="clear" w:color="auto" w:fill="CCCCCC" w:themeFill="text1" w:themeFillTint="33"/>
          </w:tcPr>
          <w:p w14:paraId="2BB4D3EC"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University of Queensland</w:t>
            </w:r>
          </w:p>
          <w:p w14:paraId="5332D2E2" w14:textId="77777777" w:rsidR="00676ACD" w:rsidRPr="000920BA" w:rsidRDefault="00676ACD" w:rsidP="007B5579">
            <w:pPr>
              <w:pStyle w:val="EYTableText"/>
              <w:spacing w:before="0" w:after="0"/>
              <w:rPr>
                <w:rFonts w:asciiTheme="minorHAnsi" w:hAnsiTheme="minorHAnsi"/>
                <w:szCs w:val="16"/>
              </w:rPr>
            </w:pPr>
          </w:p>
        </w:tc>
        <w:tc>
          <w:tcPr>
            <w:tcW w:w="897" w:type="dxa"/>
            <w:vMerge/>
          </w:tcPr>
          <w:p w14:paraId="5FD1133F"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72DC4E58" w14:textId="77777777" w:rsidR="00676ACD" w:rsidRPr="000920BA" w:rsidRDefault="00676ACD" w:rsidP="007B5579">
            <w:pPr>
              <w:pStyle w:val="EYTableText"/>
              <w:spacing w:before="0" w:after="0"/>
              <w:rPr>
                <w:rFonts w:asciiTheme="minorHAnsi" w:hAnsiTheme="minorHAnsi"/>
                <w:szCs w:val="16"/>
              </w:rPr>
            </w:pPr>
          </w:p>
        </w:tc>
      </w:tr>
      <w:tr w:rsidR="00676ACD" w14:paraId="49E8AAFF" w14:textId="77777777" w:rsidTr="007B5579">
        <w:tc>
          <w:tcPr>
            <w:tcW w:w="899" w:type="dxa"/>
          </w:tcPr>
          <w:p w14:paraId="5E45EC25" w14:textId="6D96A065"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105615043"/>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UKE18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(41)</w:t>
                </w:r>
                <w:r w:rsidR="00676ACD" w:rsidRPr="000920BA">
                  <w:rPr>
                    <w:rFonts w:asciiTheme="minorHAnsi" w:hAnsiTheme="minorHAnsi"/>
                    <w:szCs w:val="16"/>
                  </w:rPr>
                  <w:fldChar w:fldCharType="end"/>
                </w:r>
              </w:sdtContent>
            </w:sdt>
          </w:p>
        </w:tc>
        <w:tc>
          <w:tcPr>
            <w:tcW w:w="2184" w:type="dxa"/>
          </w:tcPr>
          <w:p w14:paraId="3B8131B1"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 xml:space="preserve">UK Evaluation Society </w:t>
            </w:r>
          </w:p>
        </w:tc>
        <w:tc>
          <w:tcPr>
            <w:tcW w:w="816" w:type="dxa"/>
            <w:shd w:val="clear" w:color="auto" w:fill="CCCCCC" w:themeFill="text1" w:themeFillTint="33"/>
          </w:tcPr>
          <w:p w14:paraId="665C1C81" w14:textId="2177B44F"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858325439"/>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szCs w:val="16"/>
                  </w:rPr>
                  <w:instrText xml:space="preserve"> CITATION Uni20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(42)</w:t>
                </w:r>
                <w:r w:rsidR="00676ACD" w:rsidRPr="000920BA">
                  <w:rPr>
                    <w:rFonts w:asciiTheme="minorHAnsi" w:hAnsiTheme="minorHAnsi" w:cstheme="minorHAnsi"/>
                    <w:color w:val="000000"/>
                    <w:szCs w:val="16"/>
                  </w:rPr>
                  <w:fldChar w:fldCharType="end"/>
                </w:r>
              </w:sdtContent>
            </w:sdt>
          </w:p>
        </w:tc>
        <w:tc>
          <w:tcPr>
            <w:tcW w:w="2069" w:type="dxa"/>
            <w:shd w:val="clear" w:color="auto" w:fill="CCCCCC" w:themeFill="text1" w:themeFillTint="33"/>
          </w:tcPr>
          <w:p w14:paraId="76BE6C75"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University of Melbourne</w:t>
            </w:r>
          </w:p>
          <w:p w14:paraId="0253BE6B" w14:textId="77777777" w:rsidR="00676ACD" w:rsidRPr="000920BA" w:rsidRDefault="00676ACD" w:rsidP="007B5579">
            <w:pPr>
              <w:pStyle w:val="EYTableText"/>
              <w:spacing w:before="0" w:after="0"/>
              <w:rPr>
                <w:rFonts w:asciiTheme="minorHAnsi" w:hAnsiTheme="minorHAnsi"/>
                <w:szCs w:val="16"/>
              </w:rPr>
            </w:pPr>
          </w:p>
        </w:tc>
        <w:tc>
          <w:tcPr>
            <w:tcW w:w="897" w:type="dxa"/>
            <w:vMerge/>
          </w:tcPr>
          <w:p w14:paraId="61BCB05D"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1EC6C10C" w14:textId="77777777" w:rsidR="00676ACD" w:rsidRPr="000920BA" w:rsidRDefault="00676ACD" w:rsidP="007B5579">
            <w:pPr>
              <w:pStyle w:val="EYTableText"/>
              <w:spacing w:before="0" w:after="0"/>
              <w:rPr>
                <w:rFonts w:asciiTheme="minorHAnsi" w:hAnsiTheme="minorHAnsi"/>
                <w:szCs w:val="16"/>
              </w:rPr>
            </w:pPr>
          </w:p>
        </w:tc>
      </w:tr>
      <w:tr w:rsidR="00676ACD" w14:paraId="2B72249D" w14:textId="77777777" w:rsidTr="007B5579">
        <w:tc>
          <w:tcPr>
            <w:tcW w:w="899" w:type="dxa"/>
          </w:tcPr>
          <w:p w14:paraId="7DF4D6F8" w14:textId="6179E6A8"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182827097"/>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Vic10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(43)</w:t>
                </w:r>
                <w:r w:rsidR="00676ACD" w:rsidRPr="000920BA">
                  <w:rPr>
                    <w:rFonts w:asciiTheme="minorHAnsi" w:hAnsiTheme="minorHAnsi"/>
                    <w:szCs w:val="16"/>
                  </w:rPr>
                  <w:fldChar w:fldCharType="end"/>
                </w:r>
              </w:sdtContent>
            </w:sdt>
          </w:p>
        </w:tc>
        <w:tc>
          <w:tcPr>
            <w:tcW w:w="2184" w:type="dxa"/>
          </w:tcPr>
          <w:p w14:paraId="34E7DC3C"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Victorian Government Department of Health, Prevention and Population Health Branch</w:t>
            </w:r>
          </w:p>
        </w:tc>
        <w:tc>
          <w:tcPr>
            <w:tcW w:w="816" w:type="dxa"/>
            <w:vMerge w:val="restart"/>
            <w:shd w:val="clear" w:color="auto" w:fill="CCCCCC" w:themeFill="text1" w:themeFillTint="33"/>
          </w:tcPr>
          <w:p w14:paraId="3DF8B241" w14:textId="5AE817C9" w:rsidR="00676ACD" w:rsidRPr="000920BA" w:rsidRDefault="00D657CC" w:rsidP="007B5579">
            <w:pPr>
              <w:pStyle w:val="EYTableText"/>
              <w:spacing w:before="0" w:after="0"/>
              <w:rPr>
                <w:rFonts w:asciiTheme="minorHAnsi" w:hAnsiTheme="minorHAnsi"/>
                <w:szCs w:val="16"/>
              </w:rPr>
            </w:pPr>
            <w:sdt>
              <w:sdtPr>
                <w:rPr>
                  <w:rFonts w:asciiTheme="minorHAnsi" w:hAnsiTheme="minorHAnsi" w:cstheme="minorHAnsi"/>
                  <w:color w:val="000000"/>
                  <w:szCs w:val="16"/>
                </w:rPr>
                <w:id w:val="1455061073"/>
                <w:citation/>
              </w:sdtPr>
              <w:sdtEndPr/>
              <w:sdtContent>
                <w:r w:rsidR="00676ACD" w:rsidRPr="000920BA">
                  <w:rPr>
                    <w:rFonts w:asciiTheme="minorHAnsi" w:hAnsiTheme="minorHAnsi" w:cstheme="minorHAnsi"/>
                    <w:color w:val="000000"/>
                    <w:szCs w:val="16"/>
                  </w:rPr>
                  <w:fldChar w:fldCharType="begin"/>
                </w:r>
                <w:r w:rsidR="00676ACD" w:rsidRPr="000920BA">
                  <w:rPr>
                    <w:rFonts w:asciiTheme="minorHAnsi" w:hAnsiTheme="minorHAnsi" w:cstheme="minorHAnsi"/>
                    <w:szCs w:val="16"/>
                  </w:rPr>
                  <w:instrText xml:space="preserve"> CITATION Uni21 \l 3081 </w:instrText>
                </w:r>
                <w:r w:rsidR="00676ACD" w:rsidRPr="000920BA">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(44)</w:t>
                </w:r>
                <w:r w:rsidR="00676ACD" w:rsidRPr="000920BA">
                  <w:rPr>
                    <w:rFonts w:asciiTheme="minorHAnsi" w:hAnsiTheme="minorHAnsi" w:cstheme="minorHAnsi"/>
                    <w:color w:val="000000"/>
                    <w:szCs w:val="16"/>
                  </w:rPr>
                  <w:fldChar w:fldCharType="end"/>
                </w:r>
              </w:sdtContent>
            </w:sdt>
          </w:p>
        </w:tc>
        <w:tc>
          <w:tcPr>
            <w:tcW w:w="2069" w:type="dxa"/>
            <w:vMerge w:val="restart"/>
            <w:shd w:val="clear" w:color="auto" w:fill="CCCCCC" w:themeFill="text1" w:themeFillTint="33"/>
          </w:tcPr>
          <w:p w14:paraId="08DB33E5" w14:textId="77777777" w:rsidR="00676ACD" w:rsidRPr="000920BA" w:rsidRDefault="00676ACD" w:rsidP="007B5579">
            <w:pPr>
              <w:pStyle w:val="EYTableText"/>
              <w:spacing w:before="0" w:after="0"/>
              <w:rPr>
                <w:rFonts w:asciiTheme="minorHAnsi" w:hAnsiTheme="minorHAnsi" w:cstheme="minorHAnsi"/>
                <w:szCs w:val="16"/>
              </w:rPr>
            </w:pPr>
            <w:r w:rsidRPr="000920BA">
              <w:rPr>
                <w:rFonts w:asciiTheme="minorHAnsi" w:hAnsiTheme="minorHAnsi" w:cstheme="minorHAnsi"/>
                <w:szCs w:val="16"/>
              </w:rPr>
              <w:t>University of Queensland</w:t>
            </w:r>
          </w:p>
          <w:p w14:paraId="5C628838" w14:textId="77777777" w:rsidR="00676ACD" w:rsidRPr="000920BA" w:rsidRDefault="00676ACD" w:rsidP="007B5579">
            <w:pPr>
              <w:pStyle w:val="EYTableText"/>
              <w:spacing w:before="0" w:after="0"/>
              <w:rPr>
                <w:rFonts w:asciiTheme="minorHAnsi" w:hAnsiTheme="minorHAnsi"/>
                <w:szCs w:val="16"/>
              </w:rPr>
            </w:pPr>
          </w:p>
        </w:tc>
        <w:tc>
          <w:tcPr>
            <w:tcW w:w="897" w:type="dxa"/>
            <w:vMerge/>
          </w:tcPr>
          <w:p w14:paraId="4B10B6BE"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5B3F6E2A" w14:textId="77777777" w:rsidR="00676ACD" w:rsidRPr="000920BA" w:rsidRDefault="00676ACD" w:rsidP="007B5579">
            <w:pPr>
              <w:pStyle w:val="EYTableText"/>
              <w:spacing w:before="0" w:after="0"/>
              <w:rPr>
                <w:rFonts w:asciiTheme="minorHAnsi" w:hAnsiTheme="minorHAnsi"/>
                <w:szCs w:val="16"/>
              </w:rPr>
            </w:pPr>
          </w:p>
        </w:tc>
      </w:tr>
      <w:tr w:rsidR="00676ACD" w14:paraId="477CBA79" w14:textId="77777777" w:rsidTr="007B5579">
        <w:tc>
          <w:tcPr>
            <w:tcW w:w="899" w:type="dxa"/>
          </w:tcPr>
          <w:p w14:paraId="54F36F54" w14:textId="61146E27" w:rsidR="00676ACD" w:rsidRPr="000920BA" w:rsidRDefault="00D657CC" w:rsidP="007B5579">
            <w:pPr>
              <w:pStyle w:val="EYTableText"/>
              <w:spacing w:before="0" w:after="0"/>
              <w:rPr>
                <w:rFonts w:asciiTheme="minorHAnsi" w:hAnsiTheme="minorHAnsi"/>
                <w:szCs w:val="16"/>
              </w:rPr>
            </w:pPr>
            <w:sdt>
              <w:sdtPr>
                <w:rPr>
                  <w:rFonts w:asciiTheme="minorHAnsi" w:hAnsiTheme="minorHAnsi"/>
                  <w:szCs w:val="16"/>
                </w:rPr>
                <w:id w:val="759258442"/>
                <w:citation/>
              </w:sdtPr>
              <w:sdtEndPr/>
              <w:sdtContent>
                <w:r w:rsidR="00676ACD" w:rsidRPr="000920BA">
                  <w:rPr>
                    <w:rFonts w:asciiTheme="minorHAnsi" w:hAnsiTheme="minorHAnsi"/>
                    <w:szCs w:val="16"/>
                  </w:rPr>
                  <w:fldChar w:fldCharType="begin"/>
                </w:r>
                <w:r w:rsidR="00676ACD" w:rsidRPr="000920BA">
                  <w:rPr>
                    <w:rFonts w:asciiTheme="minorHAnsi" w:hAnsiTheme="minorHAnsi"/>
                    <w:szCs w:val="16"/>
                  </w:rPr>
                  <w:instrText xml:space="preserve"> CITATION Vol07 \l 3081 </w:instrText>
                </w:r>
                <w:r w:rsidR="00676ACD" w:rsidRPr="000920BA">
                  <w:rPr>
                    <w:rFonts w:asciiTheme="minorHAnsi" w:hAnsiTheme="minorHAnsi"/>
                    <w:szCs w:val="16"/>
                  </w:rPr>
                  <w:fldChar w:fldCharType="separate"/>
                </w:r>
                <w:r w:rsidR="00710993" w:rsidRPr="00710993">
                  <w:rPr>
                    <w:rFonts w:asciiTheme="minorHAnsi" w:hAnsiTheme="minorHAnsi"/>
                    <w:noProof/>
                    <w:szCs w:val="16"/>
                  </w:rPr>
                  <w:t>(45)</w:t>
                </w:r>
                <w:r w:rsidR="00676ACD" w:rsidRPr="000920BA">
                  <w:rPr>
                    <w:rFonts w:asciiTheme="minorHAnsi" w:hAnsiTheme="minorHAnsi"/>
                    <w:szCs w:val="16"/>
                  </w:rPr>
                  <w:fldChar w:fldCharType="end"/>
                </w:r>
              </w:sdtContent>
            </w:sdt>
          </w:p>
        </w:tc>
        <w:tc>
          <w:tcPr>
            <w:tcW w:w="2184" w:type="dxa"/>
          </w:tcPr>
          <w:p w14:paraId="1A02D09F" w14:textId="77777777" w:rsidR="00676ACD" w:rsidRPr="000920BA" w:rsidRDefault="00676ACD" w:rsidP="007B5579">
            <w:pPr>
              <w:pStyle w:val="EYTableText"/>
              <w:spacing w:before="0" w:after="0"/>
              <w:rPr>
                <w:rFonts w:asciiTheme="minorHAnsi" w:hAnsiTheme="minorHAnsi"/>
                <w:szCs w:val="16"/>
              </w:rPr>
            </w:pPr>
            <w:r w:rsidRPr="000920BA">
              <w:rPr>
                <w:rFonts w:asciiTheme="minorHAnsi" w:hAnsiTheme="minorHAnsi"/>
                <w:szCs w:val="16"/>
              </w:rPr>
              <w:t xml:space="preserve">Volkov, Boris B. et al. </w:t>
            </w:r>
          </w:p>
        </w:tc>
        <w:tc>
          <w:tcPr>
            <w:tcW w:w="816" w:type="dxa"/>
            <w:vMerge/>
            <w:shd w:val="clear" w:color="auto" w:fill="CCCCCC" w:themeFill="text1" w:themeFillTint="33"/>
          </w:tcPr>
          <w:p w14:paraId="790A14D6" w14:textId="77777777" w:rsidR="00676ACD" w:rsidRPr="000920BA" w:rsidRDefault="00676ACD" w:rsidP="007B5579">
            <w:pPr>
              <w:pStyle w:val="EYTableText"/>
              <w:spacing w:before="0" w:after="0"/>
              <w:rPr>
                <w:rFonts w:asciiTheme="minorHAnsi" w:hAnsiTheme="minorHAnsi"/>
                <w:szCs w:val="16"/>
              </w:rPr>
            </w:pPr>
          </w:p>
        </w:tc>
        <w:tc>
          <w:tcPr>
            <w:tcW w:w="2069" w:type="dxa"/>
            <w:vMerge/>
            <w:shd w:val="clear" w:color="auto" w:fill="CCCCCC" w:themeFill="text1" w:themeFillTint="33"/>
          </w:tcPr>
          <w:p w14:paraId="12CE54F9" w14:textId="77777777" w:rsidR="00676ACD" w:rsidRPr="000920BA" w:rsidRDefault="00676ACD" w:rsidP="007B5579">
            <w:pPr>
              <w:pStyle w:val="EYTableText"/>
              <w:spacing w:before="0" w:after="0"/>
              <w:rPr>
                <w:rFonts w:asciiTheme="minorHAnsi" w:hAnsiTheme="minorHAnsi"/>
                <w:szCs w:val="16"/>
              </w:rPr>
            </w:pPr>
          </w:p>
        </w:tc>
        <w:tc>
          <w:tcPr>
            <w:tcW w:w="897" w:type="dxa"/>
            <w:vMerge/>
          </w:tcPr>
          <w:p w14:paraId="109E986C"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2F4A110C" w14:textId="77777777" w:rsidR="00676ACD" w:rsidRPr="000920BA" w:rsidRDefault="00676ACD" w:rsidP="007B5579">
            <w:pPr>
              <w:pStyle w:val="EYTableText"/>
              <w:spacing w:before="0" w:after="0"/>
              <w:rPr>
                <w:rFonts w:asciiTheme="minorHAnsi" w:hAnsiTheme="minorHAnsi"/>
                <w:szCs w:val="16"/>
              </w:rPr>
            </w:pPr>
          </w:p>
        </w:tc>
      </w:tr>
      <w:tr w:rsidR="00676ACD" w14:paraId="2CEE9EBA" w14:textId="77777777" w:rsidTr="007B5579">
        <w:tc>
          <w:tcPr>
            <w:tcW w:w="899" w:type="dxa"/>
          </w:tcPr>
          <w:p w14:paraId="170A87E1" w14:textId="50577B77" w:rsidR="00676ACD" w:rsidRDefault="00D657CC" w:rsidP="007B5579">
            <w:pPr>
              <w:pStyle w:val="EYTableText"/>
              <w:spacing w:before="0" w:after="0"/>
              <w:rPr>
                <w:rFonts w:asciiTheme="minorHAnsi" w:hAnsiTheme="minorHAnsi"/>
                <w:szCs w:val="16"/>
              </w:rPr>
            </w:pPr>
            <w:sdt>
              <w:sdtPr>
                <w:rPr>
                  <w:rFonts w:asciiTheme="minorHAnsi" w:hAnsiTheme="minorHAnsi"/>
                  <w:szCs w:val="16"/>
                </w:rPr>
                <w:id w:val="1667277723"/>
                <w:citation/>
              </w:sdtPr>
              <w:sdtEndPr/>
              <w:sdtContent>
                <w:r w:rsidR="00676ACD">
                  <w:rPr>
                    <w:rFonts w:asciiTheme="minorHAnsi" w:hAnsiTheme="minorHAnsi"/>
                    <w:szCs w:val="16"/>
                  </w:rPr>
                  <w:fldChar w:fldCharType="begin"/>
                </w:r>
                <w:r w:rsidR="00676ACD">
                  <w:rPr>
                    <w:rFonts w:asciiTheme="minorHAnsi" w:hAnsiTheme="minorHAnsi"/>
                    <w:szCs w:val="16"/>
                  </w:rPr>
                  <w:instrText xml:space="preserve"> CITATION Aus221 \l 3081 </w:instrText>
                </w:r>
                <w:r w:rsidR="00676ACD">
                  <w:rPr>
                    <w:rFonts w:asciiTheme="minorHAnsi" w:hAnsiTheme="minorHAnsi"/>
                    <w:szCs w:val="16"/>
                  </w:rPr>
                  <w:fldChar w:fldCharType="separate"/>
                </w:r>
                <w:r w:rsidR="00710993" w:rsidRPr="00710993">
                  <w:rPr>
                    <w:rFonts w:asciiTheme="minorHAnsi" w:hAnsiTheme="minorHAnsi"/>
                    <w:noProof/>
                    <w:szCs w:val="16"/>
                  </w:rPr>
                  <w:t>(46)</w:t>
                </w:r>
                <w:r w:rsidR="00676ACD">
                  <w:rPr>
                    <w:rFonts w:asciiTheme="minorHAnsi" w:hAnsiTheme="minorHAnsi"/>
                    <w:szCs w:val="16"/>
                  </w:rPr>
                  <w:fldChar w:fldCharType="end"/>
                </w:r>
              </w:sdtContent>
            </w:sdt>
          </w:p>
        </w:tc>
        <w:tc>
          <w:tcPr>
            <w:tcW w:w="2184" w:type="dxa"/>
          </w:tcPr>
          <w:p w14:paraId="0A0B8700" w14:textId="30CABAE2" w:rsidR="00676ACD" w:rsidRPr="000920BA" w:rsidRDefault="00676ACD" w:rsidP="007B5579">
            <w:pPr>
              <w:pStyle w:val="EYTableText"/>
              <w:spacing w:before="0" w:after="0"/>
              <w:rPr>
                <w:rFonts w:asciiTheme="minorHAnsi" w:hAnsiTheme="minorHAnsi"/>
                <w:szCs w:val="16"/>
              </w:rPr>
            </w:pPr>
            <w:r>
              <w:rPr>
                <w:rFonts w:asciiTheme="minorHAnsi" w:hAnsiTheme="minorHAnsi"/>
                <w:szCs w:val="16"/>
              </w:rPr>
              <w:t>Australian Government Department of Finance</w:t>
            </w:r>
            <w:r w:rsidR="00504EDE">
              <w:rPr>
                <w:rFonts w:asciiTheme="minorHAnsi" w:hAnsiTheme="minorHAnsi"/>
                <w:szCs w:val="16"/>
              </w:rPr>
              <w:t xml:space="preserve"> </w:t>
            </w:r>
            <w:r w:rsidR="00504EDE" w:rsidRPr="00504EDE">
              <w:rPr>
                <w:rFonts w:asciiTheme="minorHAnsi" w:hAnsiTheme="minorHAnsi"/>
                <w:szCs w:val="16"/>
              </w:rPr>
              <w:t>(now Australian Centre for Evaluation)</w:t>
            </w:r>
          </w:p>
        </w:tc>
        <w:tc>
          <w:tcPr>
            <w:tcW w:w="816" w:type="dxa"/>
            <w:vMerge/>
            <w:shd w:val="clear" w:color="auto" w:fill="CCCCCC" w:themeFill="text1" w:themeFillTint="33"/>
          </w:tcPr>
          <w:p w14:paraId="7746D0AE" w14:textId="77777777" w:rsidR="00676ACD" w:rsidRPr="000920BA" w:rsidRDefault="00676ACD" w:rsidP="007B5579">
            <w:pPr>
              <w:pStyle w:val="EYTableText"/>
              <w:spacing w:before="0" w:after="0"/>
              <w:rPr>
                <w:rFonts w:asciiTheme="minorHAnsi" w:hAnsiTheme="minorHAnsi"/>
                <w:szCs w:val="16"/>
              </w:rPr>
            </w:pPr>
          </w:p>
        </w:tc>
        <w:tc>
          <w:tcPr>
            <w:tcW w:w="2069" w:type="dxa"/>
            <w:vMerge/>
            <w:shd w:val="clear" w:color="auto" w:fill="CCCCCC" w:themeFill="text1" w:themeFillTint="33"/>
          </w:tcPr>
          <w:p w14:paraId="72C0A090" w14:textId="77777777" w:rsidR="00676ACD" w:rsidRPr="000920BA" w:rsidRDefault="00676ACD" w:rsidP="007B5579">
            <w:pPr>
              <w:pStyle w:val="EYTableText"/>
              <w:spacing w:before="0" w:after="0"/>
              <w:rPr>
                <w:rFonts w:asciiTheme="minorHAnsi" w:hAnsiTheme="minorHAnsi"/>
                <w:szCs w:val="16"/>
              </w:rPr>
            </w:pPr>
          </w:p>
        </w:tc>
        <w:tc>
          <w:tcPr>
            <w:tcW w:w="897" w:type="dxa"/>
            <w:vMerge/>
          </w:tcPr>
          <w:p w14:paraId="62DCB02B" w14:textId="77777777" w:rsidR="00676ACD" w:rsidRPr="000920BA" w:rsidRDefault="00676ACD" w:rsidP="007B5579">
            <w:pPr>
              <w:pStyle w:val="EYTableText"/>
              <w:spacing w:before="0" w:after="0"/>
              <w:rPr>
                <w:rFonts w:asciiTheme="minorHAnsi" w:hAnsiTheme="minorHAnsi"/>
                <w:szCs w:val="16"/>
              </w:rPr>
            </w:pPr>
          </w:p>
        </w:tc>
        <w:tc>
          <w:tcPr>
            <w:tcW w:w="2154" w:type="dxa"/>
            <w:vMerge/>
          </w:tcPr>
          <w:p w14:paraId="475F4533" w14:textId="77777777" w:rsidR="00676ACD" w:rsidRPr="000920BA" w:rsidRDefault="00676ACD" w:rsidP="007B5579">
            <w:pPr>
              <w:pStyle w:val="EYTableText"/>
              <w:spacing w:before="0" w:after="0"/>
              <w:rPr>
                <w:rFonts w:asciiTheme="minorHAnsi" w:hAnsiTheme="minorHAnsi"/>
                <w:szCs w:val="16"/>
              </w:rPr>
            </w:pPr>
          </w:p>
        </w:tc>
      </w:tr>
    </w:tbl>
    <w:p w14:paraId="594C204F" w14:textId="77777777" w:rsidR="00676ACD" w:rsidRPr="00AD35D9" w:rsidRDefault="00676ACD" w:rsidP="007B5579">
      <w:pPr>
        <w:pStyle w:val="DVABodytextwithparaspace"/>
        <w:spacing w:after="0"/>
        <w:rPr>
          <w:sz w:val="14"/>
        </w:rPr>
      </w:pPr>
      <w:r w:rsidRPr="00AD35D9">
        <w:rPr>
          <w:sz w:val="14"/>
        </w:rPr>
        <w:t xml:space="preserve">*As per </w:t>
      </w:r>
      <w:r w:rsidRPr="00647681">
        <w:rPr>
          <w:sz w:val="14"/>
          <w:szCs w:val="14"/>
        </w:rPr>
        <w:t>references</w:t>
      </w:r>
      <w:r w:rsidRPr="00AD35D9">
        <w:rPr>
          <w:sz w:val="14"/>
        </w:rPr>
        <w:t xml:space="preserve"> list</w:t>
      </w:r>
      <w:r w:rsidRPr="00647681">
        <w:rPr>
          <w:sz w:val="14"/>
          <w:szCs w:val="14"/>
        </w:rPr>
        <w:t>, Section 5</w:t>
      </w:r>
    </w:p>
    <w:p w14:paraId="58804F43" w14:textId="77777777" w:rsidR="00676ACD" w:rsidRPr="007F0740" w:rsidRDefault="00676ACD" w:rsidP="007B5579">
      <w:pPr>
        <w:pStyle w:val="DVABodytextwithparaspace"/>
        <w:spacing w:after="0"/>
        <w:rPr>
          <w:sz w:val="16"/>
          <w:szCs w:val="16"/>
        </w:rPr>
      </w:pPr>
    </w:p>
    <w:p w14:paraId="4D6DB201" w14:textId="5A13BB3A" w:rsidR="00676ACD" w:rsidRDefault="00676ACD" w:rsidP="007B5579">
      <w:pPr>
        <w:pStyle w:val="Caption"/>
      </w:pPr>
      <w:bookmarkStart w:id="86" w:name="_Ref105526452"/>
      <w:r>
        <w:lastRenderedPageBreak/>
        <w:t xml:space="preserve">Figure </w:t>
      </w:r>
      <w:bookmarkEnd w:id="83"/>
      <w:r>
        <w:fldChar w:fldCharType="begin"/>
      </w:r>
      <w:r>
        <w:instrText xml:space="preserve"> SEQ Figure \* ARABIC </w:instrText>
      </w:r>
      <w:r>
        <w:fldChar w:fldCharType="separate"/>
      </w:r>
      <w:r w:rsidR="00812188">
        <w:rPr>
          <w:noProof/>
        </w:rPr>
        <w:t>2</w:t>
      </w:r>
      <w:r>
        <w:fldChar w:fldCharType="end"/>
      </w:r>
      <w:bookmarkEnd w:id="86"/>
      <w:r>
        <w:t>. Data collected mapped to review questions</w:t>
      </w:r>
    </w:p>
    <w:p w14:paraId="0452A317" w14:textId="77777777" w:rsidR="00676ACD" w:rsidRPr="004F0716" w:rsidRDefault="00676ACD" w:rsidP="007B5579">
      <w:pPr>
        <w:tabs>
          <w:tab w:val="center" w:pos="4514"/>
        </w:tabs>
        <w:sectPr w:rsidR="00676ACD" w:rsidRPr="004F0716" w:rsidSect="00BA720D">
          <w:headerReference w:type="even" r:id="rId10"/>
          <w:headerReference w:type="default" r:id="rId11"/>
          <w:footerReference w:type="even" r:id="rId12"/>
          <w:footerReference w:type="default" r:id="rId13"/>
          <w:headerReference w:type="first" r:id="rId14"/>
          <w:footerReference w:type="first" r:id="rId15"/>
          <w:pgSz w:w="11909" w:h="16834" w:code="9"/>
          <w:pgMar w:top="2155" w:right="1134" w:bottom="1418" w:left="1134" w:header="595" w:footer="454" w:gutter="0"/>
          <w:cols w:space="720"/>
          <w:titlePg/>
          <w:docGrid w:linePitch="360"/>
        </w:sectPr>
      </w:pPr>
      <w:r w:rsidRPr="0009312E">
        <w:rPr>
          <w:noProof/>
        </w:rPr>
        <w:t xml:space="preserve"> </w:t>
      </w:r>
      <w:r>
        <w:rPr>
          <w:noProof/>
          <w:lang w:val="en-AU" w:eastAsia="en-AU"/>
        </w:rPr>
        <w:drawing>
          <wp:inline distT="0" distB="0" distL="0" distR="0" wp14:anchorId="42CD6778" wp14:editId="3DC6ED7C">
            <wp:extent cx="5914666" cy="514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406" cy="5170232"/>
                    </a:xfrm>
                    <a:prstGeom prst="rect">
                      <a:avLst/>
                    </a:prstGeom>
                    <a:noFill/>
                  </pic:spPr>
                </pic:pic>
              </a:graphicData>
            </a:graphic>
          </wp:inline>
        </w:drawing>
      </w:r>
    </w:p>
    <w:p w14:paraId="71474AD9" w14:textId="77777777" w:rsidR="00676ACD" w:rsidRPr="00E72B1E" w:rsidRDefault="00676ACD" w:rsidP="00676ACD">
      <w:pPr>
        <w:pStyle w:val="Heading1numbered"/>
      </w:pPr>
      <w:bookmarkStart w:id="87" w:name="_Toc105749443"/>
      <w:bookmarkStart w:id="88" w:name="_Toc107225296"/>
      <w:bookmarkStart w:id="89" w:name="_Toc105758418"/>
      <w:bookmarkStart w:id="90" w:name="_Toc110956288"/>
      <w:r w:rsidRPr="00E72B1E">
        <w:lastRenderedPageBreak/>
        <w:t>Key findings</w:t>
      </w:r>
      <w:bookmarkEnd w:id="87"/>
      <w:bookmarkEnd w:id="88"/>
      <w:bookmarkEnd w:id="89"/>
      <w:bookmarkEnd w:id="90"/>
    </w:p>
    <w:p w14:paraId="570F4816" w14:textId="5585338C" w:rsidR="00676ACD" w:rsidRPr="001E73C5" w:rsidRDefault="00676ACD" w:rsidP="007B5579">
      <w:pPr>
        <w:pStyle w:val="DVALeader"/>
      </w:pPr>
      <w:r>
        <w:t xml:space="preserve">This chapter presents key findings of the review mapped against the five review questions. Findings reference </w:t>
      </w:r>
      <w:r w:rsidRPr="005039D2">
        <w:t>analysis outputs, which are provided in the Appendices</w:t>
      </w:r>
      <w:r>
        <w:t xml:space="preserve">. The findings are largely informed by Australian-based literature and case </w:t>
      </w:r>
      <w:r w:rsidR="00333CFC">
        <w:t>studies and</w:t>
      </w:r>
      <w:r>
        <w:t xml:space="preserve"> identifies any key lessons that may be learned from international literature and key informant interviews. </w:t>
      </w:r>
    </w:p>
    <w:p w14:paraId="004D6B82" w14:textId="77777777" w:rsidR="00676ACD" w:rsidRDefault="00676ACD" w:rsidP="00676ACD">
      <w:pPr>
        <w:pStyle w:val="Heading2numbered"/>
      </w:pPr>
      <w:bookmarkStart w:id="91" w:name="_Toc105749444"/>
      <w:bookmarkStart w:id="92" w:name="_Toc107225297"/>
      <w:bookmarkStart w:id="93" w:name="_Toc105758419"/>
      <w:bookmarkStart w:id="94" w:name="_Toc110956289"/>
      <w:r w:rsidRPr="00E72B1E">
        <w:t>What is better practice evaluation of Australian health programs?</w:t>
      </w:r>
      <w:bookmarkEnd w:id="91"/>
      <w:bookmarkEnd w:id="92"/>
      <w:bookmarkEnd w:id="93"/>
      <w:bookmarkEnd w:id="94"/>
    </w:p>
    <w:p w14:paraId="352202D7" w14:textId="77777777" w:rsidR="00676ACD" w:rsidRPr="00804F5C" w:rsidRDefault="00676ACD" w:rsidP="007B5579">
      <w:pPr>
        <w:spacing w:after="240"/>
        <w:rPr>
          <w:sz w:val="20"/>
          <w:szCs w:val="20"/>
        </w:rPr>
      </w:pPr>
      <w:r w:rsidRPr="00804F5C">
        <w:rPr>
          <w:sz w:val="20"/>
          <w:szCs w:val="20"/>
        </w:rPr>
        <w:t>This section was informed by the policy and guidance documents, the program evaluation articles and systematic reviews that discussed better practice evaluation practices. Key informant interviews with experts in evaluations for veterans in the United States and case studies with Australian government</w:t>
      </w:r>
      <w:r w:rsidRPr="00DB3165">
        <w:rPr>
          <w:sz w:val="20"/>
          <w:szCs w:val="20"/>
          <w:lang w:val="en-AU"/>
        </w:rPr>
        <w:t xml:space="preserve"> organisations</w:t>
      </w:r>
      <w:r w:rsidRPr="00804F5C">
        <w:rPr>
          <w:sz w:val="20"/>
          <w:szCs w:val="20"/>
        </w:rPr>
        <w:t xml:space="preserve"> also informed this section. Five principles that characterised best practice evaluations were identified and are outlined below. </w:t>
      </w:r>
    </w:p>
    <w:p w14:paraId="74D3B6D0" w14:textId="77777777" w:rsidR="00676ACD" w:rsidRPr="00804F5C" w:rsidRDefault="00676ACD" w:rsidP="00676ACD">
      <w:pPr>
        <w:pStyle w:val="DVA1Number"/>
        <w:numPr>
          <w:ilvl w:val="0"/>
          <w:numId w:val="36"/>
        </w:numPr>
        <w:spacing w:after="0"/>
        <w:rPr>
          <w:szCs w:val="20"/>
        </w:rPr>
      </w:pPr>
      <w:r w:rsidRPr="00804F5C">
        <w:rPr>
          <w:szCs w:val="20"/>
        </w:rPr>
        <w:t>The right foundations are used</w:t>
      </w:r>
    </w:p>
    <w:p w14:paraId="79194770" w14:textId="77777777" w:rsidR="00676ACD" w:rsidRPr="00804F5C" w:rsidRDefault="00676ACD" w:rsidP="00676ACD">
      <w:pPr>
        <w:numPr>
          <w:ilvl w:val="0"/>
          <w:numId w:val="31"/>
        </w:numPr>
        <w:spacing w:after="0" w:line="240" w:lineRule="auto"/>
        <w:rPr>
          <w:rFonts w:ascii="Calibri" w:hAnsi="Calibri"/>
          <w:kern w:val="12"/>
          <w:sz w:val="20"/>
          <w:szCs w:val="20"/>
          <w:lang w:eastAsia="en-AU"/>
        </w:rPr>
      </w:pPr>
      <w:r w:rsidRPr="00804F5C">
        <w:rPr>
          <w:rFonts w:ascii="Calibri" w:hAnsi="Calibri"/>
          <w:kern w:val="12"/>
          <w:sz w:val="20"/>
          <w:szCs w:val="20"/>
          <w:lang w:eastAsia="en-AU"/>
        </w:rPr>
        <w:t>A systematic approach is used when prioritising programs for evaluation</w:t>
      </w:r>
    </w:p>
    <w:p w14:paraId="59D699E2" w14:textId="77777777" w:rsidR="00676ACD" w:rsidRPr="00804F5C" w:rsidRDefault="00676ACD" w:rsidP="00676ACD">
      <w:pPr>
        <w:numPr>
          <w:ilvl w:val="0"/>
          <w:numId w:val="18"/>
        </w:numPr>
        <w:spacing w:after="0" w:line="240" w:lineRule="auto"/>
        <w:rPr>
          <w:rFonts w:ascii="Calibri" w:hAnsi="Calibri"/>
          <w:kern w:val="12"/>
          <w:sz w:val="20"/>
          <w:szCs w:val="20"/>
          <w:lang w:eastAsia="en-AU"/>
        </w:rPr>
      </w:pPr>
      <w:r w:rsidRPr="00804F5C">
        <w:rPr>
          <w:rFonts w:ascii="Calibri" w:hAnsi="Calibri"/>
          <w:kern w:val="12"/>
          <w:sz w:val="20"/>
          <w:szCs w:val="20"/>
          <w:lang w:eastAsia="en-AU"/>
        </w:rPr>
        <w:t xml:space="preserve">Evaluation type is selected based on need or intended goals   </w:t>
      </w:r>
    </w:p>
    <w:p w14:paraId="18DA593B" w14:textId="77777777" w:rsidR="00676ACD" w:rsidRPr="00804F5C" w:rsidRDefault="00676ACD" w:rsidP="00676ACD">
      <w:pPr>
        <w:numPr>
          <w:ilvl w:val="0"/>
          <w:numId w:val="18"/>
        </w:numPr>
        <w:spacing w:after="0" w:line="240" w:lineRule="auto"/>
        <w:rPr>
          <w:rFonts w:ascii="Calibri" w:hAnsi="Calibri"/>
          <w:kern w:val="12"/>
          <w:sz w:val="20"/>
          <w:szCs w:val="20"/>
          <w:lang w:eastAsia="en-AU"/>
        </w:rPr>
      </w:pPr>
      <w:r w:rsidRPr="00804F5C">
        <w:rPr>
          <w:rFonts w:ascii="Calibri" w:hAnsi="Calibri"/>
          <w:kern w:val="12"/>
          <w:sz w:val="20"/>
          <w:szCs w:val="20"/>
          <w:lang w:eastAsia="en-AU"/>
        </w:rPr>
        <w:t>Careful consideration is given when choosing between internal and external evaluators</w:t>
      </w:r>
    </w:p>
    <w:p w14:paraId="0B9DF604" w14:textId="77777777" w:rsidR="00676ACD" w:rsidRPr="00804F5C" w:rsidRDefault="00676ACD" w:rsidP="00676ACD">
      <w:pPr>
        <w:numPr>
          <w:ilvl w:val="0"/>
          <w:numId w:val="18"/>
        </w:numPr>
        <w:spacing w:after="240" w:line="240" w:lineRule="auto"/>
        <w:rPr>
          <w:rFonts w:ascii="Calibri" w:hAnsi="Calibri"/>
          <w:kern w:val="12"/>
          <w:sz w:val="20"/>
          <w:szCs w:val="20"/>
          <w:lang w:eastAsia="en-AU"/>
        </w:rPr>
      </w:pPr>
      <w:r w:rsidRPr="00804F5C">
        <w:rPr>
          <w:rFonts w:ascii="Calibri" w:hAnsi="Calibri"/>
          <w:kern w:val="12"/>
          <w:sz w:val="20"/>
          <w:szCs w:val="20"/>
          <w:lang w:eastAsia="en-AU"/>
        </w:rPr>
        <w:t>Evaluation findings are used to support decision making.</w:t>
      </w:r>
    </w:p>
    <w:p w14:paraId="45F3B92A" w14:textId="0D00C647" w:rsidR="00676ACD" w:rsidRPr="00804F5C" w:rsidRDefault="00676ACD" w:rsidP="007B5579">
      <w:pPr>
        <w:spacing w:after="240"/>
        <w:rPr>
          <w:rFonts w:ascii="Calibri" w:hAnsi="Calibri"/>
          <w:kern w:val="12"/>
          <w:sz w:val="20"/>
          <w:szCs w:val="20"/>
          <w:lang w:eastAsia="en-AU"/>
        </w:rPr>
      </w:pPr>
      <w:r w:rsidRPr="00804F5C">
        <w:rPr>
          <w:sz w:val="20"/>
          <w:szCs w:val="20"/>
        </w:rPr>
        <w:t xml:space="preserve">A key resource that informed these principles was the ‘Commonwealth Evaluation Policy’ </w:t>
      </w:r>
      <w:sdt>
        <w:sdtPr>
          <w:rPr>
            <w:sz w:val="20"/>
            <w:szCs w:val="20"/>
          </w:rPr>
          <w:id w:val="-1390810431"/>
          <w:citation/>
        </w:sdtPr>
        <w:sdtEndPr/>
        <w:sdtContent>
          <w:r w:rsidRPr="00804F5C">
            <w:rPr>
              <w:sz w:val="20"/>
              <w:szCs w:val="20"/>
            </w:rPr>
            <w:fldChar w:fldCharType="begin"/>
          </w:r>
          <w:r w:rsidRPr="00804F5C">
            <w:rPr>
              <w:sz w:val="20"/>
              <w:szCs w:val="20"/>
            </w:rPr>
            <w:instrText xml:space="preserve"> CITATION Aus221 \l 3081 </w:instrText>
          </w:r>
          <w:r w:rsidRPr="00804F5C">
            <w:rPr>
              <w:sz w:val="20"/>
              <w:szCs w:val="20"/>
            </w:rPr>
            <w:fldChar w:fldCharType="separate"/>
          </w:r>
          <w:r w:rsidR="00710993" w:rsidRPr="00804F5C">
            <w:rPr>
              <w:noProof/>
              <w:sz w:val="20"/>
              <w:szCs w:val="20"/>
            </w:rPr>
            <w:t>(46)</w:t>
          </w:r>
          <w:r w:rsidRPr="00804F5C">
            <w:rPr>
              <w:sz w:val="20"/>
              <w:szCs w:val="20"/>
            </w:rPr>
            <w:fldChar w:fldCharType="end"/>
          </w:r>
        </w:sdtContent>
      </w:sdt>
      <w:r w:rsidRPr="00804F5C">
        <w:rPr>
          <w:sz w:val="20"/>
          <w:szCs w:val="20"/>
        </w:rPr>
        <w:t xml:space="preserve">, which is described in more detail in </w:t>
      </w:r>
      <w:r w:rsidRPr="00804F5C">
        <w:rPr>
          <w:rFonts w:ascii="Calibri" w:hAnsi="Calibri"/>
          <w:kern w:val="12"/>
          <w:sz w:val="20"/>
          <w:szCs w:val="20"/>
          <w:lang w:eastAsia="en-AU"/>
        </w:rPr>
        <w:fldChar w:fldCharType="begin"/>
      </w:r>
      <w:r w:rsidRPr="00804F5C">
        <w:rPr>
          <w:rFonts w:ascii="Calibri" w:hAnsi="Calibri"/>
          <w:kern w:val="12"/>
          <w:sz w:val="20"/>
          <w:szCs w:val="20"/>
          <w:lang w:eastAsia="en-AU"/>
        </w:rPr>
        <w:instrText xml:space="preserve"> REF _Ref106727547 \h  \* MERGEFORMAT </w:instrText>
      </w:r>
      <w:r w:rsidRPr="00804F5C">
        <w:rPr>
          <w:rFonts w:ascii="Calibri" w:hAnsi="Calibri"/>
          <w:kern w:val="12"/>
          <w:sz w:val="20"/>
          <w:szCs w:val="20"/>
          <w:lang w:eastAsia="en-AU"/>
        </w:rPr>
      </w:r>
      <w:r w:rsidRPr="00804F5C">
        <w:rPr>
          <w:rFonts w:ascii="Calibri" w:hAnsi="Calibri"/>
          <w:kern w:val="12"/>
          <w:sz w:val="20"/>
          <w:szCs w:val="20"/>
          <w:lang w:eastAsia="en-AU"/>
        </w:rPr>
        <w:fldChar w:fldCharType="separate"/>
      </w:r>
      <w:r w:rsidR="00812188" w:rsidRPr="00812188">
        <w:rPr>
          <w:rFonts w:ascii="Calibri" w:hAnsi="Calibri"/>
          <w:kern w:val="12"/>
          <w:sz w:val="20"/>
          <w:szCs w:val="20"/>
          <w:lang w:eastAsia="en-AU"/>
        </w:rPr>
        <w:t>Figure 3</w:t>
      </w:r>
      <w:r w:rsidRPr="00804F5C">
        <w:rPr>
          <w:rFonts w:ascii="Calibri" w:hAnsi="Calibri"/>
          <w:kern w:val="12"/>
          <w:sz w:val="20"/>
          <w:szCs w:val="20"/>
          <w:lang w:eastAsia="en-AU"/>
        </w:rPr>
        <w:fldChar w:fldCharType="end"/>
      </w:r>
      <w:r w:rsidRPr="00804F5C">
        <w:rPr>
          <w:rFonts w:ascii="Calibri" w:hAnsi="Calibri"/>
          <w:kern w:val="12"/>
          <w:sz w:val="20"/>
          <w:szCs w:val="20"/>
          <w:lang w:eastAsia="en-AU"/>
        </w:rPr>
        <w:t xml:space="preserve">. </w:t>
      </w:r>
    </w:p>
    <w:p w14:paraId="32136590" w14:textId="3137C94E" w:rsidR="00676ACD" w:rsidRDefault="00B87903" w:rsidP="007B5579">
      <w:pPr>
        <w:pStyle w:val="Caption"/>
      </w:pPr>
      <w:bookmarkStart w:id="95" w:name="_Ref106727547"/>
      <w:r>
        <w:rPr>
          <w:noProof/>
          <w:lang w:eastAsia="en-AU"/>
        </w:rPr>
        <w:lastRenderedPageBreak/>
        <w:drawing>
          <wp:anchor distT="0" distB="0" distL="114300" distR="114300" simplePos="0" relativeHeight="251658240" behindDoc="0" locked="0" layoutInCell="1" allowOverlap="1" wp14:anchorId="22C9D565" wp14:editId="2EBE44A0">
            <wp:simplePos x="0" y="0"/>
            <wp:positionH relativeFrom="column">
              <wp:posOffset>-170559</wp:posOffset>
            </wp:positionH>
            <wp:positionV relativeFrom="paragraph">
              <wp:posOffset>205130</wp:posOffset>
            </wp:positionV>
            <wp:extent cx="6122035" cy="5238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2035" cy="5238750"/>
                    </a:xfrm>
                    <a:prstGeom prst="rect">
                      <a:avLst/>
                    </a:prstGeom>
                  </pic:spPr>
                </pic:pic>
              </a:graphicData>
            </a:graphic>
            <wp14:sizeRelH relativeFrom="page">
              <wp14:pctWidth>0</wp14:pctWidth>
            </wp14:sizeRelH>
            <wp14:sizeRelV relativeFrom="page">
              <wp14:pctHeight>0</wp14:pctHeight>
            </wp14:sizeRelV>
          </wp:anchor>
        </w:drawing>
      </w:r>
      <w:r w:rsidR="00676ACD">
        <w:t xml:space="preserve">Figure </w:t>
      </w:r>
      <w:r w:rsidR="00676ACD">
        <w:fldChar w:fldCharType="begin"/>
      </w:r>
      <w:r w:rsidR="00676ACD">
        <w:instrText xml:space="preserve"> SEQ Figure \* ARABIC </w:instrText>
      </w:r>
      <w:r w:rsidR="00676ACD">
        <w:fldChar w:fldCharType="separate"/>
      </w:r>
      <w:r w:rsidR="00812188">
        <w:rPr>
          <w:noProof/>
        </w:rPr>
        <w:t>3</w:t>
      </w:r>
      <w:r w:rsidR="00676ACD">
        <w:fldChar w:fldCharType="end"/>
      </w:r>
      <w:bookmarkEnd w:id="95"/>
      <w:r w:rsidR="00676ACD">
        <w:t>. Policy spotlight - Better practice evaluation guidance for the Commonwealth</w:t>
      </w:r>
    </w:p>
    <w:p w14:paraId="0E4708C7" w14:textId="2E709CB0" w:rsidR="00676ACD" w:rsidRPr="00E72B1E" w:rsidRDefault="00676ACD" w:rsidP="009014F6">
      <w:pPr>
        <w:pStyle w:val="Heading3numbered"/>
      </w:pPr>
      <w:r>
        <w:t>The right foundations are used</w:t>
      </w:r>
    </w:p>
    <w:p w14:paraId="5628751C" w14:textId="77777777" w:rsidR="00676ACD" w:rsidRDefault="00676ACD" w:rsidP="007B5579">
      <w:pPr>
        <w:pStyle w:val="DVABodytextwithparaspace"/>
      </w:pPr>
      <w:r>
        <w:t>The review identified that, separate to the implementation of an evaluation, several environmental and organisational aspects act to support and enable successful evaluation of health programs. These are described below.</w:t>
      </w:r>
    </w:p>
    <w:p w14:paraId="6921A390" w14:textId="77777777" w:rsidR="00676ACD" w:rsidRPr="00194932" w:rsidRDefault="00676ACD" w:rsidP="009014F6">
      <w:pPr>
        <w:pStyle w:val="Heading4numbered"/>
        <w:numPr>
          <w:ilvl w:val="0"/>
          <w:numId w:val="0"/>
        </w:numPr>
        <w:ind w:left="1134" w:hanging="1134"/>
      </w:pPr>
      <w:r>
        <w:t>Key principles of conducting high quality</w:t>
      </w:r>
      <w:r w:rsidRPr="00E72B1E">
        <w:t xml:space="preserve"> evaluations</w:t>
      </w:r>
    </w:p>
    <w:p w14:paraId="4A8CB6D6" w14:textId="0A8CCF73" w:rsidR="00676ACD" w:rsidRPr="00E72B1E" w:rsidRDefault="00676ACD" w:rsidP="007B5579">
      <w:pPr>
        <w:pStyle w:val="DVA1Number"/>
        <w:numPr>
          <w:ilvl w:val="0"/>
          <w:numId w:val="0"/>
        </w:numPr>
      </w:pPr>
      <w:r>
        <w:t>This section was informed by policy documents including those from Queensland Treasury</w:t>
      </w:r>
      <w:sdt>
        <w:sdtPr>
          <w:id w:val="-460344621"/>
          <w:citation/>
        </w:sdtPr>
        <w:sdtEndPr/>
        <w:sdtContent>
          <w:r>
            <w:fldChar w:fldCharType="begin"/>
          </w:r>
          <w:r>
            <w:instrText xml:space="preserve"> CITATION Que20 \l 3081 </w:instrText>
          </w:r>
          <w:r>
            <w:fldChar w:fldCharType="separate"/>
          </w:r>
          <w:r w:rsidR="00710993">
            <w:rPr>
              <w:noProof/>
            </w:rPr>
            <w:t xml:space="preserve"> (37)</w:t>
          </w:r>
          <w:r>
            <w:fldChar w:fldCharType="end"/>
          </w:r>
        </w:sdtContent>
      </w:sdt>
      <w:r>
        <w:t>, Australian Government Department of Finance</w:t>
      </w:r>
      <w:r w:rsidR="00504EDE">
        <w:t xml:space="preserve"> (now Australian Centre for Evaluation)</w:t>
      </w:r>
      <w:sdt>
        <w:sdtPr>
          <w:id w:val="-1917383620"/>
          <w:citation/>
        </w:sdtPr>
        <w:sdtEndPr/>
        <w:sdtContent>
          <w:r>
            <w:fldChar w:fldCharType="begin"/>
          </w:r>
          <w:r>
            <w:instrText xml:space="preserve"> CITATION Aus22 \l 3081 </w:instrText>
          </w:r>
          <w:r>
            <w:fldChar w:fldCharType="separate"/>
          </w:r>
          <w:r w:rsidR="00710993">
            <w:rPr>
              <w:noProof/>
            </w:rPr>
            <w:t xml:space="preserve"> (5)</w:t>
          </w:r>
          <w:r>
            <w:fldChar w:fldCharType="end"/>
          </w:r>
        </w:sdtContent>
      </w:sdt>
      <w:sdt>
        <w:sdtPr>
          <w:id w:val="-716122762"/>
          <w:citation/>
        </w:sdtPr>
        <w:sdtEndPr/>
        <w:sdtContent>
          <w:r>
            <w:fldChar w:fldCharType="begin"/>
          </w:r>
          <w:r>
            <w:instrText xml:space="preserve"> CITATION Aus21 \l 3081 </w:instrText>
          </w:r>
          <w:r>
            <w:fldChar w:fldCharType="separate"/>
          </w:r>
          <w:r w:rsidR="00710993">
            <w:rPr>
              <w:noProof/>
            </w:rPr>
            <w:t xml:space="preserve"> (2)</w:t>
          </w:r>
          <w:r>
            <w:fldChar w:fldCharType="end"/>
          </w:r>
        </w:sdtContent>
      </w:sdt>
      <w:sdt>
        <w:sdtPr>
          <w:id w:val="-869990321"/>
          <w:citation/>
        </w:sdtPr>
        <w:sdtEndPr/>
        <w:sdtContent>
          <w:r>
            <w:fldChar w:fldCharType="begin"/>
          </w:r>
          <w:r>
            <w:instrText xml:space="preserve"> CITATION Aus23 \l 3081 </w:instrText>
          </w:r>
          <w:r>
            <w:fldChar w:fldCharType="separate"/>
          </w:r>
          <w:r w:rsidR="00710993">
            <w:rPr>
              <w:noProof/>
            </w:rPr>
            <w:t xml:space="preserve"> (8)</w:t>
          </w:r>
          <w:r>
            <w:fldChar w:fldCharType="end"/>
          </w:r>
        </w:sdtContent>
      </w:sdt>
      <w:r>
        <w:t>, the New South Wales Ministry of Health and NSW Government Department of Premier and Cabinet</w:t>
      </w:r>
      <w:sdt>
        <w:sdtPr>
          <w:id w:val="1379211631"/>
          <w:citation/>
        </w:sdtPr>
        <w:sdtEndPr/>
        <w:sdtContent>
          <w:r>
            <w:fldChar w:fldCharType="begin"/>
          </w:r>
          <w:r>
            <w:instrText xml:space="preserve"> CITATION NSW2016 \l 3081 </w:instrText>
          </w:r>
          <w:r>
            <w:fldChar w:fldCharType="separate"/>
          </w:r>
          <w:r w:rsidR="00710993">
            <w:rPr>
              <w:noProof/>
            </w:rPr>
            <w:t xml:space="preserve"> (28)</w:t>
          </w:r>
          <w:r>
            <w:fldChar w:fldCharType="end"/>
          </w:r>
        </w:sdtContent>
      </w:sdt>
      <w:r>
        <w:t>. E</w:t>
      </w:r>
      <w:r w:rsidRPr="00E72B1E">
        <w:t xml:space="preserve">valuations conducted </w:t>
      </w:r>
      <w:r>
        <w:t>on health programs in</w:t>
      </w:r>
      <w:r w:rsidRPr="00E72B1E">
        <w:t xml:space="preserve"> Australia are largely underpinned by a number of principles to support leading practice</w:t>
      </w:r>
      <w:r>
        <w:t>. These include:</w:t>
      </w:r>
    </w:p>
    <w:p w14:paraId="134EFC52" w14:textId="77777777" w:rsidR="00676ACD" w:rsidRDefault="00676ACD" w:rsidP="00676ACD">
      <w:pPr>
        <w:pStyle w:val="DVA1Number"/>
        <w:numPr>
          <w:ilvl w:val="0"/>
          <w:numId w:val="29"/>
        </w:numPr>
      </w:pPr>
      <w:r>
        <w:rPr>
          <w:b/>
          <w:bCs/>
          <w:i/>
          <w:iCs/>
        </w:rPr>
        <w:t xml:space="preserve">Embedding </w:t>
      </w:r>
      <w:r w:rsidRPr="00646049">
        <w:rPr>
          <w:b/>
          <w:bCs/>
          <w:i/>
          <w:iCs/>
        </w:rPr>
        <w:t>evaluation into program design</w:t>
      </w:r>
      <w:r>
        <w:t xml:space="preserve"> to improve the quality of the evaluation by clearly defining measurable outcomes, considering data collection strategies and planning for organisational requirements, capacity building and methodology planning </w:t>
      </w:r>
      <w:sdt>
        <w:sdtPr>
          <w:id w:val="-1449457161"/>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1652814751"/>
          <w:lock w:val="contentLocked"/>
          <w:placeholder>
            <w:docPart w:val="047A3185A5114E439E908369E75246D2"/>
          </w:placeholder>
          <w:citation/>
        </w:sdtPr>
        <w:sdtEndPr/>
        <w:sdtContent>
          <w:r>
            <w:fldChar w:fldCharType="begin"/>
          </w:r>
          <w:r>
            <w:instrText xml:space="preserve"> CITATION Que20 \l 3081 </w:instrText>
          </w:r>
          <w:r>
            <w:fldChar w:fldCharType="separate"/>
          </w:r>
          <w:r>
            <w:rPr>
              <w:noProof/>
            </w:rPr>
            <w:t xml:space="preserve"> (37)</w:t>
          </w:r>
          <w:r>
            <w:fldChar w:fldCharType="end"/>
          </w:r>
        </w:sdtContent>
      </w:sdt>
      <w:r>
        <w:t>.</w:t>
      </w:r>
    </w:p>
    <w:p w14:paraId="5832A1B1" w14:textId="01FB8CAE" w:rsidR="00676ACD" w:rsidRDefault="00676ACD" w:rsidP="007B5579">
      <w:pPr>
        <w:pStyle w:val="DVA1Number"/>
      </w:pPr>
      <w:r w:rsidRPr="00646049">
        <w:rPr>
          <w:b/>
          <w:bCs/>
          <w:i/>
          <w:iCs/>
        </w:rPr>
        <w:lastRenderedPageBreak/>
        <w:t>Basing evaluation on sound methodology</w:t>
      </w:r>
      <w:r>
        <w:t xml:space="preserve"> and ensuring that evaluations are fit for purpose, recognising a program’s size, strategic significance, risk, value and impact </w:t>
      </w:r>
      <w:sdt>
        <w:sdtPr>
          <w:id w:val="1670600783"/>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1151051488"/>
          <w:lock w:val="contentLocked"/>
          <w:placeholder>
            <w:docPart w:val="047A3185A5114E439E908369E75246D2"/>
          </w:placeholder>
          <w:citation/>
        </w:sdtPr>
        <w:sdtEndPr/>
        <w:sdtContent>
          <w:r>
            <w:fldChar w:fldCharType="begin"/>
          </w:r>
          <w:r>
            <w:instrText xml:space="preserve"> CITATION Aus22 \l 3081 </w:instrText>
          </w:r>
          <w:r>
            <w:fldChar w:fldCharType="separate"/>
          </w:r>
          <w:r>
            <w:rPr>
              <w:noProof/>
            </w:rPr>
            <w:t xml:space="preserve"> (6)</w:t>
          </w:r>
          <w:r>
            <w:fldChar w:fldCharType="end"/>
          </w:r>
        </w:sdtContent>
      </w:sdt>
      <w:r>
        <w:fldChar w:fldCharType="begin"/>
      </w:r>
      <w:r>
        <w:instrText xml:space="preserve"> CITATION Que20 \l 3081 </w:instrText>
      </w:r>
      <w:r>
        <w:fldChar w:fldCharType="separate"/>
      </w:r>
      <w:r w:rsidR="00710993">
        <w:rPr>
          <w:noProof/>
        </w:rPr>
        <w:t xml:space="preserve"> (37)</w:t>
      </w:r>
      <w:r>
        <w:fldChar w:fldCharType="end"/>
      </w:r>
      <w:r>
        <w:t>.</w:t>
      </w:r>
    </w:p>
    <w:p w14:paraId="2971DD37" w14:textId="77777777" w:rsidR="00676ACD" w:rsidRDefault="00676ACD" w:rsidP="007B5579">
      <w:pPr>
        <w:pStyle w:val="DVA1Number"/>
      </w:pPr>
      <w:r w:rsidRPr="00646049">
        <w:rPr>
          <w:b/>
          <w:bCs/>
          <w:i/>
          <w:iCs/>
        </w:rPr>
        <w:t>Including adequate resources and time to evaluate</w:t>
      </w:r>
      <w:r>
        <w:t xml:space="preserve">, considering budget and timings that support successful evaluation e.g. realistic timeframes to allow for approval processes and reporting requirements </w:t>
      </w:r>
      <w:sdt>
        <w:sdtPr>
          <w:id w:val="1765346487"/>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r>
        <w:t xml:space="preserve"> </w:t>
      </w:r>
      <w:r>
        <w:rPr>
          <w:noProof/>
        </w:rPr>
        <w:t>(3).</w:t>
      </w:r>
    </w:p>
    <w:p w14:paraId="10405FA0" w14:textId="77777777" w:rsidR="00676ACD" w:rsidRDefault="00676ACD" w:rsidP="007B5579">
      <w:pPr>
        <w:pStyle w:val="DVA1Number"/>
      </w:pPr>
      <w:r w:rsidRPr="009660F8">
        <w:rPr>
          <w:b/>
          <w:bCs/>
          <w:i/>
          <w:iCs/>
        </w:rPr>
        <w:t>Using the right mix of expertise and independence</w:t>
      </w:r>
      <w:r>
        <w:t xml:space="preserve">, including ensuring that evaluations involve credible, experienced, technically and culturally capable evaluators who are independent from program managers. This then ensures that all evaluation activities exercise sensitivity and respect towards different beliefs, perspectives and cultures </w:t>
      </w:r>
      <w:sdt>
        <w:sdtPr>
          <w:id w:val="-593248698"/>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1563635097"/>
          <w:lock w:val="contentLocked"/>
          <w:placeholder>
            <w:docPart w:val="047A3185A5114E439E908369E75246D2"/>
          </w:placeholder>
          <w:citation/>
        </w:sdtPr>
        <w:sdtEndPr/>
        <w:sdtContent>
          <w:r>
            <w:fldChar w:fldCharType="begin"/>
          </w:r>
          <w:r>
            <w:instrText xml:space="preserve"> CITATION Aus22 \l 3081 </w:instrText>
          </w:r>
          <w:r>
            <w:fldChar w:fldCharType="separate"/>
          </w:r>
          <w:r>
            <w:rPr>
              <w:noProof/>
            </w:rPr>
            <w:t xml:space="preserve"> (6)</w:t>
          </w:r>
          <w:r>
            <w:fldChar w:fldCharType="end"/>
          </w:r>
        </w:sdtContent>
      </w:sdt>
      <w:r>
        <w:t>.</w:t>
      </w:r>
    </w:p>
    <w:p w14:paraId="10A12C09" w14:textId="77777777" w:rsidR="00676ACD" w:rsidRDefault="00676ACD" w:rsidP="007B5579">
      <w:pPr>
        <w:pStyle w:val="DVA1Number"/>
      </w:pPr>
      <w:r w:rsidRPr="009660F8">
        <w:rPr>
          <w:b/>
          <w:bCs/>
          <w:i/>
          <w:iCs/>
        </w:rPr>
        <w:t>Ensuring proper governance and oversight</w:t>
      </w:r>
      <w:r>
        <w:t xml:space="preserve"> by using adequate governance and risk management processes to ensure oversight and risk management of evaluation design, implementation and reporting. Governance structures should be built into the evaluation strategy </w:t>
      </w:r>
      <w:sdt>
        <w:sdtPr>
          <w:id w:val="-140422048"/>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r>
        <w:t>.</w:t>
      </w:r>
    </w:p>
    <w:p w14:paraId="1222FD82" w14:textId="77777777" w:rsidR="00676ACD" w:rsidRDefault="00676ACD" w:rsidP="007B5579">
      <w:pPr>
        <w:pStyle w:val="DVA1Number"/>
      </w:pPr>
      <w:r w:rsidRPr="009660F8">
        <w:rPr>
          <w:b/>
          <w:bCs/>
          <w:i/>
          <w:iCs/>
        </w:rPr>
        <w:t>Being ethical and culturally appropriate in design</w:t>
      </w:r>
      <w:r>
        <w:rPr>
          <w:b/>
          <w:bCs/>
          <w:i/>
          <w:iCs/>
        </w:rPr>
        <w:t>ing</w:t>
      </w:r>
      <w:r w:rsidRPr="009660F8">
        <w:rPr>
          <w:b/>
          <w:bCs/>
          <w:i/>
          <w:iCs/>
        </w:rPr>
        <w:t xml:space="preserve"> and conduct</w:t>
      </w:r>
      <w:r>
        <w:rPr>
          <w:b/>
          <w:bCs/>
          <w:i/>
          <w:iCs/>
        </w:rPr>
        <w:t>ing the evaluation</w:t>
      </w:r>
      <w:r>
        <w:t xml:space="preserve"> and ensuring there is no physical, psychological or reputational harm arises as a result of the evaluation. This can be done by protecting participant privacy, and upholding ethical standards of conduct, for example carefully considering ethical implications of any evaluation activities particularly around data collection or personal data and especially when assessing for impacts on vulnerable groups. This recognises that evaluations often present a number of moral, ethical and political concerns. This may require formal review and approval from an ethics committee certified by the National Health and Medical Research Council </w:t>
      </w:r>
      <w:sdt>
        <w:sdtPr>
          <w:id w:val="-514079834"/>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254444106"/>
          <w:lock w:val="contentLocked"/>
          <w:placeholder>
            <w:docPart w:val="047A3185A5114E439E908369E75246D2"/>
          </w:placeholder>
          <w:citation/>
        </w:sdtPr>
        <w:sdtEndPr/>
        <w:sdtContent>
          <w:r>
            <w:fldChar w:fldCharType="begin"/>
          </w:r>
          <w:r>
            <w:instrText xml:space="preserve"> CITATION Aus22 \l 3081 </w:instrText>
          </w:r>
          <w:r>
            <w:fldChar w:fldCharType="separate"/>
          </w:r>
          <w:r>
            <w:rPr>
              <w:noProof/>
            </w:rPr>
            <w:t xml:space="preserve"> (6)</w:t>
          </w:r>
          <w:r>
            <w:fldChar w:fldCharType="end"/>
          </w:r>
        </w:sdtContent>
      </w:sdt>
      <w:r>
        <w:t xml:space="preserve"> </w:t>
      </w:r>
      <w:r>
        <w:rPr>
          <w:noProof/>
        </w:rPr>
        <w:t>(3).</w:t>
      </w:r>
    </w:p>
    <w:p w14:paraId="63642C75" w14:textId="77777777" w:rsidR="00676ACD" w:rsidRDefault="00676ACD" w:rsidP="007B5579">
      <w:pPr>
        <w:pStyle w:val="DVA1Number"/>
      </w:pPr>
      <w:r w:rsidRPr="009660F8">
        <w:rPr>
          <w:b/>
          <w:bCs/>
          <w:i/>
          <w:iCs/>
        </w:rPr>
        <w:t>Being informed and guided by relevant stakeholders</w:t>
      </w:r>
      <w:r>
        <w:t xml:space="preserve"> including program participants, government or non-government staff or agencies involved in managing or delivering the program, or senior decision makers </w:t>
      </w:r>
      <w:sdt>
        <w:sdtPr>
          <w:id w:val="-671029471"/>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r>
        <w:t>.</w:t>
      </w:r>
    </w:p>
    <w:p w14:paraId="150A623E" w14:textId="77777777" w:rsidR="00676ACD" w:rsidRDefault="00676ACD" w:rsidP="007B5579">
      <w:pPr>
        <w:pStyle w:val="DVA1Number"/>
      </w:pPr>
      <w:r>
        <w:rPr>
          <w:b/>
          <w:bCs/>
          <w:i/>
          <w:iCs/>
        </w:rPr>
        <w:t>U</w:t>
      </w:r>
      <w:r w:rsidRPr="009660F8">
        <w:rPr>
          <w:b/>
          <w:bCs/>
          <w:i/>
          <w:iCs/>
        </w:rPr>
        <w:t>sing evaluation data meaningfully</w:t>
      </w:r>
      <w:r>
        <w:t xml:space="preserve">, by ensuring results are clearly articulated in evaluation reports, and in turn using reports to inform decision making </w:t>
      </w:r>
      <w:sdt>
        <w:sdtPr>
          <w:id w:val="-1035887435"/>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1764671835"/>
          <w:lock w:val="contentLocked"/>
          <w:placeholder>
            <w:docPart w:val="047A3185A5114E439E908369E75246D2"/>
          </w:placeholder>
          <w:citation/>
        </w:sdtPr>
        <w:sdtEndPr/>
        <w:sdtContent>
          <w:r>
            <w:fldChar w:fldCharType="begin"/>
          </w:r>
          <w:r>
            <w:instrText xml:space="preserve"> CITATION Aus22 \l 3081 </w:instrText>
          </w:r>
          <w:r>
            <w:fldChar w:fldCharType="separate"/>
          </w:r>
          <w:r>
            <w:rPr>
              <w:noProof/>
            </w:rPr>
            <w:t xml:space="preserve"> (6)</w:t>
          </w:r>
          <w:r>
            <w:fldChar w:fldCharType="end"/>
          </w:r>
        </w:sdtContent>
      </w:sdt>
      <w:r>
        <w:t>.</w:t>
      </w:r>
    </w:p>
    <w:p w14:paraId="4A67A0EA" w14:textId="77777777" w:rsidR="00676ACD" w:rsidRDefault="00676ACD" w:rsidP="007B5579">
      <w:pPr>
        <w:pStyle w:val="DVA1Number"/>
      </w:pPr>
      <w:r w:rsidRPr="00BA087C">
        <w:rPr>
          <w:b/>
          <w:bCs/>
          <w:i/>
          <w:iCs/>
        </w:rPr>
        <w:t>Being transparent and open to scrutiny</w:t>
      </w:r>
      <w:r>
        <w:t xml:space="preserve"> by publicly releasing key information</w:t>
      </w:r>
      <w:r w:rsidRPr="00BE0431">
        <w:t xml:space="preserve"> </w:t>
      </w:r>
      <w:r>
        <w:t xml:space="preserve">about all aspects of the evaluation (such as methodologies, assumptions, analyses and findings) as a default, unless there is overriding public interest against disclosure. This includes release to appropriate stakeholders </w:t>
      </w:r>
      <w:sdt>
        <w:sdtPr>
          <w:id w:val="1242525305"/>
          <w:lock w:val="contentLocked"/>
          <w:placeholder>
            <w:docPart w:val="047A3185A5114E439E908369E75246D2"/>
          </w:placeholder>
          <w:citation/>
        </w:sdtPr>
        <w:sdtEndPr/>
        <w:sdtContent>
          <w:r>
            <w:fldChar w:fldCharType="begin"/>
          </w:r>
          <w:r>
            <w:instrText xml:space="preserve"> CITATION NSW2016 \l 3081 </w:instrText>
          </w:r>
          <w:r>
            <w:fldChar w:fldCharType="separate"/>
          </w:r>
          <w:r>
            <w:rPr>
              <w:noProof/>
            </w:rPr>
            <w:t>(28)</w:t>
          </w:r>
          <w:r>
            <w:fldChar w:fldCharType="end"/>
          </w:r>
        </w:sdtContent>
      </w:sdt>
      <w:sdt>
        <w:sdtPr>
          <w:id w:val="497774513"/>
          <w:lock w:val="contentLocked"/>
          <w:placeholder>
            <w:docPart w:val="047A3185A5114E439E908369E75246D2"/>
          </w:placeholder>
          <w:citation/>
        </w:sdtPr>
        <w:sdtEndPr/>
        <w:sdtContent>
          <w:r>
            <w:fldChar w:fldCharType="begin"/>
          </w:r>
          <w:r>
            <w:instrText xml:space="preserve"> CITATION Aus22 \l 3081 </w:instrText>
          </w:r>
          <w:r>
            <w:fldChar w:fldCharType="separate"/>
          </w:r>
          <w:r>
            <w:rPr>
              <w:noProof/>
            </w:rPr>
            <w:t xml:space="preserve"> (6)</w:t>
          </w:r>
          <w:r>
            <w:fldChar w:fldCharType="end"/>
          </w:r>
        </w:sdtContent>
      </w:sdt>
      <w:r>
        <w:t>.</w:t>
      </w:r>
    </w:p>
    <w:p w14:paraId="04951A49" w14:textId="46E1504D" w:rsidR="00676ACD" w:rsidRDefault="00676ACD" w:rsidP="007B5579">
      <w:pPr>
        <w:pStyle w:val="DVABodytextwithparaspace"/>
      </w:pPr>
      <w:r>
        <w:t xml:space="preserve">These key principles were largely supported by </w:t>
      </w:r>
      <w:r w:rsidRPr="00B87903">
        <w:t>the Department of Finance</w:t>
      </w:r>
      <w:r w:rsidR="006D10F5" w:rsidRPr="00B87903">
        <w:t xml:space="preserve"> (now Australian Centre for Evaluation)</w:t>
      </w:r>
      <w:r w:rsidRPr="00B87903">
        <w:t>, who emphasised the importance of conducting evaluations that are robust and ethical,</w:t>
      </w:r>
      <w:r>
        <w:t xml:space="preserve"> using evaluation findings meaningfully to guide decision making, planning evaluations appropriately to make sure evaluation activities are proportional and appropriate and understanding the risk landscape of programs to help prioritise evaluations (</w:t>
      </w:r>
      <w:r>
        <w:fldChar w:fldCharType="begin"/>
      </w:r>
      <w:r>
        <w:instrText xml:space="preserve"> REF _Ref105596795 \h </w:instrText>
      </w:r>
      <w:r>
        <w:fldChar w:fldCharType="separate"/>
      </w:r>
      <w:r w:rsidR="00812188">
        <w:t xml:space="preserve">Table </w:t>
      </w:r>
      <w:r w:rsidR="00812188">
        <w:rPr>
          <w:noProof/>
        </w:rPr>
        <w:t>23</w:t>
      </w:r>
      <w:r w:rsidR="00812188">
        <w:t>: Case Study III</w:t>
      </w:r>
      <w:r>
        <w:fldChar w:fldCharType="end"/>
      </w:r>
      <w:r>
        <w:t>). The NSW Ministry of Health strategic advisor also emphasised the benefits of considering a high-value healthcare framework when evaluating health programs; there are several key components of quality healthcare, which include considering the different stakeholder perspectives, effects on longer term health outcomes and importance of striving towards equitable healthcare e.g. culturally appropriate care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xml:space="preserve">). </w:t>
      </w:r>
    </w:p>
    <w:p w14:paraId="671E1DDC" w14:textId="58D15402" w:rsidR="00676ACD" w:rsidRDefault="00676ACD" w:rsidP="007B5579">
      <w:pPr>
        <w:pStyle w:val="DVA1Number"/>
        <w:numPr>
          <w:ilvl w:val="0"/>
          <w:numId w:val="0"/>
        </w:numPr>
      </w:pPr>
      <w:r>
        <w:fldChar w:fldCharType="begin"/>
      </w:r>
      <w:r>
        <w:instrText xml:space="preserve"> REF _Ref105072816 \h </w:instrText>
      </w:r>
      <w:r>
        <w:fldChar w:fldCharType="separate"/>
      </w:r>
      <w:r w:rsidR="00812188">
        <w:t xml:space="preserve">Figure </w:t>
      </w:r>
      <w:r w:rsidR="00812188">
        <w:rPr>
          <w:noProof/>
        </w:rPr>
        <w:t>4</w:t>
      </w:r>
      <w:r>
        <w:fldChar w:fldCharType="end"/>
      </w:r>
      <w:r>
        <w:t xml:space="preserve"> outlines the principles of better practice evaluations from the UK Evaluation Society</w:t>
      </w:r>
      <w:sdt>
        <w:sdtPr>
          <w:id w:val="-2132774882"/>
          <w:citation/>
        </w:sdtPr>
        <w:sdtEndPr/>
        <w:sdtContent>
          <w:r>
            <w:fldChar w:fldCharType="begin"/>
          </w:r>
          <w:r>
            <w:instrText xml:space="preserve"> CITATION UKE18 \l 3081 </w:instrText>
          </w:r>
          <w:r>
            <w:fldChar w:fldCharType="separate"/>
          </w:r>
          <w:r w:rsidR="00710993">
            <w:rPr>
              <w:noProof/>
            </w:rPr>
            <w:t xml:space="preserve"> (41)</w:t>
          </w:r>
          <w:r>
            <w:fldChar w:fldCharType="end"/>
          </w:r>
        </w:sdtContent>
      </w:sdt>
      <w:r>
        <w:t xml:space="preserve">, and </w:t>
      </w:r>
      <w:r>
        <w:fldChar w:fldCharType="begin"/>
      </w:r>
      <w:r>
        <w:instrText xml:space="preserve"> REF _Ref106710381 \h </w:instrText>
      </w:r>
      <w:r>
        <w:fldChar w:fldCharType="separate"/>
      </w:r>
      <w:r w:rsidR="00812188">
        <w:t xml:space="preserve">Figure </w:t>
      </w:r>
      <w:r w:rsidR="00812188">
        <w:rPr>
          <w:noProof/>
        </w:rPr>
        <w:t>5</w:t>
      </w:r>
      <w:r>
        <w:fldChar w:fldCharType="end"/>
      </w:r>
      <w:r>
        <w:t xml:space="preserve"> outlines a key enabler in successful veterans</w:t>
      </w:r>
      <w:r w:rsidR="00493CFF">
        <w:t>’</w:t>
      </w:r>
      <w:r>
        <w:t xml:space="preserve"> programs evaluations, as identified by US expert as part of the Key informant interviews (</w:t>
      </w:r>
      <w:r>
        <w:fldChar w:fldCharType="begin"/>
      </w:r>
      <w:r>
        <w:instrText xml:space="preserve"> REF _Ref104836516 \w \h </w:instrText>
      </w:r>
      <w:r>
        <w:fldChar w:fldCharType="separate"/>
      </w:r>
      <w:r w:rsidR="00812188">
        <w:t>Appendix B</w:t>
      </w:r>
      <w:r>
        <w:fldChar w:fldCharType="end"/>
      </w:r>
      <w:r>
        <w:t>)</w:t>
      </w:r>
    </w:p>
    <w:p w14:paraId="096C7BBC" w14:textId="63B20325" w:rsidR="00676ACD" w:rsidRDefault="00676ACD" w:rsidP="007B5579">
      <w:pPr>
        <w:pStyle w:val="Caption"/>
      </w:pPr>
      <w:bookmarkStart w:id="96" w:name="_Ref105072816"/>
      <w:r>
        <w:lastRenderedPageBreak/>
        <w:t xml:space="preserve">Figure </w:t>
      </w:r>
      <w:r>
        <w:fldChar w:fldCharType="begin"/>
      </w:r>
      <w:r>
        <w:instrText xml:space="preserve"> SEQ Figure \* ARABIC </w:instrText>
      </w:r>
      <w:r>
        <w:fldChar w:fldCharType="separate"/>
      </w:r>
      <w:r w:rsidR="00812188">
        <w:rPr>
          <w:noProof/>
        </w:rPr>
        <w:t>4</w:t>
      </w:r>
      <w:r>
        <w:fldChar w:fldCharType="end"/>
      </w:r>
      <w:bookmarkEnd w:id="96"/>
      <w:r>
        <w:t>. Learnings from the international literature – Principles for sound ev</w:t>
      </w:r>
      <w:r w:rsidR="00493CFF">
        <w:t>aluation</w:t>
      </w:r>
      <w:r>
        <w:t xml:space="preserve"> </w:t>
      </w:r>
      <w:sdt>
        <w:sdtPr>
          <w:id w:val="11191406"/>
          <w:citation/>
        </w:sdtPr>
        <w:sdtEndPr/>
        <w:sdtContent>
          <w:r>
            <w:fldChar w:fldCharType="begin"/>
          </w:r>
          <w:r>
            <w:instrText xml:space="preserve"> CITATION UKE18 \l 3081 </w:instrText>
          </w:r>
          <w:r>
            <w:fldChar w:fldCharType="separate"/>
          </w:r>
          <w:r w:rsidR="00710993">
            <w:rPr>
              <w:noProof/>
            </w:rPr>
            <w:t>(41)</w:t>
          </w:r>
          <w:r>
            <w:fldChar w:fldCharType="end"/>
          </w:r>
        </w:sdtContent>
      </w:sdt>
    </w:p>
    <w:p w14:paraId="21D3839C" w14:textId="77777777" w:rsidR="00676ACD" w:rsidRPr="00923B7C" w:rsidRDefault="00676ACD" w:rsidP="007B5579">
      <w:r w:rsidRPr="00B422A7">
        <w:rPr>
          <w:noProof/>
          <w:lang w:val="en-AU" w:eastAsia="en-AU"/>
        </w:rPr>
        <w:drawing>
          <wp:inline distT="0" distB="0" distL="0" distR="0" wp14:anchorId="326E376E" wp14:editId="495140D7">
            <wp:extent cx="5723754" cy="51683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3976" cy="5231756"/>
                    </a:xfrm>
                    <a:prstGeom prst="rect">
                      <a:avLst/>
                    </a:prstGeom>
                  </pic:spPr>
                </pic:pic>
              </a:graphicData>
            </a:graphic>
          </wp:inline>
        </w:drawing>
      </w:r>
    </w:p>
    <w:p w14:paraId="4A6CC6DF" w14:textId="7772779F" w:rsidR="00676ACD" w:rsidRPr="00A26D94" w:rsidRDefault="00676ACD" w:rsidP="007B5579">
      <w:pPr>
        <w:pStyle w:val="DVA1Number"/>
        <w:numPr>
          <w:ilvl w:val="0"/>
          <w:numId w:val="0"/>
        </w:numPr>
        <w:ind w:left="425" w:hanging="425"/>
        <w:rPr>
          <w:sz w:val="16"/>
          <w:szCs w:val="16"/>
        </w:rPr>
      </w:pPr>
      <w:r w:rsidRPr="00D01CCC">
        <w:rPr>
          <w:sz w:val="16"/>
          <w:szCs w:val="16"/>
        </w:rPr>
        <w:t>Data collection source: Desktop review</w:t>
      </w:r>
      <w:sdt>
        <w:sdtPr>
          <w:rPr>
            <w:sz w:val="16"/>
            <w:szCs w:val="16"/>
          </w:rPr>
          <w:id w:val="-870218553"/>
          <w:citation/>
        </w:sdtPr>
        <w:sdtEndPr/>
        <w:sdtContent>
          <w:r>
            <w:rPr>
              <w:sz w:val="16"/>
              <w:szCs w:val="16"/>
            </w:rPr>
            <w:fldChar w:fldCharType="begin"/>
          </w:r>
          <w:r>
            <w:rPr>
              <w:sz w:val="16"/>
              <w:szCs w:val="16"/>
            </w:rPr>
            <w:instrText xml:space="preserve"> CITATION UKE18 \l 3081 </w:instrText>
          </w:r>
          <w:r>
            <w:rPr>
              <w:sz w:val="16"/>
              <w:szCs w:val="16"/>
            </w:rPr>
            <w:fldChar w:fldCharType="separate"/>
          </w:r>
          <w:r w:rsidR="00710993">
            <w:rPr>
              <w:noProof/>
              <w:sz w:val="16"/>
              <w:szCs w:val="16"/>
            </w:rPr>
            <w:t xml:space="preserve"> </w:t>
          </w:r>
          <w:r w:rsidR="00710993" w:rsidRPr="00710993">
            <w:rPr>
              <w:noProof/>
              <w:sz w:val="16"/>
              <w:szCs w:val="16"/>
            </w:rPr>
            <w:t>(41)</w:t>
          </w:r>
          <w:r>
            <w:rPr>
              <w:sz w:val="16"/>
              <w:szCs w:val="16"/>
            </w:rPr>
            <w:fldChar w:fldCharType="end"/>
          </w:r>
        </w:sdtContent>
      </w:sdt>
    </w:p>
    <w:p w14:paraId="4A1632A0" w14:textId="634B6453" w:rsidR="00676ACD" w:rsidRDefault="00676ACD" w:rsidP="007B5579">
      <w:pPr>
        <w:pStyle w:val="Caption"/>
      </w:pPr>
      <w:bookmarkStart w:id="97" w:name="_Ref106710381"/>
      <w:r>
        <w:t xml:space="preserve">Figure </w:t>
      </w:r>
      <w:r>
        <w:fldChar w:fldCharType="begin"/>
      </w:r>
      <w:r>
        <w:instrText xml:space="preserve"> SEQ Figure \* ARABIC </w:instrText>
      </w:r>
      <w:r>
        <w:fldChar w:fldCharType="separate"/>
      </w:r>
      <w:r w:rsidR="00812188">
        <w:rPr>
          <w:noProof/>
        </w:rPr>
        <w:t>5</w:t>
      </w:r>
      <w:r>
        <w:fldChar w:fldCharType="end"/>
      </w:r>
      <w:bookmarkEnd w:id="97"/>
      <w:r>
        <w:t>. Learnings from the US – A key enabler for successful evaluation of veterans’ health programs</w:t>
      </w:r>
    </w:p>
    <w:p w14:paraId="50A10741" w14:textId="77777777" w:rsidR="00676ACD" w:rsidRDefault="00676ACD" w:rsidP="007B5579">
      <w:pPr>
        <w:pStyle w:val="DVABodytextwithparaspace"/>
        <w:rPr>
          <w:sz w:val="16"/>
          <w:szCs w:val="16"/>
        </w:rPr>
      </w:pPr>
      <w:r>
        <w:rPr>
          <w:noProof/>
          <w:sz w:val="16"/>
          <w:szCs w:val="16"/>
          <w:lang w:eastAsia="en-AU"/>
        </w:rPr>
        <w:drawing>
          <wp:inline distT="0" distB="0" distL="0" distR="0" wp14:anchorId="4D3155B1" wp14:editId="78B13C1E">
            <wp:extent cx="5667555" cy="13777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2970" cy="1381517"/>
                    </a:xfrm>
                    <a:prstGeom prst="rect">
                      <a:avLst/>
                    </a:prstGeom>
                    <a:noFill/>
                  </pic:spPr>
                </pic:pic>
              </a:graphicData>
            </a:graphic>
          </wp:inline>
        </w:drawing>
      </w:r>
      <w:r>
        <w:br/>
      </w:r>
      <w:r w:rsidRPr="00B16EB6">
        <w:rPr>
          <w:sz w:val="16"/>
          <w:szCs w:val="16"/>
        </w:rPr>
        <w:t xml:space="preserve">Data collection source: Key Informant Interviews </w:t>
      </w:r>
    </w:p>
    <w:p w14:paraId="381F9940" w14:textId="47AC6945" w:rsidR="00676ACD" w:rsidRPr="00E72B1E" w:rsidRDefault="00676ACD" w:rsidP="009014F6">
      <w:pPr>
        <w:pStyle w:val="Heading4numbered"/>
        <w:numPr>
          <w:ilvl w:val="0"/>
          <w:numId w:val="0"/>
        </w:numPr>
        <w:ind w:left="1134" w:hanging="1134"/>
      </w:pPr>
      <w:r w:rsidRPr="00E72B1E">
        <w:lastRenderedPageBreak/>
        <w:t xml:space="preserve">Components of </w:t>
      </w:r>
      <w:r>
        <w:t>a better practice</w:t>
      </w:r>
      <w:r w:rsidRPr="00E72B1E">
        <w:t xml:space="preserve"> evaluation</w:t>
      </w:r>
    </w:p>
    <w:p w14:paraId="2F470292" w14:textId="11508D19" w:rsidR="00676ACD" w:rsidRPr="00E72B1E" w:rsidRDefault="00676ACD" w:rsidP="007B5579">
      <w:pPr>
        <w:pStyle w:val="DVABodytextwithparaspace"/>
      </w:pPr>
      <w:r>
        <w:t xml:space="preserve">A range of policy and guidance articles and select program evaluation articles noted three key components of better practice evaluation, which are outlined in </w:t>
      </w:r>
      <w:r>
        <w:fldChar w:fldCharType="begin"/>
      </w:r>
      <w:r>
        <w:instrText xml:space="preserve"> REF _Ref105605111 \h </w:instrText>
      </w:r>
      <w:r>
        <w:fldChar w:fldCharType="separate"/>
      </w:r>
      <w:r w:rsidR="00812188">
        <w:t xml:space="preserve">Table </w:t>
      </w:r>
      <w:r w:rsidR="00812188">
        <w:rPr>
          <w:noProof/>
        </w:rPr>
        <w:t>7</w:t>
      </w:r>
      <w:r>
        <w:fldChar w:fldCharType="end"/>
      </w:r>
      <w:r>
        <w:t xml:space="preserve">. These are logic models, evaluation frameworks and evaluation plans. </w:t>
      </w:r>
    </w:p>
    <w:p w14:paraId="523A581B" w14:textId="07540994" w:rsidR="00676ACD" w:rsidRDefault="00676ACD" w:rsidP="007B5579">
      <w:pPr>
        <w:pStyle w:val="Caption"/>
      </w:pPr>
      <w:bookmarkStart w:id="98" w:name="_Ref105605111"/>
      <w:bookmarkStart w:id="99" w:name="_Ref105605103"/>
      <w:r>
        <w:t xml:space="preserve">Table </w:t>
      </w:r>
      <w:r>
        <w:fldChar w:fldCharType="begin"/>
      </w:r>
      <w:r>
        <w:instrText xml:space="preserve"> SEQ Table \* ARABIC </w:instrText>
      </w:r>
      <w:r>
        <w:fldChar w:fldCharType="separate"/>
      </w:r>
      <w:r w:rsidR="00812188">
        <w:rPr>
          <w:noProof/>
        </w:rPr>
        <w:t>7</w:t>
      </w:r>
      <w:r>
        <w:fldChar w:fldCharType="end"/>
      </w:r>
      <w:bookmarkEnd w:id="98"/>
      <w:r>
        <w:t xml:space="preserve">. Supporting components of better practice evaluations </w:t>
      </w:r>
      <w:sdt>
        <w:sdtPr>
          <w:id w:val="883447952"/>
          <w:citation/>
        </w:sdtPr>
        <w:sdtEndPr/>
        <w:sdtContent>
          <w:r>
            <w:fldChar w:fldCharType="begin"/>
          </w:r>
          <w:r>
            <w:instrText xml:space="preserve"> CITATION NSW191 \l 3081 </w:instrText>
          </w:r>
          <w:r>
            <w:fldChar w:fldCharType="separate"/>
          </w:r>
          <w:r w:rsidR="00710993">
            <w:rPr>
              <w:noProof/>
            </w:rPr>
            <w:t>(34)</w:t>
          </w:r>
          <w:r>
            <w:fldChar w:fldCharType="end"/>
          </w:r>
        </w:sdtContent>
      </w:sdt>
      <w:sdt>
        <w:sdtPr>
          <w:id w:val="-410008252"/>
          <w:citation/>
        </w:sdtPr>
        <w:sdtEndPr/>
        <w:sdtContent>
          <w:r>
            <w:fldChar w:fldCharType="begin"/>
          </w:r>
          <w:r>
            <w:instrText xml:space="preserve"> CITATION NSW2016 \l 3081 </w:instrText>
          </w:r>
          <w:r>
            <w:fldChar w:fldCharType="separate"/>
          </w:r>
          <w:r w:rsidR="00710993">
            <w:rPr>
              <w:noProof/>
            </w:rPr>
            <w:t xml:space="preserve"> (28)</w:t>
          </w:r>
          <w:r>
            <w:fldChar w:fldCharType="end"/>
          </w:r>
        </w:sdtContent>
      </w:sdt>
      <w:sdt>
        <w:sdtPr>
          <w:id w:val="375509234"/>
          <w:citation/>
        </w:sdtPr>
        <w:sdtEndPr/>
        <w:sdtContent>
          <w:r>
            <w:fldChar w:fldCharType="begin"/>
          </w:r>
          <w:r>
            <w:instrText xml:space="preserve"> CITATION Bar21 \l 3081 </w:instrText>
          </w:r>
          <w:r>
            <w:fldChar w:fldCharType="separate"/>
          </w:r>
          <w:r w:rsidR="00710993">
            <w:rPr>
              <w:noProof/>
            </w:rPr>
            <w:t xml:space="preserve"> (3)</w:t>
          </w:r>
          <w:r>
            <w:fldChar w:fldCharType="end"/>
          </w:r>
        </w:sdtContent>
      </w:sdt>
      <w:sdt>
        <w:sdtPr>
          <w:id w:val="797580862"/>
          <w:citation/>
        </w:sdtPr>
        <w:sdtEndPr/>
        <w:sdtContent>
          <w:r>
            <w:fldChar w:fldCharType="begin"/>
          </w:r>
          <w:r>
            <w:instrText xml:space="preserve"> CITATION Bli15 \l 3081 </w:instrText>
          </w:r>
          <w:r>
            <w:fldChar w:fldCharType="separate"/>
          </w:r>
          <w:r w:rsidR="00710993">
            <w:rPr>
              <w:noProof/>
            </w:rPr>
            <w:t xml:space="preserve"> (6)</w:t>
          </w:r>
          <w:r>
            <w:fldChar w:fldCharType="end"/>
          </w:r>
        </w:sdtContent>
      </w:sdt>
      <w:sdt>
        <w:sdtPr>
          <w:id w:val="-1891257280"/>
          <w:citation/>
        </w:sdtPr>
        <w:sdtEndPr/>
        <w:sdtContent>
          <w:r>
            <w:fldChar w:fldCharType="begin"/>
          </w:r>
          <w:r>
            <w:instrText xml:space="preserve"> CITATION Tra15 \l 3081 </w:instrText>
          </w:r>
          <w:r>
            <w:fldChar w:fldCharType="separate"/>
          </w:r>
          <w:r w:rsidR="00710993">
            <w:rPr>
              <w:noProof/>
            </w:rPr>
            <w:t xml:space="preserve"> (38)</w:t>
          </w:r>
          <w:r>
            <w:fldChar w:fldCharType="end"/>
          </w:r>
        </w:sdtContent>
      </w:sdt>
      <w:sdt>
        <w:sdtPr>
          <w:id w:val="1407959925"/>
          <w:citation/>
        </w:sdtPr>
        <w:sdtEndPr/>
        <w:sdtContent>
          <w:r>
            <w:fldChar w:fldCharType="begin"/>
          </w:r>
          <w:r>
            <w:instrText xml:space="preserve"> CITATION Vic10 \l 3081 </w:instrText>
          </w:r>
          <w:r>
            <w:fldChar w:fldCharType="separate"/>
          </w:r>
          <w:r w:rsidR="00710993">
            <w:rPr>
              <w:noProof/>
            </w:rPr>
            <w:t xml:space="preserve"> (43)</w:t>
          </w:r>
          <w:r>
            <w:fldChar w:fldCharType="end"/>
          </w:r>
        </w:sdtContent>
      </w:sdt>
      <w:sdt>
        <w:sdtPr>
          <w:id w:val="-961797123"/>
          <w:citation/>
        </w:sdtPr>
        <w:sdtEndPr/>
        <w:sdtContent>
          <w:r>
            <w:fldChar w:fldCharType="begin"/>
          </w:r>
          <w:r>
            <w:instrText xml:space="preserve"> CITATION Aus22 \l 3081 </w:instrText>
          </w:r>
          <w:r>
            <w:fldChar w:fldCharType="separate"/>
          </w:r>
          <w:r w:rsidR="00710993">
            <w:rPr>
              <w:noProof/>
            </w:rPr>
            <w:t xml:space="preserve"> (5)</w:t>
          </w:r>
          <w:r>
            <w:fldChar w:fldCharType="end"/>
          </w:r>
        </w:sdtContent>
      </w:sdt>
      <w:bookmarkEnd w:id="99"/>
    </w:p>
    <w:tbl>
      <w:tblPr>
        <w:tblStyle w:val="TableGrid"/>
        <w:tblW w:w="0" w:type="auto"/>
        <w:tblLook w:val="04A0" w:firstRow="1" w:lastRow="0" w:firstColumn="1" w:lastColumn="0" w:noHBand="0" w:noVBand="1"/>
      </w:tblPr>
      <w:tblGrid>
        <w:gridCol w:w="1637"/>
        <w:gridCol w:w="7322"/>
      </w:tblGrid>
      <w:tr w:rsidR="00676ACD" w:rsidRPr="00E72B1E" w14:paraId="0B9BFE23" w14:textId="77777777" w:rsidTr="007B5579">
        <w:trPr>
          <w:trHeight w:val="409"/>
          <w:tblHeader/>
        </w:trPr>
        <w:tc>
          <w:tcPr>
            <w:tcW w:w="1637" w:type="dxa"/>
            <w:shd w:val="clear" w:color="auto" w:fill="1D3567"/>
          </w:tcPr>
          <w:p w14:paraId="2352DF13" w14:textId="77777777" w:rsidR="00676ACD" w:rsidRPr="00E72B1E" w:rsidRDefault="00676ACD" w:rsidP="007B5579">
            <w:pPr>
              <w:pStyle w:val="DVA1Number"/>
              <w:numPr>
                <w:ilvl w:val="0"/>
                <w:numId w:val="0"/>
              </w:numPr>
              <w:rPr>
                <w:sz w:val="16"/>
                <w:szCs w:val="16"/>
              </w:rPr>
            </w:pPr>
            <w:r w:rsidRPr="00E72B1E">
              <w:rPr>
                <w:sz w:val="16"/>
                <w:szCs w:val="16"/>
              </w:rPr>
              <w:t>Components</w:t>
            </w:r>
          </w:p>
        </w:tc>
        <w:tc>
          <w:tcPr>
            <w:tcW w:w="7322" w:type="dxa"/>
            <w:shd w:val="clear" w:color="auto" w:fill="1D3567"/>
          </w:tcPr>
          <w:p w14:paraId="3D449885" w14:textId="77777777" w:rsidR="00676ACD" w:rsidRPr="00E72B1E" w:rsidRDefault="00676ACD" w:rsidP="007B5579">
            <w:pPr>
              <w:pStyle w:val="DVA1Number"/>
              <w:numPr>
                <w:ilvl w:val="0"/>
                <w:numId w:val="0"/>
              </w:numPr>
              <w:rPr>
                <w:sz w:val="16"/>
                <w:szCs w:val="16"/>
              </w:rPr>
            </w:pPr>
            <w:r w:rsidRPr="00E72B1E">
              <w:rPr>
                <w:sz w:val="16"/>
                <w:szCs w:val="16"/>
              </w:rPr>
              <w:t>How it supports better practice evaluations</w:t>
            </w:r>
          </w:p>
        </w:tc>
      </w:tr>
      <w:tr w:rsidR="00676ACD" w:rsidRPr="00E72B1E" w14:paraId="04CF9023" w14:textId="77777777" w:rsidTr="007B5579">
        <w:trPr>
          <w:trHeight w:val="402"/>
        </w:trPr>
        <w:tc>
          <w:tcPr>
            <w:tcW w:w="1637" w:type="dxa"/>
          </w:tcPr>
          <w:p w14:paraId="7A7133B1" w14:textId="77777777" w:rsidR="00676ACD" w:rsidRPr="00E34572" w:rsidRDefault="00676ACD" w:rsidP="007B5579">
            <w:pPr>
              <w:pStyle w:val="DVA1Number"/>
              <w:numPr>
                <w:ilvl w:val="0"/>
                <w:numId w:val="0"/>
              </w:numPr>
              <w:rPr>
                <w:b/>
                <w:bCs/>
                <w:sz w:val="16"/>
                <w:szCs w:val="16"/>
              </w:rPr>
            </w:pPr>
            <w:r w:rsidRPr="00E34572">
              <w:rPr>
                <w:b/>
                <w:bCs/>
                <w:sz w:val="16"/>
                <w:szCs w:val="16"/>
              </w:rPr>
              <w:t>Logic model / program logic</w:t>
            </w:r>
            <w:r>
              <w:rPr>
                <w:b/>
                <w:bCs/>
                <w:sz w:val="16"/>
                <w:szCs w:val="16"/>
              </w:rPr>
              <w:t>*</w:t>
            </w:r>
          </w:p>
        </w:tc>
        <w:tc>
          <w:tcPr>
            <w:tcW w:w="7322" w:type="dxa"/>
          </w:tcPr>
          <w:p w14:paraId="63D9093B" w14:textId="77777777" w:rsidR="00676ACD" w:rsidRDefault="00676ACD" w:rsidP="007B5579">
            <w:pPr>
              <w:pStyle w:val="DVABodytextwithparaspace"/>
              <w:spacing w:after="120"/>
              <w:rPr>
                <w:sz w:val="16"/>
                <w:szCs w:val="16"/>
              </w:rPr>
            </w:pPr>
            <w:r w:rsidRPr="00E72B1E">
              <w:rPr>
                <w:sz w:val="16"/>
                <w:szCs w:val="16"/>
              </w:rPr>
              <w:t>A management tool that presents the logic of a program in a diagram</w:t>
            </w:r>
            <w:r>
              <w:rPr>
                <w:sz w:val="16"/>
                <w:szCs w:val="16"/>
              </w:rPr>
              <w:t xml:space="preserve"> or schematic</w:t>
            </w:r>
            <w:r w:rsidRPr="00E72B1E">
              <w:rPr>
                <w:sz w:val="16"/>
                <w:szCs w:val="16"/>
              </w:rPr>
              <w:t xml:space="preserve"> (with related descriptions). It illustrates</w:t>
            </w:r>
            <w:r>
              <w:rPr>
                <w:sz w:val="16"/>
                <w:szCs w:val="16"/>
              </w:rPr>
              <w:t xml:space="preserve"> </w:t>
            </w:r>
            <w:r w:rsidRPr="00D21F73">
              <w:rPr>
                <w:sz w:val="16"/>
                <w:szCs w:val="16"/>
              </w:rPr>
              <w:t>how a program is intended to wo</w:t>
            </w:r>
            <w:r>
              <w:rPr>
                <w:sz w:val="16"/>
                <w:szCs w:val="16"/>
              </w:rPr>
              <w:t>rk, showing</w:t>
            </w:r>
            <w:r w:rsidRPr="00E72B1E">
              <w:rPr>
                <w:sz w:val="16"/>
                <w:szCs w:val="16"/>
              </w:rPr>
              <w:t xml:space="preserve"> the logical linkage between the identified need or issue that a program is seeking to address; its intended activities and processes; their outputs; and the intended program outcomes</w:t>
            </w:r>
            <w:r>
              <w:rPr>
                <w:sz w:val="16"/>
                <w:szCs w:val="16"/>
              </w:rPr>
              <w:t xml:space="preserve">. </w:t>
            </w:r>
            <w:r w:rsidRPr="00E72B1E">
              <w:rPr>
                <w:sz w:val="16"/>
                <w:szCs w:val="16"/>
              </w:rPr>
              <w:t>The explicit representation of the assumed logic creates an opportunity for stakeholders to understand and test the assumptions, ensuring that the program design is soun</w:t>
            </w:r>
            <w:r>
              <w:rPr>
                <w:sz w:val="16"/>
                <w:szCs w:val="16"/>
              </w:rPr>
              <w:t>d.</w:t>
            </w:r>
          </w:p>
          <w:p w14:paraId="1844070F" w14:textId="77777777" w:rsidR="00676ACD" w:rsidRPr="00E72B1E" w:rsidRDefault="00676ACD" w:rsidP="007B5579">
            <w:pPr>
              <w:pStyle w:val="DVABodytextwithparaspace"/>
              <w:spacing w:after="120"/>
              <w:rPr>
                <w:sz w:val="16"/>
                <w:szCs w:val="16"/>
              </w:rPr>
            </w:pPr>
            <w:r>
              <w:rPr>
                <w:sz w:val="16"/>
                <w:szCs w:val="16"/>
              </w:rPr>
              <w:t xml:space="preserve">Program logics </w:t>
            </w:r>
            <w:r w:rsidRPr="00D21F73">
              <w:rPr>
                <w:sz w:val="16"/>
                <w:szCs w:val="16"/>
              </w:rPr>
              <w:t xml:space="preserve">allow for a better understanding of the broader drivers of a program’s efficacy, </w:t>
            </w:r>
            <w:r>
              <w:rPr>
                <w:sz w:val="16"/>
                <w:szCs w:val="16"/>
              </w:rPr>
              <w:t xml:space="preserve">they </w:t>
            </w:r>
            <w:r w:rsidRPr="00D21F73">
              <w:rPr>
                <w:sz w:val="16"/>
                <w:szCs w:val="16"/>
              </w:rPr>
              <w:t>can focus the research team on the intended outcomes, and can serve as a solid foundation throughout the program implementation and evaluation. They can be used to scrutinise use and allocation of resources and help tailor programs for local context. Additionally, the different segments of the program logic can be allocated indicators to measure progress of a health program</w:t>
            </w:r>
            <w:r>
              <w:rPr>
                <w:sz w:val="16"/>
                <w:szCs w:val="16"/>
              </w:rPr>
              <w:t>.</w:t>
            </w:r>
            <w:r w:rsidRPr="00D21F73">
              <w:rPr>
                <w:sz w:val="16"/>
                <w:szCs w:val="16"/>
              </w:rPr>
              <w:t xml:space="preserve"> </w:t>
            </w:r>
          </w:p>
        </w:tc>
      </w:tr>
      <w:tr w:rsidR="00676ACD" w:rsidRPr="00E72B1E" w14:paraId="1062FA81" w14:textId="77777777" w:rsidTr="007B5579">
        <w:trPr>
          <w:trHeight w:val="580"/>
        </w:trPr>
        <w:tc>
          <w:tcPr>
            <w:tcW w:w="1637" w:type="dxa"/>
          </w:tcPr>
          <w:p w14:paraId="29D93F58" w14:textId="77777777" w:rsidR="00676ACD" w:rsidRPr="00E34572" w:rsidRDefault="00676ACD" w:rsidP="007B5579">
            <w:pPr>
              <w:pStyle w:val="DVA1Number"/>
              <w:numPr>
                <w:ilvl w:val="0"/>
                <w:numId w:val="0"/>
              </w:numPr>
              <w:rPr>
                <w:b/>
                <w:bCs/>
                <w:sz w:val="16"/>
                <w:szCs w:val="16"/>
              </w:rPr>
            </w:pPr>
            <w:r>
              <w:rPr>
                <w:b/>
                <w:bCs/>
                <w:sz w:val="16"/>
                <w:szCs w:val="16"/>
              </w:rPr>
              <w:t xml:space="preserve">Evaluation </w:t>
            </w:r>
            <w:r w:rsidRPr="00E34572">
              <w:rPr>
                <w:b/>
                <w:bCs/>
                <w:sz w:val="16"/>
                <w:szCs w:val="16"/>
              </w:rPr>
              <w:t>framework</w:t>
            </w:r>
          </w:p>
        </w:tc>
        <w:tc>
          <w:tcPr>
            <w:tcW w:w="7322" w:type="dxa"/>
          </w:tcPr>
          <w:p w14:paraId="0E5FE864" w14:textId="77777777" w:rsidR="00676ACD" w:rsidRPr="00E72B1E" w:rsidRDefault="00676ACD" w:rsidP="007B5579">
            <w:pPr>
              <w:pStyle w:val="DVABodytextwithparaspace"/>
              <w:rPr>
                <w:sz w:val="16"/>
                <w:szCs w:val="16"/>
              </w:rPr>
            </w:pPr>
            <w:r w:rsidRPr="00E72B1E">
              <w:rPr>
                <w:sz w:val="16"/>
                <w:szCs w:val="16"/>
              </w:rPr>
              <w:t>A tool that links what the program intends to achieve, and how success can be measured (that is, what are the indicators that need to be measured to determine whether change has occurred).</w:t>
            </w:r>
          </w:p>
        </w:tc>
      </w:tr>
      <w:tr w:rsidR="00676ACD" w:rsidRPr="00E72B1E" w14:paraId="573A49EC" w14:textId="77777777" w:rsidTr="007B5579">
        <w:trPr>
          <w:trHeight w:val="776"/>
        </w:trPr>
        <w:tc>
          <w:tcPr>
            <w:tcW w:w="1637" w:type="dxa"/>
          </w:tcPr>
          <w:p w14:paraId="4030E6DA" w14:textId="77777777" w:rsidR="00676ACD" w:rsidRPr="00E34572" w:rsidRDefault="00676ACD" w:rsidP="007B5579">
            <w:pPr>
              <w:pStyle w:val="DVA1Number"/>
              <w:numPr>
                <w:ilvl w:val="0"/>
                <w:numId w:val="0"/>
              </w:numPr>
              <w:ind w:left="425" w:hanging="425"/>
              <w:rPr>
                <w:b/>
                <w:bCs/>
                <w:sz w:val="16"/>
                <w:szCs w:val="16"/>
              </w:rPr>
            </w:pPr>
            <w:r w:rsidRPr="00E34572">
              <w:rPr>
                <w:b/>
                <w:bCs/>
                <w:sz w:val="16"/>
                <w:szCs w:val="16"/>
              </w:rPr>
              <w:t>Evaluation plan</w:t>
            </w:r>
          </w:p>
        </w:tc>
        <w:tc>
          <w:tcPr>
            <w:tcW w:w="7322" w:type="dxa"/>
          </w:tcPr>
          <w:p w14:paraId="2F1517AE" w14:textId="77777777" w:rsidR="00676ACD" w:rsidRPr="00E72B1E" w:rsidRDefault="00676ACD" w:rsidP="007B5579">
            <w:pPr>
              <w:pStyle w:val="DVABodytextwithparaspace"/>
              <w:rPr>
                <w:sz w:val="16"/>
                <w:szCs w:val="16"/>
              </w:rPr>
            </w:pPr>
            <w:r w:rsidRPr="00E72B1E">
              <w:rPr>
                <w:sz w:val="16"/>
                <w:szCs w:val="16"/>
              </w:rPr>
              <w:t>An evaluation plan outlines the objectives of the evaluation and clarifies the roles and responsibilities of those involved. It sets out the most appropriate evaluation design throughout the project, and the appropriate data collection methods. It also clarifies assumptions on which the program design and implementation were based. The evaluation plan should also include how the evaluation results will be disseminated and the cost of the evaluation. It should be developed for all new programs before they are implemented, and it should be written alongside the overall program plan.</w:t>
            </w:r>
          </w:p>
        </w:tc>
      </w:tr>
    </w:tbl>
    <w:p w14:paraId="7232C929" w14:textId="552D06C1" w:rsidR="00676ACD" w:rsidRDefault="00676ACD" w:rsidP="007B5579">
      <w:pPr>
        <w:pStyle w:val="DVABodytextwithparaspace"/>
        <w:spacing w:before="120"/>
      </w:pPr>
      <w:r>
        <w:t>The case study consultation with the NSW Ministry of Health indicated that program logics are most useful for programs with outcome timelines (for example, have both short and long-term outcomes). They are also able to pick out faults with the program, for example, design problems with the program. Program logics can also be used to clarify assumptions of the program and can help guide the identification of desired outcomes over time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w:t>
      </w:r>
    </w:p>
    <w:p w14:paraId="215C0F5A" w14:textId="79986989" w:rsidR="00676ACD" w:rsidRDefault="00676ACD" w:rsidP="007B5579">
      <w:pPr>
        <w:pStyle w:val="DVABodytextwithparaspace"/>
      </w:pPr>
      <w:r>
        <w:t xml:space="preserve">Developing program logics and evaluation frameworks requires well-defined program outcomes. </w:t>
      </w:r>
      <w:r>
        <w:fldChar w:fldCharType="begin"/>
      </w:r>
      <w:r>
        <w:instrText xml:space="preserve"> REF _Ref105605240 \h </w:instrText>
      </w:r>
      <w:r>
        <w:fldChar w:fldCharType="separate"/>
      </w:r>
      <w:r w:rsidR="00812188">
        <w:t xml:space="preserve">Figure </w:t>
      </w:r>
      <w:r w:rsidR="00812188">
        <w:rPr>
          <w:noProof/>
        </w:rPr>
        <w:t>6</w:t>
      </w:r>
      <w:r>
        <w:fldChar w:fldCharType="end"/>
      </w:r>
      <w:r>
        <w:t xml:space="preserve"> outlines important steps to successfully defining intended program outcomes according to a key informant </w:t>
      </w:r>
      <w:r w:rsidDel="00FE0C42">
        <w:t>interview</w:t>
      </w:r>
      <w:r>
        <w:t xml:space="preserve">ee. These lessons can be transferred to the Australian context. </w:t>
      </w:r>
    </w:p>
    <w:p w14:paraId="63C5A112" w14:textId="190EB12D" w:rsidR="00676ACD" w:rsidRDefault="00676ACD" w:rsidP="007B5579">
      <w:pPr>
        <w:pStyle w:val="Caption"/>
      </w:pPr>
      <w:bookmarkStart w:id="100" w:name="_Ref105605240"/>
      <w:r>
        <w:lastRenderedPageBreak/>
        <w:t xml:space="preserve">Figure </w:t>
      </w:r>
      <w:r>
        <w:fldChar w:fldCharType="begin"/>
      </w:r>
      <w:r>
        <w:instrText xml:space="preserve"> SEQ Figure \* ARABIC </w:instrText>
      </w:r>
      <w:r>
        <w:fldChar w:fldCharType="separate"/>
      </w:r>
      <w:r w:rsidR="00812188">
        <w:rPr>
          <w:noProof/>
        </w:rPr>
        <w:t>6</w:t>
      </w:r>
      <w:r>
        <w:fldChar w:fldCharType="end"/>
      </w:r>
      <w:bookmarkEnd w:id="100"/>
      <w:r>
        <w:t>. Learnings from the US - successfully defining program outcomes</w:t>
      </w:r>
    </w:p>
    <w:p w14:paraId="2FC12447" w14:textId="77777777" w:rsidR="00676ACD" w:rsidRDefault="00676ACD" w:rsidP="007B5579">
      <w:pPr>
        <w:jc w:val="center"/>
      </w:pPr>
      <w:r w:rsidRPr="0056173D">
        <w:rPr>
          <w:noProof/>
          <w:lang w:val="en-AU" w:eastAsia="en-AU"/>
        </w:rPr>
        <w:drawing>
          <wp:inline distT="0" distB="0" distL="0" distR="0" wp14:anchorId="425C3C6A" wp14:editId="517319AA">
            <wp:extent cx="5761355" cy="2703443"/>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97"/>
                    <a:stretch/>
                  </pic:blipFill>
                  <pic:spPr bwMode="auto">
                    <a:xfrm>
                      <a:off x="0" y="0"/>
                      <a:ext cx="5761355" cy="2703443"/>
                    </a:xfrm>
                    <a:prstGeom prst="rect">
                      <a:avLst/>
                    </a:prstGeom>
                    <a:ln>
                      <a:noFill/>
                    </a:ln>
                    <a:extLst>
                      <a:ext uri="{53640926-AAD7-44D8-BBD7-CCE9431645EC}">
                        <a14:shadowObscured xmlns:a14="http://schemas.microsoft.com/office/drawing/2010/main"/>
                      </a:ext>
                    </a:extLst>
                  </pic:spPr>
                </pic:pic>
              </a:graphicData>
            </a:graphic>
          </wp:inline>
        </w:drawing>
      </w:r>
    </w:p>
    <w:p w14:paraId="1F99917C" w14:textId="77777777" w:rsidR="00676ACD" w:rsidRDefault="00676ACD" w:rsidP="007B5579">
      <w:pPr>
        <w:rPr>
          <w:sz w:val="16"/>
          <w:szCs w:val="16"/>
        </w:rPr>
      </w:pPr>
      <w:r>
        <w:rPr>
          <w:sz w:val="16"/>
          <w:szCs w:val="16"/>
        </w:rPr>
        <w:t xml:space="preserve">  </w:t>
      </w:r>
      <w:r w:rsidRPr="00D01CCC">
        <w:rPr>
          <w:sz w:val="16"/>
          <w:szCs w:val="16"/>
        </w:rPr>
        <w:t xml:space="preserve">Data collection source: </w:t>
      </w:r>
      <w:r>
        <w:rPr>
          <w:sz w:val="16"/>
          <w:szCs w:val="16"/>
        </w:rPr>
        <w:t xml:space="preserve">Key Informant Interviews </w:t>
      </w:r>
    </w:p>
    <w:p w14:paraId="7B3DAB49" w14:textId="77777777" w:rsidR="00676ACD" w:rsidRPr="00E72B1E" w:rsidRDefault="00676ACD" w:rsidP="009014F6">
      <w:pPr>
        <w:pStyle w:val="Heading4numbered"/>
        <w:numPr>
          <w:ilvl w:val="0"/>
          <w:numId w:val="0"/>
        </w:numPr>
        <w:ind w:left="1134" w:hanging="1134"/>
      </w:pPr>
      <w:r w:rsidRPr="00E72B1E">
        <w:t xml:space="preserve">Organisational </w:t>
      </w:r>
      <w:r>
        <w:t xml:space="preserve">characteristics – evaluative thinking, evaluation culture and </w:t>
      </w:r>
      <w:r w:rsidRPr="00E72B1E">
        <w:t xml:space="preserve">evaluation capability </w:t>
      </w:r>
    </w:p>
    <w:p w14:paraId="07E1035D" w14:textId="19720792" w:rsidR="00676ACD" w:rsidRDefault="00676ACD" w:rsidP="007B5579">
      <w:pPr>
        <w:pStyle w:val="DVABodytextwithparaspace"/>
      </w:pPr>
      <w:r>
        <w:t xml:space="preserve">Successful evaluation requires more than the technical skills and knowledge. To harness the full impact of an evaluation, organisations require an evaluative culture with corresponding evaluation capability </w:t>
      </w:r>
      <w:sdt>
        <w:sdtPr>
          <w:id w:val="1321235013"/>
          <w:citation/>
        </w:sdtPr>
        <w:sdtEndPr/>
        <w:sdtContent>
          <w:r w:rsidRPr="00E72B1E">
            <w:fldChar w:fldCharType="begin"/>
          </w:r>
          <w:r w:rsidRPr="00E72B1E">
            <w:instrText xml:space="preserve">CITATION Que20 \l 3081 </w:instrText>
          </w:r>
          <w:r w:rsidRPr="00E72B1E">
            <w:fldChar w:fldCharType="separate"/>
          </w:r>
          <w:r w:rsidR="00710993">
            <w:rPr>
              <w:noProof/>
            </w:rPr>
            <w:t>(37)</w:t>
          </w:r>
          <w:r w:rsidRPr="00E72B1E">
            <w:fldChar w:fldCharType="end"/>
          </w:r>
        </w:sdtContent>
      </w:sdt>
      <w:sdt>
        <w:sdtPr>
          <w:id w:val="186253172"/>
          <w:citation/>
        </w:sdtPr>
        <w:sdtEndPr/>
        <w:sdtContent>
          <w:r w:rsidRPr="00E72B1E">
            <w:fldChar w:fldCharType="begin"/>
          </w:r>
          <w:r w:rsidRPr="00E72B1E">
            <w:instrText xml:space="preserve">CITATION Edw16 \l 3081 </w:instrText>
          </w:r>
          <w:r w:rsidRPr="00E72B1E">
            <w:fldChar w:fldCharType="separate"/>
          </w:r>
          <w:r w:rsidR="00710993">
            <w:rPr>
              <w:noProof/>
            </w:rPr>
            <w:t xml:space="preserve"> (25)</w:t>
          </w:r>
          <w:r w:rsidRPr="00E72B1E">
            <w:fldChar w:fldCharType="end"/>
          </w:r>
        </w:sdtContent>
      </w:sdt>
      <w:r>
        <w:t xml:space="preserve">, which is supported and enabled by evaluative thinking </w:t>
      </w:r>
      <w:sdt>
        <w:sdtPr>
          <w:id w:val="-214903779"/>
          <w:citation/>
        </w:sdtPr>
        <w:sdtEndPr/>
        <w:sdtContent>
          <w:r>
            <w:fldChar w:fldCharType="begin"/>
          </w:r>
          <w:r>
            <w:instrText xml:space="preserve"> CITATION Aus22 \l 3081 </w:instrText>
          </w:r>
          <w:r>
            <w:fldChar w:fldCharType="separate"/>
          </w:r>
          <w:r w:rsidR="00710993">
            <w:rPr>
              <w:noProof/>
            </w:rPr>
            <w:t>(5)</w:t>
          </w:r>
          <w:r>
            <w:fldChar w:fldCharType="end"/>
          </w:r>
        </w:sdtContent>
      </w:sdt>
      <w:r>
        <w:t>.</w:t>
      </w:r>
    </w:p>
    <w:p w14:paraId="5E4AB35E" w14:textId="2A59C9E5" w:rsidR="00676ACD" w:rsidRDefault="00676ACD" w:rsidP="007B5579">
      <w:pPr>
        <w:pStyle w:val="DVABodytextwithparaspace"/>
      </w:pPr>
      <w:r>
        <w:t xml:space="preserve">Evaluative thinking is defined as a </w:t>
      </w:r>
      <w:r>
        <w:rPr>
          <w:i/>
          <w:iCs/>
        </w:rPr>
        <w:t>form of critical thinking where evaluative questions are asked as a part of everyday business</w:t>
      </w:r>
      <w:r>
        <w:t xml:space="preserve"> </w:t>
      </w:r>
      <w:sdt>
        <w:sdtPr>
          <w:id w:val="-181976788"/>
          <w:citation/>
        </w:sdtPr>
        <w:sdtEndPr/>
        <w:sdtContent>
          <w:r>
            <w:fldChar w:fldCharType="begin"/>
          </w:r>
          <w:r>
            <w:instrText xml:space="preserve"> CITATION Aus22 \l 3081 </w:instrText>
          </w:r>
          <w:r>
            <w:fldChar w:fldCharType="separate"/>
          </w:r>
          <w:r w:rsidR="00710993">
            <w:rPr>
              <w:noProof/>
            </w:rPr>
            <w:t>(5)</w:t>
          </w:r>
          <w:r>
            <w:fldChar w:fldCharType="end"/>
          </w:r>
        </w:sdtContent>
      </w:sdt>
      <w:r>
        <w:t xml:space="preserve"> or in some cases, </w:t>
      </w:r>
      <w:r>
        <w:rPr>
          <w:i/>
          <w:iCs/>
        </w:rPr>
        <w:t>a constant state-of-mind within an organisation’s culture and systems to reflect, question, learn and modify using the evidence available</w:t>
      </w:r>
      <w:r>
        <w:t xml:space="preserve"> </w:t>
      </w:r>
      <w:sdt>
        <w:sdtPr>
          <w:id w:val="141169384"/>
          <w:citation/>
        </w:sdtPr>
        <w:sdtEndPr/>
        <w:sdtContent>
          <w:r>
            <w:fldChar w:fldCharType="begin"/>
          </w:r>
          <w:r>
            <w:instrText xml:space="preserve"> CITATION Cen22 \l 3081 </w:instrText>
          </w:r>
          <w:r>
            <w:fldChar w:fldCharType="separate"/>
          </w:r>
          <w:r w:rsidR="00710993">
            <w:rPr>
              <w:noProof/>
            </w:rPr>
            <w:t>(19)</w:t>
          </w:r>
          <w:r>
            <w:fldChar w:fldCharType="end"/>
          </w:r>
        </w:sdtContent>
      </w:sdt>
      <w:r>
        <w:t xml:space="preserve">. Practically, this involves embedding evaluative thinking into the way people work and think </w:t>
      </w:r>
      <w:sdt>
        <w:sdtPr>
          <w:id w:val="799034721"/>
          <w:citation/>
        </w:sdtPr>
        <w:sdtEndPr/>
        <w:sdtContent>
          <w:r>
            <w:fldChar w:fldCharType="begin"/>
          </w:r>
          <w:r>
            <w:instrText xml:space="preserve"> CITATION Aus22 \l 3081 </w:instrText>
          </w:r>
          <w:r>
            <w:fldChar w:fldCharType="separate"/>
          </w:r>
          <w:r w:rsidR="00710993">
            <w:rPr>
              <w:noProof/>
            </w:rPr>
            <w:t>(5)</w:t>
          </w:r>
          <w:r>
            <w:fldChar w:fldCharType="end"/>
          </w:r>
        </w:sdtContent>
      </w:sdt>
      <w:r>
        <w:t xml:space="preserve"> as well as all parts of the program’s lifecycle </w:t>
      </w:r>
      <w:sdt>
        <w:sdtPr>
          <w:id w:val="956529531"/>
          <w:citation/>
        </w:sdtPr>
        <w:sdtEndPr/>
        <w:sdtContent>
          <w:r>
            <w:fldChar w:fldCharType="begin"/>
          </w:r>
          <w:r>
            <w:instrText xml:space="preserve"> CITATION Que20 \l 3081 </w:instrText>
          </w:r>
          <w:r>
            <w:fldChar w:fldCharType="separate"/>
          </w:r>
          <w:r w:rsidR="00710993">
            <w:rPr>
              <w:noProof/>
            </w:rPr>
            <w:t>(37)</w:t>
          </w:r>
          <w:r>
            <w:fldChar w:fldCharType="end"/>
          </w:r>
        </w:sdtContent>
      </w:sdt>
      <w:r>
        <w:t xml:space="preserve">, and can also involve the use of robust analytical methods to continuously assess program performance against stated objectives </w:t>
      </w:r>
      <w:sdt>
        <w:sdtPr>
          <w:id w:val="-1436979322"/>
          <w:citation/>
        </w:sdtPr>
        <w:sdtEndPr/>
        <w:sdtContent>
          <w:r>
            <w:fldChar w:fldCharType="begin"/>
          </w:r>
          <w:r>
            <w:instrText xml:space="preserve"> CITATION Aus22 \l 3081 </w:instrText>
          </w:r>
          <w:r>
            <w:fldChar w:fldCharType="separate"/>
          </w:r>
          <w:r w:rsidR="00710993">
            <w:rPr>
              <w:noProof/>
            </w:rPr>
            <w:t>(5)</w:t>
          </w:r>
          <w:r>
            <w:fldChar w:fldCharType="end"/>
          </w:r>
        </w:sdtContent>
      </w:sdt>
      <w:r>
        <w:t>. It is therefore logical that evaluative thinking in turn supports an overarching culture of evaluation in an organisation, where staff are encouraged to self-reflect on their activities, look for better ways of doing things, share knowledge and learn from both good practice and mistakes</w:t>
      </w:r>
      <w:sdt>
        <w:sdtPr>
          <w:id w:val="556291246"/>
          <w:citation/>
        </w:sdtPr>
        <w:sdtEndPr/>
        <w:sdtContent>
          <w:r>
            <w:fldChar w:fldCharType="begin"/>
          </w:r>
          <w:r>
            <w:instrText xml:space="preserve"> CITATION Aus22 \l 3081 </w:instrText>
          </w:r>
          <w:r>
            <w:fldChar w:fldCharType="separate"/>
          </w:r>
          <w:r w:rsidR="00710993">
            <w:rPr>
              <w:noProof/>
            </w:rPr>
            <w:t xml:space="preserve"> (5)</w:t>
          </w:r>
          <w:r>
            <w:fldChar w:fldCharType="end"/>
          </w:r>
        </w:sdtContent>
      </w:sdt>
      <w:r>
        <w:t xml:space="preserve">. </w:t>
      </w:r>
    </w:p>
    <w:p w14:paraId="72CFF9E8" w14:textId="53AA0C37" w:rsidR="00676ACD" w:rsidRPr="00E72B1E" w:rsidRDefault="00676ACD" w:rsidP="007B5579">
      <w:pPr>
        <w:pStyle w:val="DVABodytextwithparaspace"/>
        <w:spacing w:after="120"/>
      </w:pPr>
      <w:r w:rsidRPr="00E72B1E">
        <w:t xml:space="preserve">A strong, evaluative </w:t>
      </w:r>
      <w:r>
        <w:t>culture, which promotes</w:t>
      </w:r>
      <w:r w:rsidRPr="00E72B1E">
        <w:t xml:space="preserve"> evaluative thinking within an organisation</w:t>
      </w:r>
      <w:r>
        <w:t xml:space="preserve"> is key to </w:t>
      </w:r>
      <w:r w:rsidRPr="00E72B1E">
        <w:t xml:space="preserve">supporting ongoing improvement in evaluation processes and organisational capability </w:t>
      </w:r>
      <w:sdt>
        <w:sdtPr>
          <w:id w:val="-1769308628"/>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rsidRPr="00E72B1E">
        <w:t xml:space="preserve"> </w:t>
      </w:r>
      <w:sdt>
        <w:sdtPr>
          <w:id w:val="-1349795595"/>
          <w:citation/>
        </w:sdtPr>
        <w:sdtEndPr/>
        <w:sdtContent>
          <w:r w:rsidRPr="00E72B1E">
            <w:fldChar w:fldCharType="begin"/>
          </w:r>
          <w:r w:rsidRPr="00E72B1E">
            <w:instrText xml:space="preserve">CITATION Aus22 \l 3081 </w:instrText>
          </w:r>
          <w:r w:rsidRPr="00E72B1E">
            <w:fldChar w:fldCharType="separate"/>
          </w:r>
          <w:r w:rsidR="00710993">
            <w:rPr>
              <w:noProof/>
            </w:rPr>
            <w:t>(5)</w:t>
          </w:r>
          <w:r w:rsidRPr="00E72B1E">
            <w:fldChar w:fldCharType="end"/>
          </w:r>
        </w:sdtContent>
      </w:sdt>
      <w:r w:rsidRPr="00E72B1E">
        <w:t xml:space="preserve">. There are several activities that organisations can undertake to build a culture of evaluation. </w:t>
      </w:r>
      <w:r>
        <w:t>These include</w:t>
      </w:r>
      <w:r w:rsidRPr="00E72B1E">
        <w:t>:</w:t>
      </w:r>
    </w:p>
    <w:p w14:paraId="2FB3348A" w14:textId="77777777" w:rsidR="00676ACD" w:rsidRPr="00E72B1E" w:rsidRDefault="00676ACD" w:rsidP="007B5579">
      <w:pPr>
        <w:pStyle w:val="DVABulletnoparaspace"/>
      </w:pPr>
      <w:r w:rsidRPr="00E72B1E">
        <w:t xml:space="preserve">Having an evaluation capacity building plan and adapting capability building processes to suit their nature, size and structure </w:t>
      </w:r>
    </w:p>
    <w:p w14:paraId="08F36455" w14:textId="77777777" w:rsidR="00676ACD" w:rsidRPr="00E72B1E" w:rsidRDefault="00676ACD" w:rsidP="007B5579">
      <w:pPr>
        <w:pStyle w:val="DVABulletnoparaspace"/>
      </w:pPr>
      <w:r w:rsidRPr="00E72B1E">
        <w:t xml:space="preserve">Allocating adequate resources to evaluation skills and knowledge development </w:t>
      </w:r>
    </w:p>
    <w:p w14:paraId="7C5CCE51" w14:textId="77777777" w:rsidR="00676ACD" w:rsidRPr="00E72B1E" w:rsidRDefault="00676ACD" w:rsidP="007B5579">
      <w:pPr>
        <w:pStyle w:val="DVABulletnoparaspace"/>
      </w:pPr>
      <w:r w:rsidRPr="00E72B1E">
        <w:t xml:space="preserve">Ensuring their program, group, office and departmental leadership teams play an important role in nurturing and fostering this culture, through explicit and ongoing support </w:t>
      </w:r>
    </w:p>
    <w:p w14:paraId="0F63F789" w14:textId="77777777" w:rsidR="00676ACD" w:rsidRPr="00E72B1E" w:rsidRDefault="00676ACD" w:rsidP="007B5579">
      <w:pPr>
        <w:pStyle w:val="DVABulletnoparaspace"/>
      </w:pPr>
      <w:r w:rsidRPr="00E72B1E">
        <w:t xml:space="preserve">Establishing peer learning structures </w:t>
      </w:r>
    </w:p>
    <w:p w14:paraId="091BEADC" w14:textId="77777777" w:rsidR="00676ACD" w:rsidRPr="00E72B1E" w:rsidRDefault="00676ACD" w:rsidP="007B5579">
      <w:pPr>
        <w:pStyle w:val="DVABulletnoparaspace"/>
      </w:pPr>
      <w:r w:rsidRPr="00E72B1E">
        <w:t xml:space="preserve">Accessing quality evaluation information resources </w:t>
      </w:r>
    </w:p>
    <w:p w14:paraId="0F0DB438" w14:textId="77777777" w:rsidR="00676ACD" w:rsidRPr="00E72B1E" w:rsidRDefault="00676ACD" w:rsidP="007B5579">
      <w:pPr>
        <w:pStyle w:val="DVABulletnoparaspace"/>
      </w:pPr>
      <w:r w:rsidRPr="00E72B1E">
        <w:t xml:space="preserve">Obtaining buy-in from all staff </w:t>
      </w:r>
    </w:p>
    <w:p w14:paraId="1BC787F6" w14:textId="77777777" w:rsidR="00676ACD" w:rsidRPr="00E72B1E" w:rsidRDefault="00676ACD" w:rsidP="007B5579">
      <w:pPr>
        <w:pStyle w:val="DVABulletnoparaspace"/>
        <w:spacing w:after="240"/>
      </w:pPr>
      <w:r w:rsidRPr="00E72B1E">
        <w:t>Establishing required infrastructure to support evaluation processes and communication, including necessary governance structures</w:t>
      </w:r>
      <w:r>
        <w:t xml:space="preserve"> </w:t>
      </w:r>
      <w:sdt>
        <w:sdtPr>
          <w:id w:val="-158088391"/>
          <w:lock w:val="contentLocked"/>
          <w:placeholder>
            <w:docPart w:val="047A3185A5114E439E908369E75246D2"/>
          </w:placeholder>
          <w:citation/>
        </w:sdtPr>
        <w:sdtEndPr/>
        <w:sdtContent>
          <w:r w:rsidRPr="00E72B1E">
            <w:fldChar w:fldCharType="begin"/>
          </w:r>
          <w:r w:rsidRPr="00E72B1E">
            <w:instrText xml:space="preserve"> CITATION Que20 \l 3081 </w:instrText>
          </w:r>
          <w:r w:rsidRPr="00E72B1E">
            <w:fldChar w:fldCharType="separate"/>
          </w:r>
          <w:r>
            <w:rPr>
              <w:noProof/>
            </w:rPr>
            <w:t>(37)</w:t>
          </w:r>
          <w:r w:rsidRPr="00E72B1E">
            <w:fldChar w:fldCharType="end"/>
          </w:r>
        </w:sdtContent>
      </w:sdt>
      <w:r w:rsidRPr="00E72B1E">
        <w:t xml:space="preserve"> </w:t>
      </w:r>
      <w:sdt>
        <w:sdtPr>
          <w:id w:val="-651139261"/>
          <w:lock w:val="contentLocked"/>
          <w:placeholder>
            <w:docPart w:val="047A3185A5114E439E908369E75246D2"/>
          </w:placeholder>
          <w:citation/>
        </w:sdtPr>
        <w:sdtEndPr/>
        <w:sdtContent>
          <w:r w:rsidRPr="00E72B1E">
            <w:fldChar w:fldCharType="begin"/>
          </w:r>
          <w:r w:rsidRPr="00E72B1E">
            <w:instrText xml:space="preserve"> CITATION Edw16 \l 3081 </w:instrText>
          </w:r>
          <w:r w:rsidRPr="00E72B1E">
            <w:fldChar w:fldCharType="separate"/>
          </w:r>
          <w:r>
            <w:rPr>
              <w:noProof/>
            </w:rPr>
            <w:t>(25)</w:t>
          </w:r>
          <w:r w:rsidRPr="00E72B1E">
            <w:fldChar w:fldCharType="end"/>
          </w:r>
        </w:sdtContent>
      </w:sdt>
      <w:r w:rsidRPr="00E72B1E">
        <w:t xml:space="preserve"> </w:t>
      </w:r>
      <w:sdt>
        <w:sdtPr>
          <w:id w:val="-569199476"/>
          <w:lock w:val="contentLocked"/>
          <w:placeholder>
            <w:docPart w:val="047A3185A5114E439E908369E75246D2"/>
          </w:placeholder>
          <w:citation/>
        </w:sdtPr>
        <w:sdtEndPr/>
        <w:sdtContent>
          <w:r w:rsidRPr="00E72B1E">
            <w:fldChar w:fldCharType="begin"/>
          </w:r>
          <w:r w:rsidRPr="00E72B1E">
            <w:instrText xml:space="preserve"> CITATION Vol07 \l 3081 </w:instrText>
          </w:r>
          <w:r w:rsidRPr="00E72B1E">
            <w:fldChar w:fldCharType="separate"/>
          </w:r>
          <w:r>
            <w:rPr>
              <w:noProof/>
            </w:rPr>
            <w:t>(45)</w:t>
          </w:r>
          <w:r w:rsidRPr="00E72B1E">
            <w:fldChar w:fldCharType="end"/>
          </w:r>
        </w:sdtContent>
      </w:sdt>
      <w:r>
        <w:t>.</w:t>
      </w:r>
    </w:p>
    <w:p w14:paraId="50B7A402" w14:textId="77777777" w:rsidR="00676ACD" w:rsidRDefault="00676ACD" w:rsidP="007B5579">
      <w:pPr>
        <w:pStyle w:val="DVABulletnoparaspace"/>
        <w:numPr>
          <w:ilvl w:val="0"/>
          <w:numId w:val="0"/>
        </w:numPr>
        <w:spacing w:after="240"/>
      </w:pPr>
    </w:p>
    <w:p w14:paraId="301BD10C" w14:textId="5EABC27B" w:rsidR="00676ACD" w:rsidRPr="00E72B1E" w:rsidRDefault="00676ACD" w:rsidP="007B5579">
      <w:pPr>
        <w:pStyle w:val="DVABulletnoparaspace"/>
        <w:numPr>
          <w:ilvl w:val="0"/>
          <w:numId w:val="0"/>
        </w:numPr>
        <w:spacing w:after="240"/>
      </w:pPr>
      <w:r>
        <w:lastRenderedPageBreak/>
        <w:fldChar w:fldCharType="begin"/>
      </w:r>
      <w:r>
        <w:instrText xml:space="preserve"> REF _Ref106736909 \h </w:instrText>
      </w:r>
      <w:r>
        <w:fldChar w:fldCharType="separate"/>
      </w:r>
      <w:r w:rsidR="00812188">
        <w:t xml:space="preserve">Figure </w:t>
      </w:r>
      <w:r w:rsidR="00812188">
        <w:rPr>
          <w:noProof/>
        </w:rPr>
        <w:t>7</w:t>
      </w:r>
      <w:r>
        <w:fldChar w:fldCharType="end"/>
      </w:r>
      <w:r>
        <w:t xml:space="preserve"> outlines additional activities recommended in the Commonwealth Evaluation Policy </w:t>
      </w:r>
      <w:sdt>
        <w:sdtPr>
          <w:id w:val="-310945437"/>
          <w:citation/>
        </w:sdtPr>
        <w:sdtEndPr/>
        <w:sdtContent>
          <w:r w:rsidR="00710993">
            <w:fldChar w:fldCharType="begin"/>
          </w:r>
          <w:r w:rsidR="00710993">
            <w:instrText xml:space="preserve"> CITATION Aus221 \l 3081 </w:instrText>
          </w:r>
          <w:r w:rsidR="00710993">
            <w:fldChar w:fldCharType="separate"/>
          </w:r>
          <w:r w:rsidR="00710993">
            <w:rPr>
              <w:noProof/>
            </w:rPr>
            <w:t>(46)</w:t>
          </w:r>
          <w:r w:rsidR="00710993">
            <w:fldChar w:fldCharType="end"/>
          </w:r>
        </w:sdtContent>
      </w:sdt>
      <w:r>
        <w:t xml:space="preserve"> to support the development of organisational evaluative culture.</w:t>
      </w:r>
    </w:p>
    <w:p w14:paraId="362F778D" w14:textId="229529DC" w:rsidR="00676ACD" w:rsidRDefault="00676ACD" w:rsidP="005F4820">
      <w:pPr>
        <w:pStyle w:val="Caption"/>
        <w:tabs>
          <w:tab w:val="clear" w:pos="1134"/>
        </w:tabs>
        <w:jc w:val="both"/>
      </w:pPr>
      <w:bookmarkStart w:id="101" w:name="_Ref106736909"/>
      <w:r>
        <w:t xml:space="preserve">Figure </w:t>
      </w:r>
      <w:r>
        <w:fldChar w:fldCharType="begin"/>
      </w:r>
      <w:r>
        <w:instrText xml:space="preserve"> SEQ Figure \* ARABIC </w:instrText>
      </w:r>
      <w:r>
        <w:fldChar w:fldCharType="separate"/>
      </w:r>
      <w:r w:rsidR="00812188">
        <w:rPr>
          <w:noProof/>
        </w:rPr>
        <w:t>7</w:t>
      </w:r>
      <w:r>
        <w:fldChar w:fldCharType="end"/>
      </w:r>
      <w:bookmarkEnd w:id="101"/>
      <w:r>
        <w:t xml:space="preserve">. Policy spotlight - evaluative culture in the Commonwealth </w:t>
      </w:r>
      <w:sdt>
        <w:sdtPr>
          <w:id w:val="1788077376"/>
          <w:citation/>
        </w:sdtPr>
        <w:sdtEndPr/>
        <w:sdtContent>
          <w:r>
            <w:fldChar w:fldCharType="begin"/>
          </w:r>
          <w:r>
            <w:instrText xml:space="preserve"> CITATION Aus22 \l 3081 </w:instrText>
          </w:r>
          <w:r>
            <w:fldChar w:fldCharType="separate"/>
          </w:r>
          <w:r w:rsidR="00710993">
            <w:rPr>
              <w:noProof/>
            </w:rPr>
            <w:t>(5)</w:t>
          </w:r>
          <w:r>
            <w:fldChar w:fldCharType="end"/>
          </w:r>
        </w:sdtContent>
      </w:sdt>
    </w:p>
    <w:p w14:paraId="33658CB8" w14:textId="0BDC4015" w:rsidR="005F4820" w:rsidRDefault="00B87903" w:rsidP="007B5579">
      <w:pPr>
        <w:pStyle w:val="DVABodytextwithparaspace"/>
      </w:pPr>
      <w:r>
        <w:rPr>
          <w:noProof/>
          <w:lang w:eastAsia="en-AU"/>
        </w:rPr>
        <w:drawing>
          <wp:inline distT="0" distB="0" distL="0" distR="0" wp14:anchorId="1B932A31" wp14:editId="72A85ABD">
            <wp:extent cx="6122035" cy="294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035" cy="2940050"/>
                    </a:xfrm>
                    <a:prstGeom prst="rect">
                      <a:avLst/>
                    </a:prstGeom>
                  </pic:spPr>
                </pic:pic>
              </a:graphicData>
            </a:graphic>
          </wp:inline>
        </w:drawing>
      </w:r>
    </w:p>
    <w:p w14:paraId="5F6A2543" w14:textId="32637CB3" w:rsidR="00676ACD" w:rsidRDefault="00676ACD" w:rsidP="007B5579">
      <w:pPr>
        <w:pStyle w:val="DVABodytextwithparaspace"/>
      </w:pPr>
      <w:r w:rsidRPr="00092A27">
        <w:t>It is intuitive to draw the link between evaluation capability, specifically the ability of staff to understand and undertake all key elements of the evaluation process (from designing to implementing</w:t>
      </w:r>
      <w:r>
        <w:t xml:space="preserve"> and </w:t>
      </w:r>
      <w:r w:rsidRPr="00092A27">
        <w:t xml:space="preserve">reporting) </w:t>
      </w:r>
      <w:r>
        <w:t>and</w:t>
      </w:r>
      <w:r w:rsidRPr="00092A27">
        <w:t xml:space="preserve"> the production of high-quality evaluations. However it is important to recognise that the establishment and development of evaluation capability is dependent on a strong organisational culture which values evaluative thinking, and embeds evaluation activities into organisational practice with the right policies, procedures, people and equipment to support </w:t>
      </w:r>
      <w:sdt>
        <w:sdtPr>
          <w:id w:val="922840993"/>
          <w:citation/>
        </w:sdtPr>
        <w:sdtEndPr/>
        <w:sdtContent>
          <w:r w:rsidRPr="00092A27">
            <w:fldChar w:fldCharType="begin"/>
          </w:r>
          <w:r w:rsidRPr="00092A27">
            <w:instrText xml:space="preserve">CITATION Que20 \l 3081 </w:instrText>
          </w:r>
          <w:r w:rsidRPr="00092A27">
            <w:fldChar w:fldCharType="separate"/>
          </w:r>
          <w:r w:rsidR="00710993">
            <w:rPr>
              <w:noProof/>
            </w:rPr>
            <w:t>(37)</w:t>
          </w:r>
          <w:r w:rsidRPr="00092A27">
            <w:fldChar w:fldCharType="end"/>
          </w:r>
        </w:sdtContent>
      </w:sdt>
      <w:r w:rsidRPr="00092A27">
        <w:t xml:space="preserve"> as well as invests both time and resources in training and development </w:t>
      </w:r>
      <w:sdt>
        <w:sdtPr>
          <w:id w:val="-1454865853"/>
          <w:citation/>
        </w:sdtPr>
        <w:sdtEndPr/>
        <w:sdtContent>
          <w:r w:rsidRPr="00092A27">
            <w:fldChar w:fldCharType="begin"/>
          </w:r>
          <w:r w:rsidRPr="00092A27">
            <w:instrText xml:space="preserve">CITATION Que20 \l 3081 </w:instrText>
          </w:r>
          <w:r w:rsidRPr="00092A27">
            <w:fldChar w:fldCharType="separate"/>
          </w:r>
          <w:r w:rsidR="00710993">
            <w:rPr>
              <w:noProof/>
            </w:rPr>
            <w:t>(37)</w:t>
          </w:r>
          <w:r w:rsidRPr="00092A27">
            <w:fldChar w:fldCharType="end"/>
          </w:r>
        </w:sdtContent>
      </w:sdt>
      <w:sdt>
        <w:sdtPr>
          <w:id w:val="-1627461519"/>
          <w:citation/>
        </w:sdtPr>
        <w:sdtEndPr/>
        <w:sdtContent>
          <w:r w:rsidRPr="00092A27">
            <w:fldChar w:fldCharType="begin"/>
          </w:r>
          <w:r w:rsidRPr="00092A27">
            <w:instrText xml:space="preserve">CITATION Edw16 \l 3081 </w:instrText>
          </w:r>
          <w:r w:rsidRPr="00092A27">
            <w:fldChar w:fldCharType="separate"/>
          </w:r>
          <w:r w:rsidR="00710993">
            <w:rPr>
              <w:noProof/>
            </w:rPr>
            <w:t xml:space="preserve"> (25)</w:t>
          </w:r>
          <w:r w:rsidRPr="00092A27">
            <w:fldChar w:fldCharType="end"/>
          </w:r>
        </w:sdtContent>
      </w:sdt>
      <w:r w:rsidRPr="00092A27">
        <w:t>.</w:t>
      </w:r>
    </w:p>
    <w:p w14:paraId="062458C7" w14:textId="77777777" w:rsidR="00676ACD" w:rsidRPr="00E72B1E" w:rsidRDefault="00676ACD" w:rsidP="009014F6">
      <w:pPr>
        <w:pStyle w:val="Heading3numbered"/>
      </w:pPr>
      <w:bookmarkStart w:id="102" w:name="_Ref105699097"/>
      <w:bookmarkStart w:id="103" w:name="_Toc110956291"/>
      <w:r>
        <w:t>A systematic approach is used when prioritising programs for evaluation</w:t>
      </w:r>
      <w:bookmarkEnd w:id="102"/>
      <w:bookmarkEnd w:id="103"/>
    </w:p>
    <w:p w14:paraId="3B6E912D" w14:textId="409395DC" w:rsidR="00676ACD" w:rsidRPr="00E72B1E" w:rsidRDefault="00676ACD" w:rsidP="007B5579">
      <w:pPr>
        <w:pStyle w:val="DVABodytextwithparaspace"/>
      </w:pPr>
      <w:r w:rsidRPr="00F15C61">
        <w:t>This section was informed</w:t>
      </w:r>
      <w:r>
        <w:t xml:space="preserve"> by policy documents by </w:t>
      </w:r>
      <w:r w:rsidRPr="00F15C61">
        <w:t>Australian Government Department of Finance</w:t>
      </w:r>
      <w:r w:rsidR="006D10F5">
        <w:t xml:space="preserve"> (now Australian Centre for Evaluation)</w:t>
      </w:r>
      <w:sdt>
        <w:sdtPr>
          <w:id w:val="-400600113"/>
          <w:citation/>
        </w:sdtPr>
        <w:sdtEndPr/>
        <w:sdtContent>
          <w:r>
            <w:fldChar w:fldCharType="begin"/>
          </w:r>
          <w:r>
            <w:instrText xml:space="preserve"> CITATION Aus21 \l 3081 </w:instrText>
          </w:r>
          <w:r>
            <w:fldChar w:fldCharType="separate"/>
          </w:r>
          <w:r w:rsidR="00710993">
            <w:rPr>
              <w:noProof/>
            </w:rPr>
            <w:t xml:space="preserve"> (2)</w:t>
          </w:r>
          <w:r>
            <w:fldChar w:fldCharType="end"/>
          </w:r>
        </w:sdtContent>
      </w:sdt>
      <w:sdt>
        <w:sdtPr>
          <w:id w:val="-23725385"/>
          <w:citation/>
        </w:sdtPr>
        <w:sdtEndPr/>
        <w:sdtContent>
          <w:r>
            <w:fldChar w:fldCharType="begin"/>
          </w:r>
          <w:r>
            <w:instrText xml:space="preserve"> CITATION Aus22 \l 3081 </w:instrText>
          </w:r>
          <w:r>
            <w:fldChar w:fldCharType="separate"/>
          </w:r>
          <w:r w:rsidR="00710993">
            <w:rPr>
              <w:noProof/>
            </w:rPr>
            <w:t xml:space="preserve"> (5)</w:t>
          </w:r>
          <w:r>
            <w:fldChar w:fldCharType="end"/>
          </w:r>
        </w:sdtContent>
      </w:sdt>
      <w:sdt>
        <w:sdtPr>
          <w:id w:val="1693176945"/>
          <w:citation/>
        </w:sdtPr>
        <w:sdtEndPr/>
        <w:sdtContent>
          <w:r>
            <w:fldChar w:fldCharType="begin"/>
          </w:r>
          <w:r>
            <w:instrText xml:space="preserve"> CITATION Aus23 \l 3081 </w:instrText>
          </w:r>
          <w:r>
            <w:fldChar w:fldCharType="separate"/>
          </w:r>
          <w:r w:rsidR="00710993">
            <w:rPr>
              <w:noProof/>
            </w:rPr>
            <w:t xml:space="preserve"> (8)</w:t>
          </w:r>
          <w:r>
            <w:fldChar w:fldCharType="end"/>
          </w:r>
        </w:sdtContent>
      </w:sdt>
      <w:r>
        <w:t xml:space="preserve"> and </w:t>
      </w:r>
      <w:r w:rsidRPr="00F15C61">
        <w:t>NSW Government Department of Premier and Cabinet</w:t>
      </w:r>
      <w:sdt>
        <w:sdtPr>
          <w:id w:val="1980953943"/>
          <w:citation/>
        </w:sdtPr>
        <w:sdtEndPr/>
        <w:sdtContent>
          <w:r>
            <w:fldChar w:fldCharType="begin"/>
          </w:r>
          <w:r>
            <w:instrText xml:space="preserve"> CITATION NSW2016 \l 3081 </w:instrText>
          </w:r>
          <w:r>
            <w:fldChar w:fldCharType="separate"/>
          </w:r>
          <w:r w:rsidR="00710993">
            <w:rPr>
              <w:noProof/>
            </w:rPr>
            <w:t xml:space="preserve"> (28)</w:t>
          </w:r>
          <w:r>
            <w:fldChar w:fldCharType="end"/>
          </w:r>
        </w:sdtContent>
      </w:sdt>
      <w:r>
        <w:t xml:space="preserve">. It is not </w:t>
      </w:r>
      <w:r w:rsidRPr="00E72B1E">
        <w:t>feasible, appropriate or cost-effective to evaluate all health programs, recognising that in some cases performance monitoring alone will meet Commonwealth performance reporting requirements</w:t>
      </w:r>
      <w:sdt>
        <w:sdtPr>
          <w:id w:val="-434433407"/>
          <w:citation/>
        </w:sdtPr>
        <w:sdtEndPr/>
        <w:sdtContent>
          <w:r w:rsidRPr="00E72B1E">
            <w:fldChar w:fldCharType="begin"/>
          </w:r>
          <w:r w:rsidRPr="00E72B1E">
            <w:instrText xml:space="preserve"> CITATION Aus23 \l 3081 </w:instrText>
          </w:r>
          <w:r w:rsidRPr="00E72B1E">
            <w:fldChar w:fldCharType="separate"/>
          </w:r>
          <w:r w:rsidR="00710993">
            <w:rPr>
              <w:noProof/>
            </w:rPr>
            <w:t xml:space="preserve"> (8)</w:t>
          </w:r>
          <w:r w:rsidRPr="00E72B1E">
            <w:fldChar w:fldCharType="end"/>
          </w:r>
        </w:sdtContent>
      </w:sdt>
      <w:r w:rsidRPr="00E72B1E">
        <w:t>. Therefore</w:t>
      </w:r>
      <w:r>
        <w:t>,</w:t>
      </w:r>
      <w:r w:rsidRPr="00E72B1E">
        <w:t xml:space="preserve"> it is recommended that program managers take a strategic, risk-based approach to identifying and prioritising programs for evaluation, based on program size, strategic significance and risk profile</w:t>
      </w:r>
      <w:sdt>
        <w:sdtPr>
          <w:id w:val="-1960409236"/>
          <w:citation/>
        </w:sdtPr>
        <w:sdtEndPr/>
        <w:sdtContent>
          <w:r>
            <w:fldChar w:fldCharType="begin"/>
          </w:r>
          <w:r>
            <w:instrText xml:space="preserve">CITATION NSW2016 \l 3081 </w:instrText>
          </w:r>
          <w:r>
            <w:fldChar w:fldCharType="separate"/>
          </w:r>
          <w:r w:rsidR="00710993">
            <w:rPr>
              <w:noProof/>
            </w:rPr>
            <w:t xml:space="preserve"> (28)</w:t>
          </w:r>
          <w:r>
            <w:fldChar w:fldCharType="end"/>
          </w:r>
        </w:sdtContent>
      </w:sdt>
      <w:sdt>
        <w:sdtPr>
          <w:id w:val="-865755164"/>
          <w:citation/>
        </w:sdtPr>
        <w:sdtEndPr/>
        <w:sdtContent>
          <w:r w:rsidRPr="00E72B1E">
            <w:fldChar w:fldCharType="begin"/>
          </w:r>
          <w:r w:rsidRPr="00E72B1E">
            <w:instrText xml:space="preserve"> CITATION Aus23 \l 3081 </w:instrText>
          </w:r>
          <w:r w:rsidRPr="00E72B1E">
            <w:fldChar w:fldCharType="separate"/>
          </w:r>
          <w:r w:rsidR="00710993">
            <w:rPr>
              <w:noProof/>
            </w:rPr>
            <w:t xml:space="preserve"> (8)</w:t>
          </w:r>
          <w:r w:rsidRPr="00E72B1E">
            <w:fldChar w:fldCharType="end"/>
          </w:r>
        </w:sdtContent>
      </w:sdt>
      <w:r w:rsidRPr="00E72B1E">
        <w:t>.</w:t>
      </w:r>
    </w:p>
    <w:p w14:paraId="1BC43EBF" w14:textId="44DD08AD" w:rsidR="00676ACD" w:rsidRPr="00E72B1E" w:rsidRDefault="00676ACD" w:rsidP="007B5579">
      <w:pPr>
        <w:pStyle w:val="DVABodytextwithparaspace"/>
      </w:pPr>
      <w:r>
        <w:t xml:space="preserve">There are no definitive criteria for identifying programs appropriate for evaluation. However, several program </w:t>
      </w:r>
      <w:r w:rsidRPr="00E72B1E">
        <w:t>characteristics can be considered when deciding whether</w:t>
      </w:r>
      <w:r>
        <w:t xml:space="preserve"> </w:t>
      </w:r>
      <w:r w:rsidRPr="00E72B1E">
        <w:t>to evaluate a program</w:t>
      </w:r>
      <w:r>
        <w:t xml:space="preserve">. These </w:t>
      </w:r>
      <w:r w:rsidRPr="00E72B1E">
        <w:t>are detailed in</w:t>
      </w:r>
      <w:r w:rsidR="00945EC4">
        <w:t xml:space="preserve"> </w:t>
      </w:r>
      <w:r w:rsidR="00945EC4">
        <w:fldChar w:fldCharType="begin"/>
      </w:r>
      <w:r w:rsidR="00945EC4">
        <w:instrText xml:space="preserve"> REF _Ref107305875 \h </w:instrText>
      </w:r>
      <w:r w:rsidR="00945EC4">
        <w:fldChar w:fldCharType="separate"/>
      </w:r>
      <w:r w:rsidR="00812188" w:rsidRPr="00E72B1E">
        <w:t xml:space="preserve">Table </w:t>
      </w:r>
      <w:r w:rsidR="00812188">
        <w:rPr>
          <w:noProof/>
        </w:rPr>
        <w:t>8</w:t>
      </w:r>
      <w:r w:rsidR="00945EC4">
        <w:fldChar w:fldCharType="end"/>
      </w:r>
      <w:r>
        <w:t>.</w:t>
      </w:r>
    </w:p>
    <w:p w14:paraId="52A7DF3B" w14:textId="39775AE9" w:rsidR="00676ACD" w:rsidRPr="00E72B1E" w:rsidRDefault="00B031C7" w:rsidP="007B5579">
      <w:pPr>
        <w:pStyle w:val="Caption"/>
      </w:pPr>
      <w:bookmarkStart w:id="104" w:name="_Ref104668631"/>
      <w:bookmarkStart w:id="105" w:name="_Ref104668417"/>
      <w:r>
        <w:br w:type="column"/>
      </w:r>
      <w:bookmarkStart w:id="106" w:name="_Ref107305875"/>
      <w:r w:rsidR="00676ACD" w:rsidRPr="00E72B1E">
        <w:lastRenderedPageBreak/>
        <w:t xml:space="preserve">Table </w:t>
      </w:r>
      <w:r w:rsidR="00676ACD" w:rsidRPr="00E72B1E">
        <w:fldChar w:fldCharType="begin"/>
      </w:r>
      <w:r w:rsidR="00676ACD" w:rsidRPr="00E72B1E">
        <w:instrText xml:space="preserve"> SEQ Table \* ARABIC </w:instrText>
      </w:r>
      <w:r w:rsidR="00676ACD" w:rsidRPr="00E72B1E">
        <w:fldChar w:fldCharType="separate"/>
      </w:r>
      <w:r w:rsidR="00812188">
        <w:rPr>
          <w:noProof/>
        </w:rPr>
        <w:t>8</w:t>
      </w:r>
      <w:r w:rsidR="00676ACD" w:rsidRPr="00E72B1E">
        <w:fldChar w:fldCharType="end"/>
      </w:r>
      <w:bookmarkEnd w:id="104"/>
      <w:bookmarkEnd w:id="106"/>
      <w:r w:rsidR="00676ACD" w:rsidRPr="00E72B1E">
        <w:t>. Program characteristics that can inform the decision on whether to evaluate a health program</w:t>
      </w:r>
      <w:bookmarkEnd w:id="105"/>
      <w:r w:rsidR="00676ACD" w:rsidRPr="00E72B1E">
        <w:t xml:space="preserve"> </w:t>
      </w:r>
      <w:sdt>
        <w:sdtPr>
          <w:id w:val="-133570051"/>
          <w:citation/>
        </w:sdtPr>
        <w:sdtEndPr/>
        <w:sdtContent>
          <w:r w:rsidR="00676ACD">
            <w:fldChar w:fldCharType="begin"/>
          </w:r>
          <w:r w:rsidR="00676ACD">
            <w:instrText xml:space="preserve">CITATION NSW2016 \l 3081 </w:instrText>
          </w:r>
          <w:r w:rsidR="00676ACD">
            <w:fldChar w:fldCharType="separate"/>
          </w:r>
          <w:r w:rsidR="00710993">
            <w:rPr>
              <w:noProof/>
            </w:rPr>
            <w:t>(28)</w:t>
          </w:r>
          <w:r w:rsidR="00676ACD">
            <w:fldChar w:fldCharType="end"/>
          </w:r>
        </w:sdtContent>
      </w:sdt>
      <w:r w:rsidR="00676ACD">
        <w:t xml:space="preserve"> </w:t>
      </w:r>
      <w:sdt>
        <w:sdtPr>
          <w:id w:val="1680938167"/>
          <w:citation/>
        </w:sdtPr>
        <w:sdtEndPr/>
        <w:sdtContent>
          <w:r w:rsidR="00676ACD" w:rsidRPr="00E72B1E">
            <w:fldChar w:fldCharType="begin"/>
          </w:r>
          <w:r w:rsidR="00676ACD" w:rsidRPr="00E72B1E">
            <w:instrText xml:space="preserve"> CITATION Aus23 \l 3081 </w:instrText>
          </w:r>
          <w:r w:rsidR="00676ACD" w:rsidRPr="00E72B1E">
            <w:fldChar w:fldCharType="separate"/>
          </w:r>
          <w:r w:rsidR="00710993">
            <w:rPr>
              <w:noProof/>
            </w:rPr>
            <w:t>(8)</w:t>
          </w:r>
          <w:r w:rsidR="00676ACD" w:rsidRPr="00E72B1E">
            <w:fldChar w:fldCharType="end"/>
          </w:r>
        </w:sdtContent>
      </w:sdt>
    </w:p>
    <w:tbl>
      <w:tblPr>
        <w:tblStyle w:val="TableGrid"/>
        <w:tblW w:w="0" w:type="auto"/>
        <w:tblLook w:val="04A0" w:firstRow="1" w:lastRow="0" w:firstColumn="1" w:lastColumn="0" w:noHBand="0" w:noVBand="1"/>
      </w:tblPr>
      <w:tblGrid>
        <w:gridCol w:w="2405"/>
        <w:gridCol w:w="6509"/>
      </w:tblGrid>
      <w:tr w:rsidR="00676ACD" w:rsidRPr="00E72B1E" w14:paraId="475EC127" w14:textId="77777777" w:rsidTr="007B5579">
        <w:trPr>
          <w:trHeight w:val="278"/>
          <w:tblHeader/>
        </w:trPr>
        <w:tc>
          <w:tcPr>
            <w:tcW w:w="2405" w:type="dxa"/>
            <w:shd w:val="clear" w:color="auto" w:fill="1D3567"/>
          </w:tcPr>
          <w:p w14:paraId="0D2BBCF8" w14:textId="77777777" w:rsidR="00676ACD" w:rsidRPr="00E72B1E" w:rsidRDefault="00676ACD" w:rsidP="007B5579">
            <w:pPr>
              <w:pStyle w:val="DVA1Number"/>
              <w:numPr>
                <w:ilvl w:val="0"/>
                <w:numId w:val="0"/>
              </w:numPr>
              <w:rPr>
                <w:b/>
                <w:bCs/>
                <w:sz w:val="16"/>
                <w:szCs w:val="16"/>
              </w:rPr>
            </w:pPr>
            <w:r w:rsidRPr="00E72B1E">
              <w:rPr>
                <w:b/>
                <w:bCs/>
                <w:sz w:val="16"/>
                <w:szCs w:val="16"/>
              </w:rPr>
              <w:t>Program characteristic</w:t>
            </w:r>
          </w:p>
        </w:tc>
        <w:tc>
          <w:tcPr>
            <w:tcW w:w="6509" w:type="dxa"/>
            <w:shd w:val="clear" w:color="auto" w:fill="1D3567"/>
          </w:tcPr>
          <w:p w14:paraId="61FD2419" w14:textId="77777777" w:rsidR="00676ACD" w:rsidRPr="00E72B1E" w:rsidRDefault="00676ACD" w:rsidP="007B5579">
            <w:pPr>
              <w:pStyle w:val="DVA1Number"/>
              <w:numPr>
                <w:ilvl w:val="0"/>
                <w:numId w:val="0"/>
              </w:numPr>
              <w:rPr>
                <w:b/>
                <w:bCs/>
                <w:sz w:val="16"/>
                <w:szCs w:val="16"/>
              </w:rPr>
            </w:pPr>
            <w:r w:rsidRPr="00E72B1E">
              <w:rPr>
                <w:b/>
                <w:bCs/>
                <w:sz w:val="16"/>
                <w:szCs w:val="16"/>
              </w:rPr>
              <w:t>Details</w:t>
            </w:r>
          </w:p>
        </w:tc>
      </w:tr>
      <w:tr w:rsidR="00676ACD" w:rsidRPr="00E72B1E" w14:paraId="58999200" w14:textId="77777777" w:rsidTr="007B5579">
        <w:trPr>
          <w:trHeight w:val="285"/>
        </w:trPr>
        <w:tc>
          <w:tcPr>
            <w:tcW w:w="2405" w:type="dxa"/>
          </w:tcPr>
          <w:p w14:paraId="1924C87E" w14:textId="77777777" w:rsidR="00676ACD" w:rsidRPr="00E72B1E" w:rsidRDefault="00676ACD" w:rsidP="007B5579">
            <w:pPr>
              <w:pStyle w:val="DVA1Number"/>
              <w:numPr>
                <w:ilvl w:val="0"/>
                <w:numId w:val="0"/>
              </w:numPr>
              <w:spacing w:after="0"/>
              <w:rPr>
                <w:sz w:val="16"/>
                <w:szCs w:val="16"/>
              </w:rPr>
            </w:pPr>
            <w:r w:rsidRPr="00E72B1E">
              <w:rPr>
                <w:sz w:val="16"/>
                <w:szCs w:val="16"/>
              </w:rPr>
              <w:t>Priority</w:t>
            </w:r>
          </w:p>
        </w:tc>
        <w:tc>
          <w:tcPr>
            <w:tcW w:w="6509" w:type="dxa"/>
          </w:tcPr>
          <w:p w14:paraId="332C3CA7" w14:textId="77777777" w:rsidR="00676ACD" w:rsidRPr="00E72B1E" w:rsidRDefault="00676ACD" w:rsidP="007B5579">
            <w:pPr>
              <w:pStyle w:val="DVABulletnoparaspace"/>
              <w:rPr>
                <w:sz w:val="16"/>
              </w:rPr>
            </w:pPr>
            <w:r w:rsidRPr="00E72B1E">
              <w:rPr>
                <w:sz w:val="16"/>
              </w:rPr>
              <w:t>Is the program a government initiative or directly a strategic priority or connected to a government priority?</w:t>
            </w:r>
          </w:p>
          <w:p w14:paraId="431F92F5" w14:textId="77777777" w:rsidR="00676ACD" w:rsidRPr="00E72B1E" w:rsidRDefault="00676ACD" w:rsidP="007B5579">
            <w:pPr>
              <w:pStyle w:val="DVABulletnoparaspace"/>
              <w:rPr>
                <w:sz w:val="16"/>
              </w:rPr>
            </w:pPr>
            <w:r w:rsidRPr="00E72B1E">
              <w:rPr>
                <w:sz w:val="16"/>
              </w:rPr>
              <w:t>Is there a Cabinet or ministerial directive to undertake a comprehensive evaluation?</w:t>
            </w:r>
          </w:p>
          <w:p w14:paraId="2D559500" w14:textId="77777777" w:rsidR="00676ACD" w:rsidRPr="00E72B1E" w:rsidRDefault="00676ACD" w:rsidP="007B5579">
            <w:pPr>
              <w:pStyle w:val="DVABulletnoparaspace"/>
              <w:rPr>
                <w:sz w:val="16"/>
              </w:rPr>
            </w:pPr>
            <w:r w:rsidRPr="00E72B1E">
              <w:rPr>
                <w:sz w:val="16"/>
              </w:rPr>
              <w:t>Is there a Ministerial Statement of Expectations?</w:t>
            </w:r>
          </w:p>
          <w:p w14:paraId="4741EC3A" w14:textId="77777777" w:rsidR="00676ACD" w:rsidRPr="00E72B1E" w:rsidRDefault="00676ACD" w:rsidP="007B5579">
            <w:pPr>
              <w:pStyle w:val="DVABulletnoparaspace"/>
              <w:rPr>
                <w:sz w:val="16"/>
              </w:rPr>
            </w:pPr>
            <w:r w:rsidRPr="00E72B1E">
              <w:rPr>
                <w:sz w:val="16"/>
              </w:rPr>
              <w:t>Is the program a priority issue for the sector or other key stakeholders?</w:t>
            </w:r>
          </w:p>
          <w:p w14:paraId="471054FF" w14:textId="77777777" w:rsidR="00676ACD" w:rsidRPr="00E72B1E" w:rsidRDefault="00676ACD" w:rsidP="007B5579">
            <w:pPr>
              <w:pStyle w:val="DVABulletnoparaspace"/>
              <w:rPr>
                <w:sz w:val="16"/>
              </w:rPr>
            </w:pPr>
            <w:r w:rsidRPr="00E72B1E">
              <w:rPr>
                <w:sz w:val="16"/>
              </w:rPr>
              <w:t>Does the program have an important relationship to other program areas?</w:t>
            </w:r>
          </w:p>
        </w:tc>
      </w:tr>
      <w:tr w:rsidR="00676ACD" w:rsidRPr="00E72B1E" w14:paraId="38E41B4B" w14:textId="77777777" w:rsidTr="007B5579">
        <w:trPr>
          <w:trHeight w:val="193"/>
        </w:trPr>
        <w:tc>
          <w:tcPr>
            <w:tcW w:w="2405" w:type="dxa"/>
          </w:tcPr>
          <w:p w14:paraId="16830243" w14:textId="77777777" w:rsidR="00676ACD" w:rsidRPr="00E72B1E" w:rsidRDefault="00676ACD" w:rsidP="007B5579">
            <w:pPr>
              <w:pStyle w:val="DVA1Number"/>
              <w:numPr>
                <w:ilvl w:val="0"/>
                <w:numId w:val="0"/>
              </w:numPr>
              <w:spacing w:after="0"/>
              <w:rPr>
                <w:sz w:val="16"/>
                <w:szCs w:val="16"/>
              </w:rPr>
            </w:pPr>
            <w:r w:rsidRPr="00E72B1E">
              <w:rPr>
                <w:sz w:val="16"/>
                <w:szCs w:val="16"/>
              </w:rPr>
              <w:t>Program accountability</w:t>
            </w:r>
          </w:p>
        </w:tc>
        <w:tc>
          <w:tcPr>
            <w:tcW w:w="6509" w:type="dxa"/>
          </w:tcPr>
          <w:p w14:paraId="3AFA8C46" w14:textId="77777777" w:rsidR="00676ACD" w:rsidRPr="00E72B1E" w:rsidRDefault="00676ACD" w:rsidP="007B5579">
            <w:pPr>
              <w:pStyle w:val="DVABulletnoparaspace"/>
              <w:rPr>
                <w:sz w:val="16"/>
              </w:rPr>
            </w:pPr>
            <w:r w:rsidRPr="00E72B1E">
              <w:rPr>
                <w:sz w:val="16"/>
              </w:rPr>
              <w:t xml:space="preserve">At what level of government is ultimate accountability for this program? </w:t>
            </w:r>
          </w:p>
        </w:tc>
      </w:tr>
      <w:tr w:rsidR="00676ACD" w:rsidRPr="00E72B1E" w14:paraId="192AE311" w14:textId="77777777" w:rsidTr="00363139">
        <w:trPr>
          <w:trHeight w:val="228"/>
        </w:trPr>
        <w:tc>
          <w:tcPr>
            <w:tcW w:w="2405" w:type="dxa"/>
          </w:tcPr>
          <w:p w14:paraId="21F7D920" w14:textId="77777777" w:rsidR="00676ACD" w:rsidRPr="00E72B1E" w:rsidRDefault="00676ACD" w:rsidP="007B5579">
            <w:pPr>
              <w:pStyle w:val="DVA1Number"/>
              <w:numPr>
                <w:ilvl w:val="0"/>
                <w:numId w:val="0"/>
              </w:numPr>
              <w:spacing w:after="0"/>
              <w:rPr>
                <w:sz w:val="16"/>
                <w:szCs w:val="16"/>
              </w:rPr>
            </w:pPr>
            <w:r w:rsidRPr="00E72B1E">
              <w:rPr>
                <w:sz w:val="16"/>
                <w:szCs w:val="16"/>
              </w:rPr>
              <w:t>Funding</w:t>
            </w:r>
          </w:p>
        </w:tc>
        <w:tc>
          <w:tcPr>
            <w:tcW w:w="6509" w:type="dxa"/>
          </w:tcPr>
          <w:p w14:paraId="3C51620A" w14:textId="77777777" w:rsidR="00676ACD" w:rsidRPr="00E72B1E" w:rsidRDefault="00676ACD" w:rsidP="00363139">
            <w:pPr>
              <w:pStyle w:val="DVABulletnoparaspace"/>
              <w:ind w:left="357" w:hanging="357"/>
              <w:rPr>
                <w:sz w:val="16"/>
              </w:rPr>
            </w:pPr>
            <w:r w:rsidRPr="00E72B1E">
              <w:rPr>
                <w:sz w:val="16"/>
              </w:rPr>
              <w:t>What is the degree of government or departmental investment in this program?</w:t>
            </w:r>
          </w:p>
        </w:tc>
      </w:tr>
      <w:tr w:rsidR="00676ACD" w:rsidRPr="00E72B1E" w14:paraId="68ACE88E" w14:textId="77777777" w:rsidTr="007B5579">
        <w:trPr>
          <w:trHeight w:val="409"/>
        </w:trPr>
        <w:tc>
          <w:tcPr>
            <w:tcW w:w="2405" w:type="dxa"/>
          </w:tcPr>
          <w:p w14:paraId="1D55B6F4" w14:textId="77777777" w:rsidR="00676ACD" w:rsidRPr="00E72B1E" w:rsidRDefault="00676ACD" w:rsidP="007B5579">
            <w:pPr>
              <w:pStyle w:val="DVA1Number"/>
              <w:numPr>
                <w:ilvl w:val="0"/>
                <w:numId w:val="0"/>
              </w:numPr>
              <w:spacing w:after="0"/>
              <w:rPr>
                <w:sz w:val="16"/>
                <w:szCs w:val="16"/>
              </w:rPr>
            </w:pPr>
            <w:r w:rsidRPr="00E72B1E">
              <w:rPr>
                <w:sz w:val="16"/>
                <w:szCs w:val="16"/>
              </w:rPr>
              <w:t>Scope</w:t>
            </w:r>
          </w:p>
        </w:tc>
        <w:tc>
          <w:tcPr>
            <w:tcW w:w="6509" w:type="dxa"/>
          </w:tcPr>
          <w:p w14:paraId="7C5875D2" w14:textId="77777777" w:rsidR="00676ACD" w:rsidRPr="00E72B1E" w:rsidRDefault="00676ACD" w:rsidP="007B5579">
            <w:pPr>
              <w:pStyle w:val="DVABulletnoparaspace"/>
              <w:rPr>
                <w:sz w:val="16"/>
              </w:rPr>
            </w:pPr>
            <w:r w:rsidRPr="00E72B1E">
              <w:rPr>
                <w:sz w:val="16"/>
              </w:rPr>
              <w:t>How many entities are involved in this program, including government departments, agencies or external delivery partners?</w:t>
            </w:r>
          </w:p>
        </w:tc>
      </w:tr>
      <w:tr w:rsidR="00676ACD" w:rsidRPr="00E72B1E" w14:paraId="15FBDF74" w14:textId="77777777" w:rsidTr="007B5579">
        <w:trPr>
          <w:trHeight w:val="409"/>
        </w:trPr>
        <w:tc>
          <w:tcPr>
            <w:tcW w:w="2405" w:type="dxa"/>
          </w:tcPr>
          <w:p w14:paraId="4C6285BF" w14:textId="77777777" w:rsidR="00676ACD" w:rsidRPr="00E72B1E" w:rsidRDefault="00676ACD" w:rsidP="007B5579">
            <w:pPr>
              <w:pStyle w:val="DVA1Number"/>
              <w:numPr>
                <w:ilvl w:val="0"/>
                <w:numId w:val="0"/>
              </w:numPr>
              <w:spacing w:after="0"/>
              <w:rPr>
                <w:sz w:val="16"/>
                <w:szCs w:val="16"/>
              </w:rPr>
            </w:pPr>
            <w:r w:rsidRPr="00E72B1E">
              <w:rPr>
                <w:sz w:val="16"/>
                <w:szCs w:val="16"/>
              </w:rPr>
              <w:t>Risk</w:t>
            </w:r>
          </w:p>
        </w:tc>
        <w:tc>
          <w:tcPr>
            <w:tcW w:w="6509" w:type="dxa"/>
          </w:tcPr>
          <w:p w14:paraId="7AB1DB62" w14:textId="77777777" w:rsidR="00676ACD" w:rsidRPr="00E72B1E" w:rsidRDefault="00676ACD" w:rsidP="007B5579">
            <w:pPr>
              <w:pStyle w:val="DVABulletnoparaspace"/>
              <w:rPr>
                <w:sz w:val="16"/>
              </w:rPr>
            </w:pPr>
            <w:r>
              <w:rPr>
                <w:sz w:val="16"/>
              </w:rPr>
              <w:t>How high is the program’s risk e.g. budget, operations?</w:t>
            </w:r>
          </w:p>
          <w:p w14:paraId="143A2721" w14:textId="77777777" w:rsidR="00676ACD" w:rsidRPr="00E72B1E" w:rsidRDefault="00676ACD" w:rsidP="007B5579">
            <w:pPr>
              <w:pStyle w:val="DVABulletnoparaspace"/>
              <w:rPr>
                <w:sz w:val="16"/>
              </w:rPr>
            </w:pPr>
            <w:r>
              <w:rPr>
                <w:sz w:val="16"/>
              </w:rPr>
              <w:t>What are the r</w:t>
            </w:r>
            <w:r w:rsidRPr="00E72B1E">
              <w:rPr>
                <w:sz w:val="16"/>
              </w:rPr>
              <w:t>isk</w:t>
            </w:r>
            <w:r>
              <w:rPr>
                <w:sz w:val="16"/>
              </w:rPr>
              <w:t>s</w:t>
            </w:r>
            <w:r w:rsidRPr="00E72B1E">
              <w:rPr>
                <w:sz w:val="16"/>
              </w:rPr>
              <w:t xml:space="preserve"> of conducting or not conducting the evaluation</w:t>
            </w:r>
            <w:r>
              <w:rPr>
                <w:sz w:val="16"/>
              </w:rPr>
              <w:t>?</w:t>
            </w:r>
          </w:p>
        </w:tc>
      </w:tr>
      <w:tr w:rsidR="00676ACD" w:rsidRPr="00E72B1E" w14:paraId="0AA0065B" w14:textId="77777777" w:rsidTr="007B5579">
        <w:trPr>
          <w:trHeight w:val="409"/>
        </w:trPr>
        <w:tc>
          <w:tcPr>
            <w:tcW w:w="2405" w:type="dxa"/>
          </w:tcPr>
          <w:p w14:paraId="7AB81D09" w14:textId="77777777" w:rsidR="00676ACD" w:rsidRPr="00E72B1E" w:rsidRDefault="00676ACD" w:rsidP="007B5579">
            <w:pPr>
              <w:pStyle w:val="DVA1Number"/>
              <w:numPr>
                <w:ilvl w:val="0"/>
                <w:numId w:val="0"/>
              </w:numPr>
              <w:spacing w:after="0"/>
              <w:rPr>
                <w:sz w:val="16"/>
                <w:szCs w:val="16"/>
              </w:rPr>
            </w:pPr>
            <w:r w:rsidRPr="00E72B1E">
              <w:rPr>
                <w:sz w:val="16"/>
                <w:szCs w:val="16"/>
              </w:rPr>
              <w:t>Monitoring, review and stakeholder feedback</w:t>
            </w:r>
          </w:p>
        </w:tc>
        <w:tc>
          <w:tcPr>
            <w:tcW w:w="6509" w:type="dxa"/>
          </w:tcPr>
          <w:p w14:paraId="043ECF72" w14:textId="77777777" w:rsidR="00676ACD" w:rsidRPr="00E72B1E" w:rsidRDefault="00676ACD" w:rsidP="007B5579">
            <w:pPr>
              <w:pStyle w:val="DVABulletnoparaspace"/>
              <w:rPr>
                <w:sz w:val="16"/>
              </w:rPr>
            </w:pPr>
            <w:r w:rsidRPr="00E72B1E">
              <w:rPr>
                <w:sz w:val="16"/>
              </w:rPr>
              <w:t>Have issues with the activity or program objectives, implementation or outcomes been identified through monitoring, review or stakeholder feedback?</w:t>
            </w:r>
          </w:p>
          <w:p w14:paraId="78A8EE8D" w14:textId="77777777" w:rsidR="00676ACD" w:rsidRPr="00E72B1E" w:rsidRDefault="00676ACD" w:rsidP="007B5579">
            <w:pPr>
              <w:pStyle w:val="DVABulletnoparaspace"/>
              <w:rPr>
                <w:sz w:val="16"/>
              </w:rPr>
            </w:pPr>
            <w:r w:rsidRPr="00E72B1E">
              <w:rPr>
                <w:sz w:val="16"/>
              </w:rPr>
              <w:t>Does performance information suggest areas where improvements are required?</w:t>
            </w:r>
          </w:p>
          <w:p w14:paraId="03D48286" w14:textId="77777777" w:rsidR="00676ACD" w:rsidRPr="00E72B1E" w:rsidRDefault="00676ACD" w:rsidP="007B5579">
            <w:pPr>
              <w:pStyle w:val="DVABulletnoparaspace"/>
              <w:rPr>
                <w:sz w:val="16"/>
              </w:rPr>
            </w:pPr>
            <w:r w:rsidRPr="00E72B1E">
              <w:rPr>
                <w:sz w:val="16"/>
              </w:rPr>
              <w:t>Has termination, expansion, extension or change in the activity or program been proposed?</w:t>
            </w:r>
          </w:p>
        </w:tc>
      </w:tr>
      <w:tr w:rsidR="00676ACD" w:rsidRPr="00E72B1E" w14:paraId="3A034605" w14:textId="77777777" w:rsidTr="007B5579">
        <w:trPr>
          <w:trHeight w:val="409"/>
        </w:trPr>
        <w:tc>
          <w:tcPr>
            <w:tcW w:w="2405" w:type="dxa"/>
          </w:tcPr>
          <w:p w14:paraId="382082F6" w14:textId="77777777" w:rsidR="00676ACD" w:rsidRPr="00E72B1E" w:rsidRDefault="00676ACD" w:rsidP="007B5579">
            <w:pPr>
              <w:pStyle w:val="DVA1Number"/>
              <w:numPr>
                <w:ilvl w:val="0"/>
                <w:numId w:val="0"/>
              </w:numPr>
              <w:spacing w:after="0"/>
              <w:rPr>
                <w:sz w:val="16"/>
                <w:szCs w:val="16"/>
              </w:rPr>
            </w:pPr>
            <w:r w:rsidRPr="00E72B1E">
              <w:rPr>
                <w:sz w:val="16"/>
                <w:szCs w:val="16"/>
              </w:rPr>
              <w:t>Profile and sensitivity</w:t>
            </w:r>
          </w:p>
        </w:tc>
        <w:tc>
          <w:tcPr>
            <w:tcW w:w="6509" w:type="dxa"/>
          </w:tcPr>
          <w:p w14:paraId="524CF028" w14:textId="77777777" w:rsidR="00676ACD" w:rsidRPr="00E72B1E" w:rsidRDefault="00676ACD" w:rsidP="007B5579">
            <w:pPr>
              <w:pStyle w:val="DVABulletnoparaspace"/>
              <w:rPr>
                <w:sz w:val="16"/>
              </w:rPr>
            </w:pPr>
            <w:r w:rsidRPr="00E72B1E">
              <w:rPr>
                <w:sz w:val="16"/>
              </w:rPr>
              <w:t>Does the activity, program or evaluation topic have a high profile, high sensitivity or a high cost?</w:t>
            </w:r>
          </w:p>
          <w:p w14:paraId="6CA611BC" w14:textId="77777777" w:rsidR="00676ACD" w:rsidRPr="00E72B1E" w:rsidRDefault="00676ACD" w:rsidP="007B5579">
            <w:pPr>
              <w:pStyle w:val="DVABulletnoparaspace"/>
              <w:rPr>
                <w:sz w:val="16"/>
              </w:rPr>
            </w:pPr>
            <w:r w:rsidRPr="00E72B1E">
              <w:rPr>
                <w:sz w:val="16"/>
              </w:rPr>
              <w:t>Has it attracted significant public attention or criticism?</w:t>
            </w:r>
          </w:p>
        </w:tc>
      </w:tr>
      <w:tr w:rsidR="00676ACD" w:rsidRPr="00E72B1E" w14:paraId="67E05769" w14:textId="77777777" w:rsidTr="007B5579">
        <w:trPr>
          <w:trHeight w:val="409"/>
        </w:trPr>
        <w:tc>
          <w:tcPr>
            <w:tcW w:w="2405" w:type="dxa"/>
          </w:tcPr>
          <w:p w14:paraId="2AA1F6E0" w14:textId="77777777" w:rsidR="00676ACD" w:rsidRPr="00E72B1E" w:rsidRDefault="00676ACD" w:rsidP="007B5579">
            <w:pPr>
              <w:pStyle w:val="DVA1Number"/>
              <w:numPr>
                <w:ilvl w:val="0"/>
                <w:numId w:val="0"/>
              </w:numPr>
              <w:spacing w:after="0"/>
              <w:rPr>
                <w:sz w:val="16"/>
                <w:szCs w:val="16"/>
              </w:rPr>
            </w:pPr>
            <w:r w:rsidRPr="00E72B1E">
              <w:rPr>
                <w:sz w:val="16"/>
                <w:szCs w:val="16"/>
              </w:rPr>
              <w:t>Previous evaluations</w:t>
            </w:r>
          </w:p>
        </w:tc>
        <w:tc>
          <w:tcPr>
            <w:tcW w:w="6509" w:type="dxa"/>
          </w:tcPr>
          <w:p w14:paraId="2288A6AD" w14:textId="77777777" w:rsidR="00676ACD" w:rsidRPr="00E72B1E" w:rsidRDefault="00676ACD" w:rsidP="007B5579">
            <w:pPr>
              <w:pStyle w:val="DVABulletnoparaspace"/>
              <w:rPr>
                <w:sz w:val="16"/>
              </w:rPr>
            </w:pPr>
            <w:r w:rsidRPr="00E72B1E">
              <w:rPr>
                <w:sz w:val="16"/>
              </w:rPr>
              <w:t>Has the program been evaluated previously?</w:t>
            </w:r>
          </w:p>
          <w:p w14:paraId="0E047477" w14:textId="77777777" w:rsidR="00676ACD" w:rsidRPr="00E72B1E" w:rsidRDefault="00676ACD" w:rsidP="007B5579">
            <w:pPr>
              <w:pStyle w:val="DVABulletnoparaspace"/>
              <w:numPr>
                <w:ilvl w:val="0"/>
                <w:numId w:val="0"/>
              </w:numPr>
              <w:ind w:left="360" w:hanging="360"/>
              <w:rPr>
                <w:sz w:val="16"/>
              </w:rPr>
            </w:pPr>
            <w:r w:rsidRPr="00E72B1E">
              <w:rPr>
                <w:sz w:val="16"/>
              </w:rPr>
              <w:t>This may help determine if a new evaluation is worthwhile, particularly if:</w:t>
            </w:r>
          </w:p>
          <w:p w14:paraId="5BF4B433" w14:textId="77777777" w:rsidR="00676ACD" w:rsidRPr="00E72B1E" w:rsidRDefault="00676ACD" w:rsidP="007B5579">
            <w:pPr>
              <w:pStyle w:val="DVABulletnoparaspace"/>
              <w:rPr>
                <w:sz w:val="16"/>
              </w:rPr>
            </w:pPr>
            <w:r>
              <w:rPr>
                <w:sz w:val="16"/>
              </w:rPr>
              <w:t>significant amount of</w:t>
            </w:r>
            <w:r w:rsidRPr="00E72B1E">
              <w:rPr>
                <w:sz w:val="16"/>
              </w:rPr>
              <w:t xml:space="preserve"> time has lapsed since the previous evaluation,</w:t>
            </w:r>
          </w:p>
          <w:p w14:paraId="55B1E07E" w14:textId="77777777" w:rsidR="00676ACD" w:rsidRPr="00E72B1E" w:rsidRDefault="00676ACD" w:rsidP="007B5579">
            <w:pPr>
              <w:pStyle w:val="DVABulletnoparaspace"/>
              <w:rPr>
                <w:sz w:val="16"/>
              </w:rPr>
            </w:pPr>
            <w:r w:rsidRPr="00E72B1E">
              <w:rPr>
                <w:sz w:val="16"/>
              </w:rPr>
              <w:t>the previous evaluation pointed to a need for change, or</w:t>
            </w:r>
          </w:p>
          <w:p w14:paraId="23FE250E" w14:textId="77777777" w:rsidR="00676ACD" w:rsidRPr="00E72B1E" w:rsidRDefault="00676ACD" w:rsidP="007B5579">
            <w:pPr>
              <w:pStyle w:val="DVABulletnoparaspace"/>
              <w:rPr>
                <w:sz w:val="16"/>
              </w:rPr>
            </w:pPr>
            <w:r w:rsidRPr="00E72B1E">
              <w:rPr>
                <w:sz w:val="16"/>
              </w:rPr>
              <w:t>there has been a significant change in the program or activity.</w:t>
            </w:r>
          </w:p>
        </w:tc>
      </w:tr>
      <w:tr w:rsidR="00676ACD" w:rsidRPr="00E72B1E" w14:paraId="0FEDBF91" w14:textId="77777777" w:rsidTr="007B5579">
        <w:trPr>
          <w:trHeight w:val="409"/>
        </w:trPr>
        <w:tc>
          <w:tcPr>
            <w:tcW w:w="2405" w:type="dxa"/>
          </w:tcPr>
          <w:p w14:paraId="2486425E" w14:textId="77777777" w:rsidR="00676ACD" w:rsidRPr="00E72B1E" w:rsidRDefault="00676ACD" w:rsidP="007B5579">
            <w:pPr>
              <w:pStyle w:val="DVA1Number"/>
              <w:numPr>
                <w:ilvl w:val="0"/>
                <w:numId w:val="0"/>
              </w:numPr>
              <w:spacing w:after="0"/>
              <w:rPr>
                <w:sz w:val="16"/>
                <w:szCs w:val="16"/>
              </w:rPr>
            </w:pPr>
            <w:r w:rsidRPr="00E72B1E">
              <w:rPr>
                <w:sz w:val="16"/>
                <w:szCs w:val="16"/>
              </w:rPr>
              <w:t>Other factors</w:t>
            </w:r>
          </w:p>
        </w:tc>
        <w:tc>
          <w:tcPr>
            <w:tcW w:w="6509" w:type="dxa"/>
          </w:tcPr>
          <w:p w14:paraId="4DACE737" w14:textId="77777777" w:rsidR="00676ACD" w:rsidRPr="00E72B1E" w:rsidRDefault="00676ACD" w:rsidP="007B5579">
            <w:pPr>
              <w:pStyle w:val="DVABulletnoparaspace"/>
              <w:rPr>
                <w:sz w:val="16"/>
              </w:rPr>
            </w:pPr>
            <w:r w:rsidRPr="00E72B1E">
              <w:rPr>
                <w:sz w:val="16"/>
              </w:rPr>
              <w:t>A lack of evidence base</w:t>
            </w:r>
          </w:p>
          <w:p w14:paraId="7D2F055D" w14:textId="77777777" w:rsidR="00676ACD" w:rsidRPr="00E72B1E" w:rsidRDefault="00676ACD" w:rsidP="007B5579">
            <w:pPr>
              <w:pStyle w:val="DVABulletnoparaspace"/>
              <w:rPr>
                <w:sz w:val="16"/>
              </w:rPr>
            </w:pPr>
            <w:r w:rsidRPr="00E72B1E">
              <w:rPr>
                <w:sz w:val="16"/>
              </w:rPr>
              <w:t>Reporting or evaluation requirements including regulatory or legislative requirements, evaluation commitment in a new policy proposal, an Australian government budget or public statement</w:t>
            </w:r>
          </w:p>
        </w:tc>
      </w:tr>
    </w:tbl>
    <w:p w14:paraId="1D850099" w14:textId="77777777" w:rsidR="00676ACD" w:rsidRPr="00E72B1E" w:rsidRDefault="00676ACD" w:rsidP="009014F6">
      <w:pPr>
        <w:pStyle w:val="Heading3numbered"/>
      </w:pPr>
      <w:bookmarkStart w:id="107" w:name="_Ref105699109"/>
      <w:bookmarkStart w:id="108" w:name="_Toc110956292"/>
      <w:r>
        <w:t>Evaluation type is selected based on need</w:t>
      </w:r>
      <w:bookmarkEnd w:id="107"/>
      <w:r>
        <w:t xml:space="preserve"> or intended goals</w:t>
      </w:r>
      <w:bookmarkEnd w:id="108"/>
      <w:r>
        <w:t xml:space="preserve"> </w:t>
      </w:r>
    </w:p>
    <w:p w14:paraId="2244AC3D" w14:textId="3E982C24" w:rsidR="00676ACD" w:rsidRDefault="00676ACD" w:rsidP="00676ACD">
      <w:pPr>
        <w:pStyle w:val="DVABodytextwithparaspace"/>
      </w:pPr>
      <w:r>
        <w:t xml:space="preserve">Policy and guidance documents </w:t>
      </w:r>
      <w:r w:rsidRPr="00E72B1E">
        <w:t xml:space="preserve">identified that three main types of evaluation </w:t>
      </w:r>
      <w:r>
        <w:t xml:space="preserve">are </w:t>
      </w:r>
      <w:r w:rsidRPr="00E72B1E">
        <w:t>commonly conducted for health programs in Australia</w:t>
      </w:r>
      <w:r>
        <w:t>:</w:t>
      </w:r>
      <w:r w:rsidRPr="00E72B1E">
        <w:t xml:space="preserve"> Process, Outcome and Economic evaluation</w:t>
      </w:r>
      <w:r>
        <w:t>s</w:t>
      </w:r>
      <w:r w:rsidRPr="00E72B1E">
        <w:t xml:space="preserve"> (</w:t>
      </w:r>
      <w:r w:rsidRPr="00E72B1E">
        <w:fldChar w:fldCharType="begin"/>
      </w:r>
      <w:r w:rsidRPr="00E72B1E">
        <w:instrText xml:space="preserve"> REF _Ref104669190 \h </w:instrText>
      </w:r>
      <w:r w:rsidRPr="00E72B1E">
        <w:fldChar w:fldCharType="separate"/>
      </w:r>
      <w:r w:rsidR="00812188" w:rsidRPr="00E72B1E">
        <w:t xml:space="preserve">Table </w:t>
      </w:r>
      <w:r w:rsidR="00812188">
        <w:rPr>
          <w:noProof/>
        </w:rPr>
        <w:t>9</w:t>
      </w:r>
      <w:r w:rsidRPr="00E72B1E">
        <w:fldChar w:fldCharType="end"/>
      </w:r>
      <w:r w:rsidRPr="00E72B1E">
        <w:t>)</w:t>
      </w:r>
      <w:r>
        <w:t>. It is noted that this is not an exhaustive list, rather the results of the review search strategy.</w:t>
      </w:r>
    </w:p>
    <w:p w14:paraId="3F907401" w14:textId="7893EAD3" w:rsidR="00676ACD" w:rsidRPr="00E72B1E" w:rsidRDefault="00676ACD" w:rsidP="00676ACD">
      <w:pPr>
        <w:pStyle w:val="Caption"/>
      </w:pPr>
      <w:bookmarkStart w:id="109" w:name="_Ref104669190"/>
      <w:r w:rsidRPr="00E72B1E">
        <w:t xml:space="preserve">Table </w:t>
      </w:r>
      <w:r w:rsidRPr="00E72B1E">
        <w:fldChar w:fldCharType="begin"/>
      </w:r>
      <w:r w:rsidRPr="00E72B1E">
        <w:instrText xml:space="preserve"> SEQ Table \* ARABIC </w:instrText>
      </w:r>
      <w:r w:rsidRPr="00E72B1E">
        <w:fldChar w:fldCharType="separate"/>
      </w:r>
      <w:r w:rsidR="00812188">
        <w:rPr>
          <w:noProof/>
        </w:rPr>
        <w:t>9</w:t>
      </w:r>
      <w:r w:rsidRPr="00E72B1E">
        <w:fldChar w:fldCharType="end"/>
      </w:r>
      <w:bookmarkEnd w:id="109"/>
      <w:r w:rsidRPr="00E72B1E">
        <w:t>. Evaluations commonly used in Australian health programs</w:t>
      </w:r>
      <w:sdt>
        <w:sdtPr>
          <w:id w:val="1797873299"/>
          <w:citation/>
        </w:sdtPr>
        <w:sdtEndPr/>
        <w:sdtContent>
          <w:r>
            <w:fldChar w:fldCharType="begin"/>
          </w:r>
          <w:r>
            <w:instrText xml:space="preserve">CITATION NSW2016 \l 3081 </w:instrText>
          </w:r>
          <w:r>
            <w:fldChar w:fldCharType="separate"/>
          </w:r>
          <w:r w:rsidR="00710993">
            <w:rPr>
              <w:noProof/>
            </w:rPr>
            <w:t xml:space="preserve"> (28)</w:t>
          </w:r>
          <w:r>
            <w:fldChar w:fldCharType="end"/>
          </w:r>
        </w:sdtContent>
      </w:sdt>
      <w:r w:rsidRPr="00E72B1E">
        <w:fldChar w:fldCharType="begin"/>
      </w:r>
      <w:r>
        <w:instrText xml:space="preserve">CITATION Pre22 \l 3081 </w:instrText>
      </w:r>
      <w:r w:rsidRPr="00E72B1E">
        <w:fldChar w:fldCharType="separate"/>
      </w:r>
      <w:r w:rsidR="00710993">
        <w:rPr>
          <w:noProof/>
        </w:rPr>
        <w:t xml:space="preserve"> (22)</w:t>
      </w:r>
      <w:r w:rsidRPr="00E72B1E">
        <w:fldChar w:fldCharType="end"/>
      </w:r>
      <w:sdt>
        <w:sdtPr>
          <w:id w:val="606238695"/>
          <w:citation/>
        </w:sdtPr>
        <w:sdtEndPr/>
        <w:sdtContent>
          <w:r w:rsidRPr="00E72B1E">
            <w:fldChar w:fldCharType="begin"/>
          </w:r>
          <w:r>
            <w:instrText xml:space="preserve">CITATION Soc17 \l 3081 </w:instrText>
          </w:r>
          <w:r w:rsidRPr="00E72B1E">
            <w:fldChar w:fldCharType="separate"/>
          </w:r>
          <w:r w:rsidR="00710993">
            <w:rPr>
              <w:noProof/>
            </w:rPr>
            <w:t xml:space="preserve"> (39)</w:t>
          </w:r>
          <w:r w:rsidRPr="00E72B1E">
            <w:fldChar w:fldCharType="end"/>
          </w:r>
        </w:sdtContent>
      </w:sdt>
      <w:sdt>
        <w:sdtPr>
          <w:id w:val="1905709530"/>
          <w:citation/>
        </w:sdtPr>
        <w:sdtEndPr/>
        <w:sdtContent>
          <w:r>
            <w:fldChar w:fldCharType="begin"/>
          </w:r>
          <w:r>
            <w:instrText xml:space="preserve"> CITATION Vic10 \l 3081 </w:instrText>
          </w:r>
          <w:r>
            <w:fldChar w:fldCharType="separate"/>
          </w:r>
          <w:r w:rsidR="00710993">
            <w:rPr>
              <w:noProof/>
            </w:rPr>
            <w:t xml:space="preserve"> (43)</w:t>
          </w:r>
          <w:r>
            <w:fldChar w:fldCharType="end"/>
          </w:r>
        </w:sdtContent>
      </w:sdt>
    </w:p>
    <w:tbl>
      <w:tblPr>
        <w:tblStyle w:val="TableGrid"/>
        <w:tblW w:w="8990" w:type="dxa"/>
        <w:tblInd w:w="-5" w:type="dxa"/>
        <w:tblLook w:val="04A0" w:firstRow="1" w:lastRow="0" w:firstColumn="1" w:lastColumn="0" w:noHBand="0" w:noVBand="1"/>
      </w:tblPr>
      <w:tblGrid>
        <w:gridCol w:w="1560"/>
        <w:gridCol w:w="4006"/>
        <w:gridCol w:w="3424"/>
      </w:tblGrid>
      <w:tr w:rsidR="00676ACD" w:rsidRPr="00E72B1E" w14:paraId="541A9B2D" w14:textId="77777777" w:rsidTr="007B5579">
        <w:trPr>
          <w:trHeight w:val="482"/>
        </w:trPr>
        <w:tc>
          <w:tcPr>
            <w:tcW w:w="1560" w:type="dxa"/>
            <w:shd w:val="clear" w:color="auto" w:fill="1D3567"/>
          </w:tcPr>
          <w:p w14:paraId="23BF2E05" w14:textId="77777777" w:rsidR="00676ACD" w:rsidRPr="0011217C" w:rsidRDefault="00676ACD" w:rsidP="009014F6">
            <w:pPr>
              <w:pStyle w:val="DVA1Number"/>
              <w:numPr>
                <w:ilvl w:val="0"/>
                <w:numId w:val="0"/>
              </w:numPr>
              <w:spacing w:after="0"/>
              <w:rPr>
                <w:b/>
                <w:bCs/>
                <w:sz w:val="16"/>
                <w:szCs w:val="16"/>
              </w:rPr>
            </w:pPr>
            <w:r w:rsidRPr="0011217C">
              <w:rPr>
                <w:b/>
                <w:bCs/>
                <w:sz w:val="16"/>
                <w:szCs w:val="16"/>
              </w:rPr>
              <w:t>Evaluation type</w:t>
            </w:r>
          </w:p>
        </w:tc>
        <w:tc>
          <w:tcPr>
            <w:tcW w:w="4006" w:type="dxa"/>
            <w:shd w:val="clear" w:color="auto" w:fill="1D3567"/>
          </w:tcPr>
          <w:p w14:paraId="78553F9E" w14:textId="77777777" w:rsidR="00676ACD" w:rsidRPr="0011217C" w:rsidRDefault="00676ACD" w:rsidP="009014F6">
            <w:pPr>
              <w:pStyle w:val="DVA1Number"/>
              <w:numPr>
                <w:ilvl w:val="0"/>
                <w:numId w:val="0"/>
              </w:numPr>
              <w:spacing w:after="0"/>
              <w:rPr>
                <w:b/>
                <w:bCs/>
                <w:sz w:val="16"/>
                <w:szCs w:val="16"/>
              </w:rPr>
            </w:pPr>
            <w:r w:rsidRPr="0011217C">
              <w:rPr>
                <w:b/>
                <w:bCs/>
                <w:sz w:val="16"/>
                <w:szCs w:val="16"/>
              </w:rPr>
              <w:t>Purpose</w:t>
            </w:r>
          </w:p>
        </w:tc>
        <w:tc>
          <w:tcPr>
            <w:tcW w:w="3424" w:type="dxa"/>
            <w:shd w:val="clear" w:color="auto" w:fill="1D3567"/>
          </w:tcPr>
          <w:p w14:paraId="79768D60" w14:textId="77777777" w:rsidR="00676ACD" w:rsidRPr="0011217C" w:rsidRDefault="00676ACD" w:rsidP="009014F6">
            <w:pPr>
              <w:pStyle w:val="DVA1Number"/>
              <w:numPr>
                <w:ilvl w:val="0"/>
                <w:numId w:val="0"/>
              </w:numPr>
              <w:spacing w:after="0"/>
              <w:rPr>
                <w:b/>
                <w:bCs/>
                <w:sz w:val="16"/>
                <w:szCs w:val="16"/>
              </w:rPr>
            </w:pPr>
            <w:r w:rsidRPr="0011217C">
              <w:rPr>
                <w:b/>
                <w:bCs/>
                <w:sz w:val="16"/>
                <w:szCs w:val="16"/>
              </w:rPr>
              <w:t>Program aspects examined</w:t>
            </w:r>
          </w:p>
        </w:tc>
      </w:tr>
      <w:tr w:rsidR="00676ACD" w:rsidRPr="00E72B1E" w14:paraId="1F1BFECE" w14:textId="77777777" w:rsidTr="009014F6">
        <w:trPr>
          <w:trHeight w:val="54"/>
        </w:trPr>
        <w:tc>
          <w:tcPr>
            <w:tcW w:w="1560" w:type="dxa"/>
          </w:tcPr>
          <w:p w14:paraId="1BBFFE91" w14:textId="77777777" w:rsidR="00676ACD" w:rsidRPr="00E72B1E" w:rsidRDefault="00676ACD" w:rsidP="009014F6">
            <w:pPr>
              <w:pStyle w:val="DVA1Number"/>
              <w:numPr>
                <w:ilvl w:val="0"/>
                <w:numId w:val="0"/>
              </w:numPr>
              <w:spacing w:after="0"/>
              <w:rPr>
                <w:b/>
                <w:bCs/>
                <w:sz w:val="16"/>
                <w:szCs w:val="16"/>
              </w:rPr>
            </w:pPr>
            <w:r w:rsidRPr="00E72B1E">
              <w:rPr>
                <w:b/>
                <w:bCs/>
                <w:sz w:val="16"/>
                <w:szCs w:val="16"/>
              </w:rPr>
              <w:t>Process</w:t>
            </w:r>
          </w:p>
        </w:tc>
        <w:tc>
          <w:tcPr>
            <w:tcW w:w="4006" w:type="dxa"/>
          </w:tcPr>
          <w:p w14:paraId="2F95C5C3" w14:textId="77777777" w:rsidR="00676ACD" w:rsidRPr="00E72B1E" w:rsidRDefault="00676ACD" w:rsidP="009014F6">
            <w:pPr>
              <w:pStyle w:val="DVA1Number"/>
              <w:numPr>
                <w:ilvl w:val="0"/>
                <w:numId w:val="0"/>
              </w:numPr>
              <w:spacing w:after="0"/>
              <w:rPr>
                <w:sz w:val="16"/>
                <w:szCs w:val="16"/>
              </w:rPr>
            </w:pPr>
            <w:r w:rsidRPr="00E72B1E">
              <w:rPr>
                <w:sz w:val="16"/>
                <w:szCs w:val="16"/>
              </w:rPr>
              <w:t>To determine if the program activities have been implemented as intended</w:t>
            </w:r>
          </w:p>
        </w:tc>
        <w:tc>
          <w:tcPr>
            <w:tcW w:w="3424" w:type="dxa"/>
          </w:tcPr>
          <w:p w14:paraId="1FD08F73" w14:textId="77777777" w:rsidR="00676ACD" w:rsidRPr="00E72B1E" w:rsidRDefault="00676ACD" w:rsidP="009014F6">
            <w:pPr>
              <w:pStyle w:val="DVA1Number"/>
              <w:numPr>
                <w:ilvl w:val="0"/>
                <w:numId w:val="0"/>
              </w:numPr>
              <w:spacing w:after="0"/>
              <w:rPr>
                <w:sz w:val="16"/>
                <w:szCs w:val="16"/>
              </w:rPr>
            </w:pPr>
            <w:r w:rsidRPr="00E72B1E">
              <w:rPr>
                <w:sz w:val="16"/>
                <w:szCs w:val="16"/>
              </w:rPr>
              <w:t>Operations, processes and service delivery</w:t>
            </w:r>
          </w:p>
        </w:tc>
      </w:tr>
      <w:tr w:rsidR="00676ACD" w:rsidRPr="00E72B1E" w14:paraId="1C20B45B" w14:textId="77777777" w:rsidTr="007B5579">
        <w:trPr>
          <w:trHeight w:val="562"/>
        </w:trPr>
        <w:tc>
          <w:tcPr>
            <w:tcW w:w="1560" w:type="dxa"/>
          </w:tcPr>
          <w:p w14:paraId="100AD804" w14:textId="77777777" w:rsidR="00676ACD" w:rsidRPr="00E72B1E" w:rsidRDefault="00676ACD" w:rsidP="009014F6">
            <w:pPr>
              <w:pStyle w:val="DVA1Number"/>
              <w:numPr>
                <w:ilvl w:val="0"/>
                <w:numId w:val="0"/>
              </w:numPr>
              <w:spacing w:after="0"/>
              <w:rPr>
                <w:b/>
                <w:bCs/>
                <w:sz w:val="16"/>
                <w:szCs w:val="16"/>
              </w:rPr>
            </w:pPr>
            <w:r w:rsidRPr="00E72B1E">
              <w:rPr>
                <w:b/>
                <w:bCs/>
                <w:sz w:val="16"/>
                <w:szCs w:val="16"/>
              </w:rPr>
              <w:t>Outcome</w:t>
            </w:r>
          </w:p>
        </w:tc>
        <w:tc>
          <w:tcPr>
            <w:tcW w:w="4006" w:type="dxa"/>
          </w:tcPr>
          <w:p w14:paraId="0B0DC741" w14:textId="77777777" w:rsidR="00676ACD" w:rsidRPr="00E72B1E" w:rsidRDefault="00676ACD" w:rsidP="009014F6">
            <w:pPr>
              <w:pStyle w:val="DVA1Number"/>
              <w:numPr>
                <w:ilvl w:val="0"/>
                <w:numId w:val="0"/>
              </w:numPr>
              <w:spacing w:after="0"/>
              <w:rPr>
                <w:sz w:val="16"/>
                <w:szCs w:val="16"/>
              </w:rPr>
            </w:pPr>
            <w:r w:rsidRPr="00E72B1E">
              <w:rPr>
                <w:sz w:val="16"/>
                <w:szCs w:val="16"/>
              </w:rPr>
              <w:t>To identify the effectiveness of a program in achieving desired outcomes in the target populations. This can be done in both the short and long term</w:t>
            </w:r>
          </w:p>
        </w:tc>
        <w:tc>
          <w:tcPr>
            <w:tcW w:w="3424" w:type="dxa"/>
          </w:tcPr>
          <w:p w14:paraId="2AA1CC20" w14:textId="77777777" w:rsidR="00676ACD" w:rsidRPr="00E72B1E" w:rsidRDefault="00676ACD" w:rsidP="009014F6">
            <w:pPr>
              <w:pStyle w:val="DVA1Number"/>
              <w:numPr>
                <w:ilvl w:val="0"/>
                <w:numId w:val="0"/>
              </w:numPr>
              <w:spacing w:after="0"/>
              <w:rPr>
                <w:sz w:val="16"/>
                <w:szCs w:val="16"/>
              </w:rPr>
            </w:pPr>
            <w:r w:rsidRPr="00E72B1E">
              <w:rPr>
                <w:sz w:val="16"/>
                <w:szCs w:val="16"/>
              </w:rPr>
              <w:t>Progress and achievement of outcomes, who the program works best for and the ideal circumstances.</w:t>
            </w:r>
          </w:p>
        </w:tc>
      </w:tr>
      <w:tr w:rsidR="00676ACD" w:rsidRPr="00E72B1E" w14:paraId="4F55E846" w14:textId="77777777" w:rsidTr="009014F6">
        <w:trPr>
          <w:trHeight w:val="54"/>
        </w:trPr>
        <w:tc>
          <w:tcPr>
            <w:tcW w:w="1560" w:type="dxa"/>
          </w:tcPr>
          <w:p w14:paraId="2DB3BA89" w14:textId="77777777" w:rsidR="00676ACD" w:rsidRPr="00E72B1E" w:rsidRDefault="00676ACD" w:rsidP="009014F6">
            <w:pPr>
              <w:pStyle w:val="DVA1Number"/>
              <w:numPr>
                <w:ilvl w:val="0"/>
                <w:numId w:val="0"/>
              </w:numPr>
              <w:spacing w:after="0"/>
              <w:rPr>
                <w:b/>
                <w:bCs/>
                <w:sz w:val="16"/>
                <w:szCs w:val="16"/>
              </w:rPr>
            </w:pPr>
            <w:r w:rsidRPr="00E72B1E">
              <w:rPr>
                <w:b/>
                <w:bCs/>
                <w:sz w:val="16"/>
                <w:szCs w:val="16"/>
              </w:rPr>
              <w:t>Economic</w:t>
            </w:r>
          </w:p>
        </w:tc>
        <w:tc>
          <w:tcPr>
            <w:tcW w:w="4006" w:type="dxa"/>
          </w:tcPr>
          <w:p w14:paraId="6307EB71" w14:textId="77777777" w:rsidR="00676ACD" w:rsidRPr="00E72B1E" w:rsidRDefault="00676ACD" w:rsidP="009014F6">
            <w:pPr>
              <w:pStyle w:val="DVA1Number"/>
              <w:numPr>
                <w:ilvl w:val="0"/>
                <w:numId w:val="0"/>
              </w:numPr>
              <w:spacing w:after="0"/>
              <w:rPr>
                <w:sz w:val="16"/>
                <w:szCs w:val="16"/>
              </w:rPr>
            </w:pPr>
            <w:r w:rsidRPr="00E72B1E">
              <w:rPr>
                <w:sz w:val="16"/>
                <w:szCs w:val="16"/>
              </w:rPr>
              <w:t>To identify, measure and value a program’s economic costs and benefits</w:t>
            </w:r>
          </w:p>
        </w:tc>
        <w:tc>
          <w:tcPr>
            <w:tcW w:w="3424" w:type="dxa"/>
          </w:tcPr>
          <w:p w14:paraId="41E02771" w14:textId="77777777" w:rsidR="00676ACD" w:rsidRPr="00E72B1E" w:rsidRDefault="00676ACD" w:rsidP="009014F6">
            <w:pPr>
              <w:pStyle w:val="DVA1Number"/>
              <w:numPr>
                <w:ilvl w:val="0"/>
                <w:numId w:val="0"/>
              </w:numPr>
              <w:spacing w:after="0"/>
              <w:rPr>
                <w:sz w:val="16"/>
                <w:szCs w:val="16"/>
              </w:rPr>
            </w:pPr>
            <w:r w:rsidRPr="00E72B1E">
              <w:rPr>
                <w:sz w:val="16"/>
                <w:szCs w:val="16"/>
              </w:rPr>
              <w:t>Reliable results data for both program inputs and outcomes</w:t>
            </w:r>
          </w:p>
        </w:tc>
      </w:tr>
    </w:tbl>
    <w:p w14:paraId="3BDA41D6" w14:textId="5E1B0323" w:rsidR="00676ACD" w:rsidRPr="009014F6" w:rsidRDefault="00676ACD" w:rsidP="009014F6">
      <w:pPr>
        <w:spacing w:before="120"/>
        <w:rPr>
          <w:rFonts w:cstheme="minorHAnsi"/>
          <w:sz w:val="20"/>
          <w:szCs w:val="22"/>
        </w:rPr>
      </w:pPr>
      <w:r w:rsidRPr="009014F6">
        <w:rPr>
          <w:sz w:val="20"/>
          <w:szCs w:val="22"/>
        </w:rPr>
        <w:t>Choosing which of these evaluation types to use is largely informed by the evaluator’s purpose for the evaluation, the type of information required from the evaluation and the intended use of the results. These, and other considerations for choosing evaluation type are outlined in</w:t>
      </w:r>
      <w:bookmarkStart w:id="110" w:name="_Ref104669591"/>
      <w:r w:rsidR="00B031C7">
        <w:rPr>
          <w:sz w:val="20"/>
          <w:szCs w:val="22"/>
        </w:rPr>
        <w:t xml:space="preserve"> </w:t>
      </w:r>
      <w:r w:rsidR="00B031C7">
        <w:rPr>
          <w:sz w:val="20"/>
          <w:szCs w:val="22"/>
        </w:rPr>
        <w:fldChar w:fldCharType="begin"/>
      </w:r>
      <w:r w:rsidR="00B031C7">
        <w:rPr>
          <w:sz w:val="20"/>
          <w:szCs w:val="22"/>
        </w:rPr>
        <w:instrText xml:space="preserve"> REF _Ref107305275 \h  \* MERGEFORMAT </w:instrText>
      </w:r>
      <w:r w:rsidR="00B031C7">
        <w:rPr>
          <w:sz w:val="20"/>
          <w:szCs w:val="22"/>
        </w:rPr>
      </w:r>
      <w:r w:rsidR="00B031C7">
        <w:rPr>
          <w:sz w:val="20"/>
          <w:szCs w:val="22"/>
        </w:rPr>
        <w:fldChar w:fldCharType="separate"/>
      </w:r>
      <w:r w:rsidR="00812188" w:rsidRPr="00812188">
        <w:rPr>
          <w:sz w:val="20"/>
          <w:szCs w:val="22"/>
        </w:rPr>
        <w:t>Table 10</w:t>
      </w:r>
      <w:r w:rsidR="00B031C7">
        <w:rPr>
          <w:sz w:val="20"/>
          <w:szCs w:val="22"/>
        </w:rPr>
        <w:fldChar w:fldCharType="end"/>
      </w:r>
      <w:r w:rsidR="00B031C7">
        <w:rPr>
          <w:sz w:val="20"/>
          <w:szCs w:val="22"/>
        </w:rPr>
        <w:t>.</w:t>
      </w:r>
    </w:p>
    <w:p w14:paraId="3F1C8FA0" w14:textId="45C2D13B" w:rsidR="00676ACD" w:rsidRPr="00E72B1E" w:rsidRDefault="00BA720D" w:rsidP="00676ACD">
      <w:pPr>
        <w:pStyle w:val="Caption"/>
      </w:pPr>
      <w:bookmarkStart w:id="111" w:name="_Ref106710178"/>
      <w:r>
        <w:br w:type="column"/>
      </w:r>
      <w:bookmarkStart w:id="112" w:name="_Ref107305275"/>
      <w:r w:rsidR="00676ACD" w:rsidRPr="00E72B1E">
        <w:lastRenderedPageBreak/>
        <w:t xml:space="preserve">Table </w:t>
      </w:r>
      <w:r w:rsidR="00676ACD" w:rsidRPr="00E72B1E">
        <w:fldChar w:fldCharType="begin"/>
      </w:r>
      <w:r w:rsidR="00676ACD" w:rsidRPr="00E72B1E">
        <w:instrText xml:space="preserve"> SEQ Table \* ARABIC </w:instrText>
      </w:r>
      <w:r w:rsidR="00676ACD" w:rsidRPr="00E72B1E">
        <w:fldChar w:fldCharType="separate"/>
      </w:r>
      <w:r w:rsidR="00812188">
        <w:rPr>
          <w:noProof/>
        </w:rPr>
        <w:t>10</w:t>
      </w:r>
      <w:r w:rsidR="00676ACD" w:rsidRPr="00E72B1E">
        <w:fldChar w:fldCharType="end"/>
      </w:r>
      <w:bookmarkEnd w:id="110"/>
      <w:bookmarkEnd w:id="111"/>
      <w:bookmarkEnd w:id="112"/>
      <w:r w:rsidR="00676ACD" w:rsidRPr="00E72B1E">
        <w:t>. Evaluation type characteristics</w:t>
      </w:r>
      <w:sdt>
        <w:sdtPr>
          <w:id w:val="1247689854"/>
          <w:citation/>
        </w:sdtPr>
        <w:sdtEndPr/>
        <w:sdtContent>
          <w:r w:rsidR="00676ACD">
            <w:fldChar w:fldCharType="begin"/>
          </w:r>
          <w:r w:rsidR="00676ACD">
            <w:instrText xml:space="preserve">CITATION NSW2016 \l 3081 </w:instrText>
          </w:r>
          <w:r w:rsidR="00676ACD">
            <w:fldChar w:fldCharType="separate"/>
          </w:r>
          <w:r w:rsidR="00710993">
            <w:rPr>
              <w:noProof/>
            </w:rPr>
            <w:t xml:space="preserve"> (28)</w:t>
          </w:r>
          <w:r w:rsidR="00676ACD">
            <w:fldChar w:fldCharType="end"/>
          </w:r>
        </w:sdtContent>
      </w:sdt>
      <w:r w:rsidR="00676ACD" w:rsidRPr="00E72B1E">
        <w:t xml:space="preserve"> </w:t>
      </w:r>
      <w:sdt>
        <w:sdtPr>
          <w:id w:val="-15311916"/>
          <w:citation/>
        </w:sdtPr>
        <w:sdtEndPr/>
        <w:sdtContent>
          <w:r w:rsidR="00676ACD" w:rsidRPr="00E72B1E">
            <w:fldChar w:fldCharType="begin"/>
          </w:r>
          <w:r w:rsidR="00676ACD">
            <w:instrText xml:space="preserve">CITATION Pre22 \l 3081 </w:instrText>
          </w:r>
          <w:r w:rsidR="00676ACD" w:rsidRPr="00E72B1E">
            <w:fldChar w:fldCharType="separate"/>
          </w:r>
          <w:r w:rsidR="00710993">
            <w:rPr>
              <w:noProof/>
            </w:rPr>
            <w:t>(22)</w:t>
          </w:r>
          <w:r w:rsidR="00676ACD" w:rsidRPr="00E72B1E">
            <w:fldChar w:fldCharType="end"/>
          </w:r>
        </w:sdtContent>
      </w:sdt>
      <w:r w:rsidR="00676ACD" w:rsidRPr="00E72B1E">
        <w:fldChar w:fldCharType="begin"/>
      </w:r>
      <w:r w:rsidR="00676ACD" w:rsidRPr="00E72B1E">
        <w:instrText xml:space="preserve">CITATION Soc17 \l 3081 </w:instrText>
      </w:r>
      <w:r w:rsidR="00676ACD" w:rsidRPr="00E72B1E">
        <w:fldChar w:fldCharType="separate"/>
      </w:r>
      <w:r w:rsidR="00710993">
        <w:rPr>
          <w:noProof/>
        </w:rPr>
        <w:t xml:space="preserve"> (39)</w:t>
      </w:r>
      <w:r w:rsidR="00676ACD" w:rsidRPr="00E72B1E">
        <w:fldChar w:fldCharType="end"/>
      </w:r>
      <w:sdt>
        <w:sdtPr>
          <w:id w:val="-901440677"/>
          <w:citation/>
        </w:sdtPr>
        <w:sdtEndPr/>
        <w:sdtContent>
          <w:r w:rsidR="00676ACD" w:rsidRPr="00E72B1E">
            <w:fldChar w:fldCharType="begin"/>
          </w:r>
          <w:r w:rsidR="00676ACD" w:rsidRPr="00E72B1E">
            <w:instrText xml:space="preserve"> CITATION Que20 \l 3081 </w:instrText>
          </w:r>
          <w:r w:rsidR="00676ACD" w:rsidRPr="00E72B1E">
            <w:fldChar w:fldCharType="separate"/>
          </w:r>
          <w:r w:rsidR="00710993">
            <w:rPr>
              <w:noProof/>
            </w:rPr>
            <w:t xml:space="preserve"> (37)</w:t>
          </w:r>
          <w:r w:rsidR="00676ACD" w:rsidRPr="00E72B1E">
            <w:fldChar w:fldCharType="end"/>
          </w:r>
        </w:sdtContent>
      </w:sdt>
      <w:sdt>
        <w:sdtPr>
          <w:id w:val="1816218748"/>
          <w:citation/>
        </w:sdtPr>
        <w:sdtEndPr/>
        <w:sdtContent>
          <w:r w:rsidR="00676ACD">
            <w:fldChar w:fldCharType="begin"/>
          </w:r>
          <w:r w:rsidR="00676ACD">
            <w:instrText xml:space="preserve"> CITATION Vic10 \l 3081 </w:instrText>
          </w:r>
          <w:r w:rsidR="00676ACD">
            <w:fldChar w:fldCharType="separate"/>
          </w:r>
          <w:r w:rsidR="00710993">
            <w:rPr>
              <w:noProof/>
            </w:rPr>
            <w:t xml:space="preserve"> (43)</w:t>
          </w:r>
          <w:r w:rsidR="00676ACD">
            <w:fldChar w:fldCharType="end"/>
          </w:r>
        </w:sdtContent>
      </w:sdt>
    </w:p>
    <w:tbl>
      <w:tblPr>
        <w:tblStyle w:val="TableGrid"/>
        <w:tblW w:w="0" w:type="auto"/>
        <w:tblLook w:val="04A0" w:firstRow="1" w:lastRow="0" w:firstColumn="1" w:lastColumn="0" w:noHBand="0" w:noVBand="1"/>
      </w:tblPr>
      <w:tblGrid>
        <w:gridCol w:w="1268"/>
        <w:gridCol w:w="2413"/>
        <w:gridCol w:w="2879"/>
        <w:gridCol w:w="2503"/>
      </w:tblGrid>
      <w:tr w:rsidR="00676ACD" w:rsidRPr="00E72B1E" w14:paraId="7EE66426" w14:textId="77777777" w:rsidTr="007B5579">
        <w:trPr>
          <w:trHeight w:val="70"/>
          <w:tblHeader/>
        </w:trPr>
        <w:tc>
          <w:tcPr>
            <w:tcW w:w="1268" w:type="dxa"/>
            <w:shd w:val="clear" w:color="auto" w:fill="1D3567"/>
          </w:tcPr>
          <w:p w14:paraId="45BEC1A5" w14:textId="77777777" w:rsidR="00676ACD" w:rsidRPr="00E72B1E" w:rsidRDefault="00676ACD" w:rsidP="007B5579">
            <w:pPr>
              <w:pStyle w:val="DVA1Number"/>
              <w:numPr>
                <w:ilvl w:val="0"/>
                <w:numId w:val="0"/>
              </w:numPr>
              <w:rPr>
                <w:b/>
                <w:bCs/>
                <w:sz w:val="16"/>
                <w:szCs w:val="16"/>
              </w:rPr>
            </w:pPr>
          </w:p>
        </w:tc>
        <w:tc>
          <w:tcPr>
            <w:tcW w:w="2413" w:type="dxa"/>
            <w:shd w:val="clear" w:color="auto" w:fill="1D3567"/>
          </w:tcPr>
          <w:p w14:paraId="4217AC96" w14:textId="77777777" w:rsidR="00676ACD" w:rsidRPr="00E72B1E" w:rsidRDefault="00676ACD" w:rsidP="007B5579">
            <w:pPr>
              <w:pStyle w:val="DVA1Number"/>
              <w:numPr>
                <w:ilvl w:val="0"/>
                <w:numId w:val="0"/>
              </w:numPr>
              <w:rPr>
                <w:b/>
                <w:bCs/>
                <w:sz w:val="16"/>
                <w:szCs w:val="16"/>
              </w:rPr>
            </w:pPr>
            <w:r w:rsidRPr="00E72B1E">
              <w:rPr>
                <w:b/>
                <w:bCs/>
                <w:sz w:val="16"/>
                <w:szCs w:val="16"/>
              </w:rPr>
              <w:t>Process</w:t>
            </w:r>
          </w:p>
        </w:tc>
        <w:tc>
          <w:tcPr>
            <w:tcW w:w="2879" w:type="dxa"/>
            <w:shd w:val="clear" w:color="auto" w:fill="1D3567"/>
          </w:tcPr>
          <w:p w14:paraId="2144C193" w14:textId="77777777" w:rsidR="00676ACD" w:rsidRPr="00E72B1E" w:rsidRDefault="00676ACD" w:rsidP="007B5579">
            <w:pPr>
              <w:pStyle w:val="DVA1Number"/>
              <w:numPr>
                <w:ilvl w:val="0"/>
                <w:numId w:val="0"/>
              </w:numPr>
              <w:rPr>
                <w:b/>
                <w:bCs/>
                <w:sz w:val="16"/>
                <w:szCs w:val="16"/>
              </w:rPr>
            </w:pPr>
            <w:r w:rsidRPr="00E72B1E">
              <w:rPr>
                <w:b/>
                <w:bCs/>
                <w:sz w:val="16"/>
                <w:szCs w:val="16"/>
              </w:rPr>
              <w:t>Outcome</w:t>
            </w:r>
          </w:p>
        </w:tc>
        <w:tc>
          <w:tcPr>
            <w:tcW w:w="2503" w:type="dxa"/>
            <w:shd w:val="clear" w:color="auto" w:fill="1D3567"/>
          </w:tcPr>
          <w:p w14:paraId="65C2D807" w14:textId="77777777" w:rsidR="00676ACD" w:rsidRPr="00E72B1E" w:rsidRDefault="00676ACD" w:rsidP="007B5579">
            <w:pPr>
              <w:pStyle w:val="DVA1Number"/>
              <w:numPr>
                <w:ilvl w:val="0"/>
                <w:numId w:val="0"/>
              </w:numPr>
              <w:rPr>
                <w:b/>
                <w:bCs/>
                <w:sz w:val="16"/>
                <w:szCs w:val="16"/>
              </w:rPr>
            </w:pPr>
            <w:r w:rsidRPr="00E72B1E">
              <w:rPr>
                <w:b/>
                <w:bCs/>
                <w:sz w:val="16"/>
                <w:szCs w:val="16"/>
              </w:rPr>
              <w:t>Economic</w:t>
            </w:r>
          </w:p>
        </w:tc>
      </w:tr>
      <w:tr w:rsidR="00676ACD" w:rsidRPr="00E72B1E" w14:paraId="19136F6F" w14:textId="77777777" w:rsidTr="007B5579">
        <w:trPr>
          <w:trHeight w:val="354"/>
        </w:trPr>
        <w:tc>
          <w:tcPr>
            <w:tcW w:w="1268" w:type="dxa"/>
          </w:tcPr>
          <w:p w14:paraId="679CFD50" w14:textId="77777777" w:rsidR="00676ACD" w:rsidRPr="00E72B1E" w:rsidRDefault="00676ACD" w:rsidP="007B5579">
            <w:pPr>
              <w:pStyle w:val="DVA1Number"/>
              <w:numPr>
                <w:ilvl w:val="0"/>
                <w:numId w:val="0"/>
              </w:numPr>
              <w:rPr>
                <w:b/>
                <w:bCs/>
                <w:sz w:val="16"/>
                <w:szCs w:val="16"/>
              </w:rPr>
            </w:pPr>
            <w:r w:rsidRPr="00E72B1E">
              <w:rPr>
                <w:b/>
                <w:bCs/>
                <w:sz w:val="16"/>
                <w:szCs w:val="16"/>
              </w:rPr>
              <w:t>When to use it with respect to the program lifecycle</w:t>
            </w:r>
          </w:p>
        </w:tc>
        <w:tc>
          <w:tcPr>
            <w:tcW w:w="2413" w:type="dxa"/>
          </w:tcPr>
          <w:p w14:paraId="0CAEDB7B" w14:textId="77777777" w:rsidR="00676ACD" w:rsidRPr="00E72B1E" w:rsidRDefault="00676ACD" w:rsidP="007B5579">
            <w:pPr>
              <w:pStyle w:val="DVABulletnoparaspace"/>
              <w:rPr>
                <w:sz w:val="16"/>
              </w:rPr>
            </w:pPr>
            <w:r w:rsidRPr="00E72B1E">
              <w:rPr>
                <w:sz w:val="16"/>
              </w:rPr>
              <w:t>Can be done as soon as the implementation begins or during operation of an existing program</w:t>
            </w:r>
          </w:p>
        </w:tc>
        <w:tc>
          <w:tcPr>
            <w:tcW w:w="2879" w:type="dxa"/>
          </w:tcPr>
          <w:p w14:paraId="2B26A300"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 xml:space="preserve">After the program has made contact with at least </w:t>
            </w:r>
            <w:r>
              <w:rPr>
                <w:kern w:val="0"/>
                <w:sz w:val="16"/>
                <w:szCs w:val="16"/>
                <w:lang w:eastAsia="en-US"/>
              </w:rPr>
              <w:t>one</w:t>
            </w:r>
            <w:r w:rsidRPr="00E72B1E">
              <w:rPr>
                <w:kern w:val="0"/>
                <w:sz w:val="16"/>
                <w:szCs w:val="16"/>
                <w:lang w:eastAsia="en-US"/>
              </w:rPr>
              <w:t xml:space="preserve"> person or group in the target population</w:t>
            </w:r>
          </w:p>
          <w:p w14:paraId="0447FC03"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Ideally when the program has been running long enough to produce reliable results</w:t>
            </w:r>
          </w:p>
        </w:tc>
        <w:tc>
          <w:tcPr>
            <w:tcW w:w="2503" w:type="dxa"/>
          </w:tcPr>
          <w:p w14:paraId="589BBDBB"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At the beginning of a program</w:t>
            </w:r>
          </w:p>
          <w:p w14:paraId="69CA8313"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During the operation of an existing program</w:t>
            </w:r>
          </w:p>
        </w:tc>
      </w:tr>
      <w:tr w:rsidR="00676ACD" w:rsidRPr="00E72B1E" w14:paraId="2513A051" w14:textId="77777777" w:rsidTr="007B5579">
        <w:trPr>
          <w:trHeight w:val="1341"/>
        </w:trPr>
        <w:tc>
          <w:tcPr>
            <w:tcW w:w="1268" w:type="dxa"/>
          </w:tcPr>
          <w:p w14:paraId="19A6AEA6" w14:textId="77777777" w:rsidR="00676ACD" w:rsidRPr="00E72B1E" w:rsidRDefault="00676ACD" w:rsidP="007B5579">
            <w:pPr>
              <w:pStyle w:val="DVA1Number"/>
              <w:numPr>
                <w:ilvl w:val="0"/>
                <w:numId w:val="0"/>
              </w:numPr>
              <w:rPr>
                <w:b/>
                <w:bCs/>
                <w:sz w:val="16"/>
                <w:szCs w:val="16"/>
              </w:rPr>
            </w:pPr>
            <w:r w:rsidRPr="00E72B1E">
              <w:rPr>
                <w:b/>
                <w:bCs/>
                <w:sz w:val="16"/>
                <w:szCs w:val="16"/>
              </w:rPr>
              <w:t>What it shows</w:t>
            </w:r>
          </w:p>
        </w:tc>
        <w:tc>
          <w:tcPr>
            <w:tcW w:w="2413" w:type="dxa"/>
          </w:tcPr>
          <w:p w14:paraId="2A86C80F" w14:textId="77777777" w:rsidR="00676ACD" w:rsidRPr="00E72B1E" w:rsidRDefault="00676ACD" w:rsidP="007B5579">
            <w:pPr>
              <w:pStyle w:val="DVABulletnoparaspace"/>
              <w:rPr>
                <w:sz w:val="16"/>
              </w:rPr>
            </w:pPr>
            <w:r w:rsidRPr="00E72B1E">
              <w:rPr>
                <w:sz w:val="16"/>
              </w:rPr>
              <w:t>How well the program is working</w:t>
            </w:r>
            <w:r>
              <w:rPr>
                <w:sz w:val="16"/>
              </w:rPr>
              <w:t>,</w:t>
            </w:r>
            <w:r w:rsidRPr="00E72B1E">
              <w:rPr>
                <w:sz w:val="16"/>
              </w:rPr>
              <w:t xml:space="preserve"> the extent to which it is being implemented as intended</w:t>
            </w:r>
          </w:p>
          <w:p w14:paraId="0FB5B24E" w14:textId="77777777" w:rsidR="00676ACD" w:rsidRPr="00E72B1E" w:rsidRDefault="00676ACD" w:rsidP="007B5579">
            <w:pPr>
              <w:pStyle w:val="DVABulletnoparaspace"/>
              <w:rPr>
                <w:sz w:val="16"/>
              </w:rPr>
            </w:pPr>
            <w:r w:rsidRPr="00E72B1E">
              <w:rPr>
                <w:sz w:val="16"/>
              </w:rPr>
              <w:t>Whether the program is accessible or acceptable to the target population</w:t>
            </w:r>
          </w:p>
        </w:tc>
        <w:tc>
          <w:tcPr>
            <w:tcW w:w="2879" w:type="dxa"/>
          </w:tcPr>
          <w:p w14:paraId="48861F6B"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The degree to which the program is having an effect on the target population’s behaviour i.e. the effectiveness of the program</w:t>
            </w:r>
          </w:p>
          <w:p w14:paraId="5C7037D7"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Can identify who the program works best for and under which circumstances</w:t>
            </w:r>
          </w:p>
        </w:tc>
        <w:tc>
          <w:tcPr>
            <w:tcW w:w="2503" w:type="dxa"/>
          </w:tcPr>
          <w:p w14:paraId="581B297E"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What resources are being used, their direct and indirect costs compared with outcomes</w:t>
            </w:r>
            <w:r>
              <w:rPr>
                <w:kern w:val="0"/>
                <w:sz w:val="16"/>
                <w:szCs w:val="16"/>
                <w:lang w:eastAsia="en-US"/>
              </w:rPr>
              <w:t xml:space="preserve"> </w:t>
            </w:r>
          </w:p>
        </w:tc>
      </w:tr>
      <w:tr w:rsidR="00676ACD" w:rsidRPr="00E72B1E" w14:paraId="00381B8A" w14:textId="77777777" w:rsidTr="007B5579">
        <w:trPr>
          <w:trHeight w:val="354"/>
        </w:trPr>
        <w:tc>
          <w:tcPr>
            <w:tcW w:w="1268" w:type="dxa"/>
          </w:tcPr>
          <w:p w14:paraId="7CF9F939" w14:textId="77777777" w:rsidR="00676ACD" w:rsidRPr="00E72B1E" w:rsidRDefault="00676ACD" w:rsidP="007B5579">
            <w:pPr>
              <w:pStyle w:val="DVA1Number"/>
              <w:numPr>
                <w:ilvl w:val="0"/>
                <w:numId w:val="0"/>
              </w:numPr>
              <w:rPr>
                <w:b/>
                <w:bCs/>
                <w:sz w:val="16"/>
                <w:szCs w:val="16"/>
              </w:rPr>
            </w:pPr>
            <w:r w:rsidRPr="00E72B1E">
              <w:rPr>
                <w:b/>
                <w:bCs/>
                <w:sz w:val="16"/>
                <w:szCs w:val="16"/>
              </w:rPr>
              <w:t>Uses</w:t>
            </w:r>
          </w:p>
        </w:tc>
        <w:tc>
          <w:tcPr>
            <w:tcW w:w="2413" w:type="dxa"/>
          </w:tcPr>
          <w:p w14:paraId="1CDAE995" w14:textId="77777777" w:rsidR="00676ACD" w:rsidRDefault="00676ACD" w:rsidP="007B5579">
            <w:pPr>
              <w:pStyle w:val="DVABulletnoparaspace"/>
              <w:rPr>
                <w:sz w:val="16"/>
              </w:rPr>
            </w:pPr>
            <w:r w:rsidRPr="00E72B1E">
              <w:rPr>
                <w:sz w:val="16"/>
              </w:rPr>
              <w:t>To provide an assessment of program activity performance</w:t>
            </w:r>
          </w:p>
          <w:p w14:paraId="153FC5EF" w14:textId="77777777" w:rsidR="00676ACD" w:rsidRPr="00E72B1E" w:rsidRDefault="00676ACD" w:rsidP="007B5579">
            <w:pPr>
              <w:pStyle w:val="DVABulletnoparaspace"/>
              <w:rPr>
                <w:sz w:val="16"/>
              </w:rPr>
            </w:pPr>
            <w:r>
              <w:rPr>
                <w:sz w:val="16"/>
              </w:rPr>
              <w:t>To track reach and level of implementation</w:t>
            </w:r>
          </w:p>
          <w:p w14:paraId="4A991C45" w14:textId="77777777" w:rsidR="00676ACD" w:rsidRDefault="00676ACD" w:rsidP="007B5579">
            <w:pPr>
              <w:pStyle w:val="DVABulletnoparaspace"/>
              <w:rPr>
                <w:sz w:val="16"/>
              </w:rPr>
            </w:pPr>
            <w:r w:rsidRPr="00E72B1E">
              <w:rPr>
                <w:sz w:val="16"/>
              </w:rPr>
              <w:t>To inform adjustments to service delivery and program redesign</w:t>
            </w:r>
          </w:p>
          <w:p w14:paraId="6EDE509D" w14:textId="77777777" w:rsidR="00676ACD" w:rsidRPr="00E72B1E" w:rsidRDefault="00676ACD" w:rsidP="007B5579">
            <w:pPr>
              <w:pStyle w:val="DVABulletnoparaspace"/>
              <w:rPr>
                <w:sz w:val="16"/>
              </w:rPr>
            </w:pPr>
            <w:r>
              <w:rPr>
                <w:sz w:val="16"/>
              </w:rPr>
              <w:t>To identify potential or emerging problems</w:t>
            </w:r>
          </w:p>
        </w:tc>
        <w:tc>
          <w:tcPr>
            <w:tcW w:w="2879" w:type="dxa"/>
          </w:tcPr>
          <w:p w14:paraId="61C79729"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 xml:space="preserve">Shows whether a program is effective in meeting its </w:t>
            </w:r>
            <w:r>
              <w:rPr>
                <w:kern w:val="0"/>
                <w:sz w:val="16"/>
                <w:szCs w:val="16"/>
                <w:lang w:eastAsia="en-US"/>
              </w:rPr>
              <w:t xml:space="preserve">outcomes-based </w:t>
            </w:r>
            <w:r w:rsidRPr="00E72B1E">
              <w:rPr>
                <w:kern w:val="0"/>
                <w:sz w:val="16"/>
                <w:szCs w:val="16"/>
                <w:lang w:eastAsia="en-US"/>
              </w:rPr>
              <w:t>objectives</w:t>
            </w:r>
          </w:p>
        </w:tc>
        <w:tc>
          <w:tcPr>
            <w:tcW w:w="2503" w:type="dxa"/>
          </w:tcPr>
          <w:p w14:paraId="40FEF11D"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To promote efficient and appropriate resource allocation</w:t>
            </w:r>
          </w:p>
          <w:p w14:paraId="0F74AA9F"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 xml:space="preserve">To compare </w:t>
            </w:r>
            <w:r>
              <w:rPr>
                <w:kern w:val="0"/>
                <w:sz w:val="16"/>
                <w:szCs w:val="16"/>
                <w:lang w:eastAsia="en-US"/>
              </w:rPr>
              <w:t xml:space="preserve">alternatives with regard to </w:t>
            </w:r>
            <w:r w:rsidRPr="00E72B1E">
              <w:rPr>
                <w:kern w:val="0"/>
                <w:sz w:val="16"/>
                <w:szCs w:val="16"/>
                <w:lang w:eastAsia="en-US"/>
              </w:rPr>
              <w:t>public or economic value e.g. no policy change option, compared to other programs</w:t>
            </w:r>
          </w:p>
          <w:p w14:paraId="09C25B60"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To inform whether a program should continue or cease</w:t>
            </w:r>
          </w:p>
        </w:tc>
      </w:tr>
      <w:tr w:rsidR="00676ACD" w:rsidRPr="00E72B1E" w14:paraId="1DF58811" w14:textId="77777777" w:rsidTr="007B5579">
        <w:trPr>
          <w:trHeight w:val="354"/>
        </w:trPr>
        <w:tc>
          <w:tcPr>
            <w:tcW w:w="1268" w:type="dxa"/>
          </w:tcPr>
          <w:p w14:paraId="03853050" w14:textId="77777777" w:rsidR="00676ACD" w:rsidRPr="00E72B1E" w:rsidRDefault="00676ACD" w:rsidP="007B5579">
            <w:pPr>
              <w:pStyle w:val="DVA1Number"/>
              <w:numPr>
                <w:ilvl w:val="0"/>
                <w:numId w:val="0"/>
              </w:numPr>
              <w:rPr>
                <w:b/>
                <w:bCs/>
                <w:sz w:val="16"/>
                <w:szCs w:val="16"/>
              </w:rPr>
            </w:pPr>
            <w:r w:rsidRPr="00E72B1E">
              <w:rPr>
                <w:b/>
                <w:bCs/>
                <w:sz w:val="16"/>
                <w:szCs w:val="16"/>
              </w:rPr>
              <w:t>Methodologies used</w:t>
            </w:r>
          </w:p>
        </w:tc>
        <w:tc>
          <w:tcPr>
            <w:tcW w:w="2413" w:type="dxa"/>
          </w:tcPr>
          <w:p w14:paraId="279B22DD" w14:textId="77777777" w:rsidR="00676ACD" w:rsidRPr="00E72B1E" w:rsidRDefault="00676ACD" w:rsidP="007B5579">
            <w:pPr>
              <w:pStyle w:val="DVABulletnoparaspace"/>
              <w:rPr>
                <w:sz w:val="16"/>
              </w:rPr>
            </w:pPr>
            <w:r w:rsidRPr="00E72B1E">
              <w:rPr>
                <w:sz w:val="16"/>
              </w:rPr>
              <w:t>Business and process analysis techniques including</w:t>
            </w:r>
            <w:r>
              <w:rPr>
                <w:sz w:val="16"/>
              </w:rPr>
              <w:t>:</w:t>
            </w:r>
          </w:p>
          <w:p w14:paraId="05954A2C" w14:textId="77777777" w:rsidR="00676ACD" w:rsidRPr="00E72B1E" w:rsidRDefault="00676ACD" w:rsidP="007B5579">
            <w:pPr>
              <w:pStyle w:val="DVABulletnoparaspace"/>
              <w:ind w:left="602"/>
              <w:rPr>
                <w:sz w:val="16"/>
              </w:rPr>
            </w:pPr>
            <w:r w:rsidRPr="00E72B1E">
              <w:rPr>
                <w:sz w:val="16"/>
              </w:rPr>
              <w:t>Document reviews</w:t>
            </w:r>
          </w:p>
          <w:p w14:paraId="4B4B2B06" w14:textId="77777777" w:rsidR="00676ACD" w:rsidRPr="00E72B1E" w:rsidRDefault="00676ACD" w:rsidP="007B5579">
            <w:pPr>
              <w:pStyle w:val="DVABulletnoparaspace"/>
              <w:ind w:left="602"/>
              <w:rPr>
                <w:sz w:val="16"/>
              </w:rPr>
            </w:pPr>
            <w:r w:rsidRPr="00E72B1E">
              <w:rPr>
                <w:sz w:val="16"/>
              </w:rPr>
              <w:t>Observation</w:t>
            </w:r>
          </w:p>
          <w:p w14:paraId="1DBE6DBF" w14:textId="77777777" w:rsidR="00676ACD" w:rsidRPr="00E72B1E" w:rsidRDefault="00676ACD" w:rsidP="007B5579">
            <w:pPr>
              <w:pStyle w:val="DVABulletnoparaspace"/>
              <w:ind w:left="602"/>
              <w:rPr>
                <w:sz w:val="16"/>
              </w:rPr>
            </w:pPr>
            <w:r w:rsidRPr="00E72B1E">
              <w:rPr>
                <w:sz w:val="16"/>
              </w:rPr>
              <w:t>Surveys</w:t>
            </w:r>
          </w:p>
          <w:p w14:paraId="2D84EB0A" w14:textId="77777777" w:rsidR="00676ACD" w:rsidRPr="00E72B1E" w:rsidRDefault="00676ACD" w:rsidP="007B5579">
            <w:pPr>
              <w:pStyle w:val="DVABulletnoparaspace"/>
              <w:ind w:left="602"/>
              <w:rPr>
                <w:sz w:val="16"/>
              </w:rPr>
            </w:pPr>
            <w:r w:rsidRPr="00E72B1E">
              <w:rPr>
                <w:sz w:val="16"/>
              </w:rPr>
              <w:t>Individual or group interviews</w:t>
            </w:r>
          </w:p>
          <w:p w14:paraId="5F39B061" w14:textId="77777777" w:rsidR="00676ACD" w:rsidRPr="00E72B1E" w:rsidRDefault="00676ACD" w:rsidP="007B5579">
            <w:pPr>
              <w:pStyle w:val="DVABulletnoparaspace"/>
              <w:ind w:left="602"/>
              <w:rPr>
                <w:sz w:val="16"/>
              </w:rPr>
            </w:pPr>
            <w:r w:rsidRPr="00E72B1E">
              <w:rPr>
                <w:sz w:val="16"/>
              </w:rPr>
              <w:t>Administrative program data analysis</w:t>
            </w:r>
          </w:p>
        </w:tc>
        <w:tc>
          <w:tcPr>
            <w:tcW w:w="2879" w:type="dxa"/>
          </w:tcPr>
          <w:p w14:paraId="43305999"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Experimental, quasi-experimental and non-experimental designs</w:t>
            </w:r>
          </w:p>
        </w:tc>
        <w:tc>
          <w:tcPr>
            <w:tcW w:w="2503" w:type="dxa"/>
          </w:tcPr>
          <w:p w14:paraId="30EA0CB0" w14:textId="193B78D1"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 xml:space="preserve">Cost benefit analysis, cost effectiveness analysis, cost analysis, cost utility analysis, cost </w:t>
            </w:r>
            <w:r w:rsidR="00493CFF" w:rsidRPr="00E72B1E">
              <w:rPr>
                <w:kern w:val="0"/>
                <w:sz w:val="16"/>
                <w:szCs w:val="16"/>
                <w:lang w:eastAsia="en-US"/>
              </w:rPr>
              <w:t>minimization</w:t>
            </w:r>
            <w:r w:rsidRPr="00E72B1E">
              <w:rPr>
                <w:kern w:val="0"/>
                <w:sz w:val="16"/>
                <w:szCs w:val="16"/>
                <w:lang w:eastAsia="en-US"/>
              </w:rPr>
              <w:t xml:space="preserve"> analysis, multi-criteria analysis, cost consequence analysis, return on investment, economic impact analysis</w:t>
            </w:r>
          </w:p>
        </w:tc>
      </w:tr>
      <w:tr w:rsidR="00676ACD" w:rsidRPr="00E72B1E" w14:paraId="309ECAB0" w14:textId="77777777" w:rsidTr="007B5579">
        <w:trPr>
          <w:trHeight w:val="354"/>
        </w:trPr>
        <w:tc>
          <w:tcPr>
            <w:tcW w:w="1268" w:type="dxa"/>
          </w:tcPr>
          <w:p w14:paraId="6F71BCA1" w14:textId="77777777" w:rsidR="00676ACD" w:rsidRPr="00E72B1E" w:rsidRDefault="00676ACD" w:rsidP="007B5579">
            <w:pPr>
              <w:pStyle w:val="DVA1Number"/>
              <w:numPr>
                <w:ilvl w:val="0"/>
                <w:numId w:val="0"/>
              </w:numPr>
              <w:rPr>
                <w:b/>
                <w:bCs/>
                <w:sz w:val="16"/>
                <w:szCs w:val="16"/>
              </w:rPr>
            </w:pPr>
            <w:r w:rsidRPr="00E72B1E">
              <w:rPr>
                <w:b/>
                <w:bCs/>
                <w:sz w:val="16"/>
                <w:szCs w:val="16"/>
              </w:rPr>
              <w:t>Requirements to conduct</w:t>
            </w:r>
          </w:p>
        </w:tc>
        <w:tc>
          <w:tcPr>
            <w:tcW w:w="2413" w:type="dxa"/>
          </w:tcPr>
          <w:p w14:paraId="795E5F20" w14:textId="77777777" w:rsidR="00676ACD" w:rsidRPr="00E72B1E" w:rsidRDefault="00676ACD" w:rsidP="007B5579">
            <w:pPr>
              <w:pStyle w:val="DVABulletnoparaspace"/>
              <w:rPr>
                <w:sz w:val="16"/>
              </w:rPr>
            </w:pPr>
            <w:r w:rsidRPr="00E72B1E">
              <w:rPr>
                <w:sz w:val="16"/>
              </w:rPr>
              <w:t>Program has been operating long enough to document and assess operations</w:t>
            </w:r>
          </w:p>
        </w:tc>
        <w:tc>
          <w:tcPr>
            <w:tcW w:w="2879" w:type="dxa"/>
          </w:tcPr>
          <w:p w14:paraId="34744B88"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Program design</w:t>
            </w:r>
            <w:r>
              <w:rPr>
                <w:kern w:val="0"/>
                <w:sz w:val="16"/>
                <w:szCs w:val="16"/>
                <w:lang w:eastAsia="en-US"/>
              </w:rPr>
              <w:t xml:space="preserve"> complete i.e.</w:t>
            </w:r>
            <w:r w:rsidRPr="00E72B1E">
              <w:rPr>
                <w:kern w:val="0"/>
                <w:sz w:val="16"/>
                <w:szCs w:val="16"/>
                <w:lang w:eastAsia="en-US"/>
              </w:rPr>
              <w:t xml:space="preserve"> </w:t>
            </w:r>
            <w:r w:rsidRPr="00CA21C9">
              <w:rPr>
                <w:kern w:val="0"/>
                <w:sz w:val="16"/>
                <w:szCs w:val="16"/>
                <w:lang w:eastAsia="en-US"/>
              </w:rPr>
              <w:t>outcomes specified, measurement tools in place and used change is clearly set out with Program logic)</w:t>
            </w:r>
          </w:p>
          <w:p w14:paraId="6C827273"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Program data identified, collection and management organised, data analysis methodology confirmed, how the data will be reported (this includes any comparison data)</w:t>
            </w:r>
          </w:p>
          <w:p w14:paraId="636DA202"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Organisational and cultural context</w:t>
            </w:r>
          </w:p>
        </w:tc>
        <w:tc>
          <w:tcPr>
            <w:tcW w:w="2503" w:type="dxa"/>
          </w:tcPr>
          <w:p w14:paraId="7FED06DB"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Specialist evaluators to conduct the following</w:t>
            </w:r>
          </w:p>
          <w:p w14:paraId="432D017C" w14:textId="77777777" w:rsidR="00676ACD" w:rsidRPr="00E72B1E" w:rsidRDefault="00676ACD" w:rsidP="00676ACD">
            <w:pPr>
              <w:pStyle w:val="DVA1Number"/>
              <w:numPr>
                <w:ilvl w:val="0"/>
                <w:numId w:val="21"/>
              </w:numPr>
              <w:spacing w:after="0"/>
              <w:ind w:left="357" w:hanging="357"/>
              <w:rPr>
                <w:kern w:val="0"/>
                <w:sz w:val="16"/>
                <w:szCs w:val="16"/>
                <w:lang w:eastAsia="en-US"/>
              </w:rPr>
            </w:pPr>
            <w:r w:rsidRPr="00E72B1E">
              <w:rPr>
                <w:kern w:val="0"/>
                <w:sz w:val="16"/>
                <w:szCs w:val="16"/>
                <w:lang w:eastAsia="en-US"/>
              </w:rPr>
              <w:t>Can only be done when a program is producing reliable results data that can be valued (needs planning before implementation)</w:t>
            </w:r>
          </w:p>
        </w:tc>
      </w:tr>
    </w:tbl>
    <w:p w14:paraId="56D29734" w14:textId="27F71BE4" w:rsidR="00676ACD" w:rsidRDefault="00676ACD" w:rsidP="00676ACD">
      <w:pPr>
        <w:pStyle w:val="DVA1Number"/>
        <w:numPr>
          <w:ilvl w:val="0"/>
          <w:numId w:val="0"/>
        </w:numPr>
        <w:spacing w:before="240"/>
        <w:sectPr w:rsidR="00676ACD" w:rsidSect="00BA720D">
          <w:footerReference w:type="default" r:id="rId22"/>
          <w:pgSz w:w="11909" w:h="16834" w:code="9"/>
          <w:pgMar w:top="2818" w:right="1134" w:bottom="1418" w:left="1134" w:header="595" w:footer="454" w:gutter="0"/>
          <w:cols w:space="720"/>
          <w:docGrid w:linePitch="360"/>
        </w:sectPr>
      </w:pPr>
      <w:r>
        <w:fldChar w:fldCharType="begin"/>
      </w:r>
      <w:r>
        <w:instrText xml:space="preserve"> REF _Ref105753896 \h </w:instrText>
      </w:r>
      <w:r>
        <w:fldChar w:fldCharType="separate"/>
      </w:r>
      <w:r w:rsidR="00812188">
        <w:t xml:space="preserve">Figure </w:t>
      </w:r>
      <w:r w:rsidR="00812188">
        <w:rPr>
          <w:noProof/>
        </w:rPr>
        <w:t>8</w:t>
      </w:r>
      <w:r>
        <w:fldChar w:fldCharType="end"/>
      </w:r>
      <w:r>
        <w:t xml:space="preserve"> on the next page provides a decision-tree for choosing between a process, outcome and economic evaluation. </w:t>
      </w:r>
    </w:p>
    <w:p w14:paraId="67FF9ADA" w14:textId="02FD4123" w:rsidR="00676ACD" w:rsidRDefault="00676ACD" w:rsidP="00676ACD">
      <w:pPr>
        <w:pStyle w:val="Caption"/>
      </w:pPr>
      <w:bookmarkStart w:id="113" w:name="_Ref105753896"/>
      <w:r>
        <w:lastRenderedPageBreak/>
        <w:t xml:space="preserve">Figure </w:t>
      </w:r>
      <w:r>
        <w:fldChar w:fldCharType="begin"/>
      </w:r>
      <w:r>
        <w:instrText xml:space="preserve"> SEQ Figure \* ARABIC </w:instrText>
      </w:r>
      <w:r>
        <w:fldChar w:fldCharType="separate"/>
      </w:r>
      <w:r w:rsidR="00812188">
        <w:rPr>
          <w:noProof/>
        </w:rPr>
        <w:t>8</w:t>
      </w:r>
      <w:r>
        <w:fldChar w:fldCharType="end"/>
      </w:r>
      <w:bookmarkEnd w:id="113"/>
      <w:r>
        <w:t>: Decision tree for choosing between a process, outcome and economic evaluation</w:t>
      </w:r>
    </w:p>
    <w:p w14:paraId="53E48BCA" w14:textId="77777777" w:rsidR="00676ACD" w:rsidRDefault="00676ACD" w:rsidP="00676ACD">
      <w:pPr>
        <w:pStyle w:val="DVA1Number"/>
        <w:numPr>
          <w:ilvl w:val="0"/>
          <w:numId w:val="0"/>
        </w:numPr>
        <w:spacing w:before="240"/>
        <w:jc w:val="center"/>
        <w:rPr>
          <w:noProof/>
        </w:rPr>
      </w:pPr>
      <w:r>
        <w:rPr>
          <w:noProof/>
        </w:rPr>
        <w:drawing>
          <wp:inline distT="0" distB="0" distL="0" distR="0" wp14:anchorId="404C80CE" wp14:editId="51F631C8">
            <wp:extent cx="7549117" cy="54519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54766" cy="5456052"/>
                    </a:xfrm>
                    <a:prstGeom prst="rect">
                      <a:avLst/>
                    </a:prstGeom>
                  </pic:spPr>
                </pic:pic>
              </a:graphicData>
            </a:graphic>
          </wp:inline>
        </w:drawing>
      </w:r>
    </w:p>
    <w:p w14:paraId="01D3A21F" w14:textId="77777777" w:rsidR="00676ACD" w:rsidRDefault="00676ACD" w:rsidP="00676ACD">
      <w:pPr>
        <w:pStyle w:val="DVA1Number"/>
        <w:numPr>
          <w:ilvl w:val="0"/>
          <w:numId w:val="0"/>
        </w:numPr>
        <w:spacing w:before="240"/>
        <w:sectPr w:rsidR="00676ACD" w:rsidSect="007B5579">
          <w:headerReference w:type="default" r:id="rId24"/>
          <w:pgSz w:w="16834" w:h="11909" w:orient="landscape" w:code="9"/>
          <w:pgMar w:top="1418" w:right="1418" w:bottom="1418" w:left="1418" w:header="709" w:footer="425" w:gutter="0"/>
          <w:cols w:space="720"/>
          <w:docGrid w:linePitch="360"/>
        </w:sectPr>
      </w:pPr>
    </w:p>
    <w:p w14:paraId="2EFF3BA8" w14:textId="0B190A31" w:rsidR="00676ACD" w:rsidRPr="00E72B1E" w:rsidRDefault="00676ACD" w:rsidP="00676ACD">
      <w:pPr>
        <w:pStyle w:val="DVA1Number"/>
        <w:numPr>
          <w:ilvl w:val="0"/>
          <w:numId w:val="0"/>
        </w:numPr>
        <w:spacing w:before="240"/>
      </w:pPr>
      <w:r>
        <w:lastRenderedPageBreak/>
        <w:t>The NT Department of Treasury and Finance guides Northern Territory agencies in choosing the most appropriate type of evaluations dependent on the goal of the evaluation. They acknowledge that, while all evaluation types can offer value to organisations, process evaluations are the most commonly conducted type of evaluation, as many Northern Territory agencies are still at the beginning of their evaluation journey (</w:t>
      </w:r>
      <w:r>
        <w:fldChar w:fldCharType="begin"/>
      </w:r>
      <w:r>
        <w:instrText xml:space="preserve"> REF _Ref105509723 \h </w:instrText>
      </w:r>
      <w:r>
        <w:fldChar w:fldCharType="separate"/>
      </w:r>
      <w:r w:rsidR="00812188">
        <w:t xml:space="preserve">Table </w:t>
      </w:r>
      <w:r w:rsidR="00812188">
        <w:rPr>
          <w:noProof/>
        </w:rPr>
        <w:t>21</w:t>
      </w:r>
      <w:r w:rsidR="00812188">
        <w:t>: Case Study I</w:t>
      </w:r>
      <w:r>
        <w:fldChar w:fldCharType="end"/>
      </w:r>
      <w:r>
        <w:t>).</w:t>
      </w:r>
    </w:p>
    <w:p w14:paraId="73673C42" w14:textId="115D2614" w:rsidR="00676ACD" w:rsidRPr="009014F6" w:rsidRDefault="00676ACD" w:rsidP="009014F6">
      <w:pPr>
        <w:pStyle w:val="DVA1Number"/>
        <w:numPr>
          <w:ilvl w:val="0"/>
          <w:numId w:val="0"/>
        </w:numPr>
        <w:spacing w:before="240"/>
      </w:pPr>
      <w:r w:rsidRPr="009014F6">
        <w:t xml:space="preserve">Outcome evaluations require some special consideration, as they tend to use (often) sophisticated quantitative methods. Guidance from the NSW Ministry of Health and selected articles from the published literature review identified three types of study designs can be employed for outcome evaluation, which vary according to the stage of implementation where they can be used – randomised controlled trials (RCTs), quasi-experimental designs and non-experimental designs. </w:t>
      </w:r>
      <w:r w:rsidRPr="009014F6">
        <w:fldChar w:fldCharType="begin"/>
      </w:r>
      <w:r w:rsidRPr="009014F6">
        <w:instrText xml:space="preserve"> REF _Ref106735412 \h  \* MERGEFORMAT </w:instrText>
      </w:r>
      <w:r w:rsidRPr="009014F6">
        <w:fldChar w:fldCharType="separate"/>
      </w:r>
      <w:r w:rsidR="00812188" w:rsidRPr="00E72B1E">
        <w:t xml:space="preserve">Table </w:t>
      </w:r>
      <w:r w:rsidR="00812188">
        <w:t>11</w:t>
      </w:r>
      <w:r w:rsidRPr="009014F6">
        <w:fldChar w:fldCharType="end"/>
      </w:r>
      <w:r w:rsidRPr="009014F6">
        <w:t xml:space="preserve"> outlines the features of different outcome evaluation designs.</w:t>
      </w:r>
      <w:bookmarkStart w:id="114" w:name="_Ref104838032"/>
    </w:p>
    <w:p w14:paraId="5A7FA1B7" w14:textId="707B73FE" w:rsidR="00676ACD" w:rsidRPr="00E72B1E" w:rsidRDefault="00676ACD" w:rsidP="00676ACD">
      <w:pPr>
        <w:pStyle w:val="Caption"/>
      </w:pPr>
      <w:bookmarkStart w:id="115" w:name="_Ref106735412"/>
      <w:r w:rsidRPr="00E72B1E">
        <w:t xml:space="preserve">Table </w:t>
      </w:r>
      <w:r w:rsidRPr="00E72B1E">
        <w:fldChar w:fldCharType="begin"/>
      </w:r>
      <w:r w:rsidRPr="00E72B1E">
        <w:instrText xml:space="preserve"> SEQ Table \* ARABIC </w:instrText>
      </w:r>
      <w:r w:rsidRPr="00E72B1E">
        <w:fldChar w:fldCharType="separate"/>
      </w:r>
      <w:r w:rsidR="00812188">
        <w:rPr>
          <w:noProof/>
        </w:rPr>
        <w:t>11</w:t>
      </w:r>
      <w:r w:rsidRPr="00E72B1E">
        <w:fldChar w:fldCharType="end"/>
      </w:r>
      <w:bookmarkEnd w:id="114"/>
      <w:bookmarkEnd w:id="115"/>
      <w:r>
        <w:t>.</w:t>
      </w:r>
      <w:r w:rsidRPr="00E72B1E">
        <w:t xml:space="preserve"> Comparison of study designs </w:t>
      </w:r>
      <w:r>
        <w:t xml:space="preserve">used in outcome evaluation </w:t>
      </w:r>
      <w:sdt>
        <w:sdtPr>
          <w:id w:val="462155023"/>
          <w:citation/>
        </w:sdtPr>
        <w:sdtEndPr/>
        <w:sdtContent>
          <w:r w:rsidRPr="00E72B1E">
            <w:fldChar w:fldCharType="begin"/>
          </w:r>
          <w:r w:rsidRPr="00E72B1E">
            <w:instrText xml:space="preserve">CITATION NSW191 \l 3081 </w:instrText>
          </w:r>
          <w:r w:rsidRPr="00E72B1E">
            <w:fldChar w:fldCharType="separate"/>
          </w:r>
          <w:r w:rsidR="00710993">
            <w:rPr>
              <w:noProof/>
            </w:rPr>
            <w:t>(34)</w:t>
          </w:r>
          <w:r w:rsidRPr="00E72B1E">
            <w:fldChar w:fldCharType="end"/>
          </w:r>
        </w:sdtContent>
      </w:sdt>
      <w:r w:rsidRPr="00E72B1E">
        <w:t xml:space="preserve"> </w:t>
      </w:r>
      <w:sdt>
        <w:sdtPr>
          <w:id w:val="-1132093358"/>
          <w:citation/>
        </w:sdtPr>
        <w:sdtEndPr/>
        <w:sdtContent>
          <w:r w:rsidRPr="00E72B1E">
            <w:fldChar w:fldCharType="begin"/>
          </w:r>
          <w:r w:rsidRPr="00E72B1E">
            <w:instrText xml:space="preserve"> CITATION Lim16 \l 3081 </w:instrText>
          </w:r>
          <w:r w:rsidRPr="00E72B1E">
            <w:fldChar w:fldCharType="separate"/>
          </w:r>
          <w:r w:rsidR="00710993">
            <w:rPr>
              <w:noProof/>
            </w:rPr>
            <w:t>(24)</w:t>
          </w:r>
          <w:r w:rsidRPr="00E72B1E">
            <w:fldChar w:fldCharType="end"/>
          </w:r>
        </w:sdtContent>
      </w:sdt>
      <w:r w:rsidRPr="00E72B1E">
        <w:t xml:space="preserve"> </w:t>
      </w:r>
      <w:sdt>
        <w:sdtPr>
          <w:id w:val="-1091931770"/>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p>
    <w:tbl>
      <w:tblPr>
        <w:tblStyle w:val="TableGrid"/>
        <w:tblW w:w="0" w:type="auto"/>
        <w:tblLook w:val="04A0" w:firstRow="1" w:lastRow="0" w:firstColumn="1" w:lastColumn="0" w:noHBand="0" w:noVBand="1"/>
      </w:tblPr>
      <w:tblGrid>
        <w:gridCol w:w="1365"/>
        <w:gridCol w:w="2574"/>
        <w:gridCol w:w="2536"/>
        <w:gridCol w:w="2588"/>
      </w:tblGrid>
      <w:tr w:rsidR="00676ACD" w:rsidRPr="005A270E" w14:paraId="2CEDE92B" w14:textId="77777777" w:rsidTr="007B5579">
        <w:tc>
          <w:tcPr>
            <w:tcW w:w="1365" w:type="dxa"/>
            <w:shd w:val="clear" w:color="auto" w:fill="CDCDCD"/>
          </w:tcPr>
          <w:p w14:paraId="6D6BDF7D" w14:textId="77777777" w:rsidR="00676ACD" w:rsidRPr="005A270E" w:rsidRDefault="00676ACD" w:rsidP="007B5579">
            <w:pPr>
              <w:pStyle w:val="DVABodytextwithparaspace"/>
              <w:rPr>
                <w:b/>
                <w:bCs/>
                <w:sz w:val="16"/>
                <w:szCs w:val="16"/>
              </w:rPr>
            </w:pPr>
            <w:r w:rsidRPr="005A270E">
              <w:rPr>
                <w:b/>
                <w:bCs/>
                <w:sz w:val="16"/>
                <w:szCs w:val="16"/>
              </w:rPr>
              <w:t>Study design</w:t>
            </w:r>
          </w:p>
        </w:tc>
        <w:tc>
          <w:tcPr>
            <w:tcW w:w="2574" w:type="dxa"/>
            <w:shd w:val="clear" w:color="auto" w:fill="1D3567"/>
          </w:tcPr>
          <w:p w14:paraId="5E69C1D5" w14:textId="77777777" w:rsidR="00676ACD" w:rsidRPr="005A270E" w:rsidRDefault="00676ACD" w:rsidP="00BA720D">
            <w:pPr>
              <w:pStyle w:val="DVABodytextwithparaspace"/>
              <w:spacing w:after="0"/>
              <w:rPr>
                <w:b/>
                <w:bCs/>
                <w:sz w:val="16"/>
                <w:szCs w:val="16"/>
              </w:rPr>
            </w:pPr>
            <w:r w:rsidRPr="005A270E">
              <w:rPr>
                <w:b/>
                <w:bCs/>
                <w:sz w:val="16"/>
                <w:szCs w:val="16"/>
              </w:rPr>
              <w:t>Randomised Controlled Trials (experimental design)</w:t>
            </w:r>
          </w:p>
        </w:tc>
        <w:tc>
          <w:tcPr>
            <w:tcW w:w="2536" w:type="dxa"/>
            <w:shd w:val="clear" w:color="auto" w:fill="1D3567"/>
          </w:tcPr>
          <w:p w14:paraId="1A3DF94C" w14:textId="77777777" w:rsidR="00676ACD" w:rsidRPr="005A270E" w:rsidRDefault="00676ACD" w:rsidP="007B5579">
            <w:pPr>
              <w:pStyle w:val="DVABodytextwithparaspace"/>
              <w:rPr>
                <w:b/>
                <w:bCs/>
                <w:sz w:val="16"/>
                <w:szCs w:val="16"/>
              </w:rPr>
            </w:pPr>
            <w:r w:rsidRPr="005A270E">
              <w:rPr>
                <w:b/>
                <w:bCs/>
                <w:sz w:val="16"/>
                <w:szCs w:val="16"/>
              </w:rPr>
              <w:t>Quasi-experimental designs</w:t>
            </w:r>
          </w:p>
        </w:tc>
        <w:tc>
          <w:tcPr>
            <w:tcW w:w="2588" w:type="dxa"/>
            <w:shd w:val="clear" w:color="auto" w:fill="1D3567"/>
          </w:tcPr>
          <w:p w14:paraId="5691A82F" w14:textId="77777777" w:rsidR="00676ACD" w:rsidRPr="005A270E" w:rsidRDefault="00676ACD" w:rsidP="007B5579">
            <w:pPr>
              <w:pStyle w:val="DVABodytextwithparaspace"/>
              <w:rPr>
                <w:b/>
                <w:bCs/>
                <w:sz w:val="16"/>
                <w:szCs w:val="16"/>
              </w:rPr>
            </w:pPr>
            <w:r w:rsidRPr="005A270E">
              <w:rPr>
                <w:b/>
                <w:bCs/>
                <w:sz w:val="16"/>
                <w:szCs w:val="16"/>
              </w:rPr>
              <w:t>Non-experimental designs</w:t>
            </w:r>
          </w:p>
        </w:tc>
      </w:tr>
      <w:tr w:rsidR="00676ACD" w:rsidRPr="005A270E" w14:paraId="7CAF1050" w14:textId="77777777" w:rsidTr="007B5579">
        <w:tc>
          <w:tcPr>
            <w:tcW w:w="1365" w:type="dxa"/>
            <w:shd w:val="clear" w:color="auto" w:fill="CDCDCD"/>
          </w:tcPr>
          <w:p w14:paraId="3E16E525" w14:textId="77777777" w:rsidR="00676ACD" w:rsidRPr="005A270E" w:rsidRDefault="00676ACD" w:rsidP="007B5579">
            <w:pPr>
              <w:pStyle w:val="DVABodytextwithparaspace"/>
              <w:rPr>
                <w:b/>
                <w:bCs/>
                <w:sz w:val="16"/>
                <w:szCs w:val="16"/>
              </w:rPr>
            </w:pPr>
            <w:r w:rsidRPr="005A270E">
              <w:rPr>
                <w:b/>
                <w:bCs/>
                <w:sz w:val="16"/>
                <w:szCs w:val="16"/>
              </w:rPr>
              <w:t>Description</w:t>
            </w:r>
          </w:p>
        </w:tc>
        <w:tc>
          <w:tcPr>
            <w:tcW w:w="2574" w:type="dxa"/>
          </w:tcPr>
          <w:p w14:paraId="0F61A412" w14:textId="77777777" w:rsidR="00676ACD" w:rsidRPr="005A270E" w:rsidRDefault="00676ACD" w:rsidP="007B5579">
            <w:pPr>
              <w:pStyle w:val="DVABodytextwithparaspace"/>
              <w:spacing w:after="0"/>
              <w:rPr>
                <w:sz w:val="16"/>
                <w:szCs w:val="16"/>
              </w:rPr>
            </w:pPr>
            <w:r w:rsidRPr="005A270E">
              <w:rPr>
                <w:sz w:val="16"/>
                <w:szCs w:val="16"/>
              </w:rPr>
              <w:t>The establishment of two or more groups that are identical except for a single factor of interest, for example, exposure to an intervention. Individuals are randomly assigned to either the control group or an intervention group at the start of the study to measure the impact of the intervention.</w:t>
            </w:r>
          </w:p>
        </w:tc>
        <w:tc>
          <w:tcPr>
            <w:tcW w:w="2536" w:type="dxa"/>
          </w:tcPr>
          <w:p w14:paraId="2FE00209" w14:textId="77777777" w:rsidR="00676ACD" w:rsidRPr="005A270E" w:rsidRDefault="00676ACD" w:rsidP="007B5579">
            <w:pPr>
              <w:pStyle w:val="DVABodytextwithparaspace"/>
              <w:spacing w:after="100" w:afterAutospacing="1"/>
              <w:rPr>
                <w:sz w:val="16"/>
                <w:szCs w:val="16"/>
              </w:rPr>
            </w:pPr>
            <w:r w:rsidRPr="005A270E">
              <w:rPr>
                <w:sz w:val="16"/>
                <w:szCs w:val="16"/>
              </w:rPr>
              <w:t>Controlled before and after studies measure observations before and after the implementation of an intervention and compare them to a control group who did not receive the intervention. The main difference between this design and an RCT is that there is no random assignment to treatment groups. A matched control group (consisting of non-participants) is used for comparison purposes and helps to ascribe the effect to the intervention itself.</w:t>
            </w:r>
          </w:p>
        </w:tc>
        <w:tc>
          <w:tcPr>
            <w:tcW w:w="2588" w:type="dxa"/>
          </w:tcPr>
          <w:p w14:paraId="3FBACF4A" w14:textId="77777777" w:rsidR="00676ACD" w:rsidRPr="005A270E" w:rsidRDefault="00676ACD" w:rsidP="007B5579">
            <w:pPr>
              <w:pStyle w:val="DVABodytextwithparaspace"/>
              <w:spacing w:after="100" w:afterAutospacing="1"/>
              <w:rPr>
                <w:sz w:val="16"/>
                <w:szCs w:val="16"/>
              </w:rPr>
            </w:pPr>
            <w:r w:rsidRPr="005A270E">
              <w:rPr>
                <w:sz w:val="16"/>
                <w:szCs w:val="16"/>
              </w:rPr>
              <w:t>Unlike experimental designs, non-experimental designs do not include a control group whereby participants or groups are randomly assigned to receive the intervention or usual care, nor is there randomisation in terms of sampling.</w:t>
            </w:r>
          </w:p>
        </w:tc>
      </w:tr>
      <w:tr w:rsidR="00676ACD" w:rsidRPr="005A270E" w14:paraId="6E5082B5" w14:textId="77777777" w:rsidTr="007B5579">
        <w:tc>
          <w:tcPr>
            <w:tcW w:w="1365" w:type="dxa"/>
            <w:shd w:val="clear" w:color="auto" w:fill="CDCDCD"/>
          </w:tcPr>
          <w:p w14:paraId="6311C35F" w14:textId="77777777" w:rsidR="00676ACD" w:rsidRPr="005A270E" w:rsidRDefault="00676ACD" w:rsidP="007B5579">
            <w:pPr>
              <w:pStyle w:val="DVABodytextwithparaspace"/>
              <w:rPr>
                <w:b/>
                <w:bCs/>
                <w:sz w:val="16"/>
                <w:szCs w:val="16"/>
              </w:rPr>
            </w:pPr>
            <w:r w:rsidRPr="005A270E">
              <w:rPr>
                <w:b/>
                <w:bCs/>
                <w:sz w:val="16"/>
                <w:szCs w:val="16"/>
              </w:rPr>
              <w:t>When to use this method</w:t>
            </w:r>
          </w:p>
        </w:tc>
        <w:tc>
          <w:tcPr>
            <w:tcW w:w="2574" w:type="dxa"/>
          </w:tcPr>
          <w:p w14:paraId="3B810C86" w14:textId="77777777" w:rsidR="00676ACD" w:rsidRPr="005A270E" w:rsidRDefault="00676ACD" w:rsidP="007B5579">
            <w:pPr>
              <w:pStyle w:val="DVABodytextwithparaspace"/>
              <w:spacing w:after="0"/>
              <w:rPr>
                <w:sz w:val="16"/>
                <w:szCs w:val="16"/>
              </w:rPr>
            </w:pPr>
            <w:r w:rsidRPr="005A270E">
              <w:rPr>
                <w:sz w:val="16"/>
                <w:szCs w:val="16"/>
              </w:rPr>
              <w:t>Prior to program implementation. This study design is not plausible if the intervention has already started, unless testing an enhancement of the program</w:t>
            </w:r>
          </w:p>
        </w:tc>
        <w:tc>
          <w:tcPr>
            <w:tcW w:w="2536" w:type="dxa"/>
          </w:tcPr>
          <w:p w14:paraId="60CA3191" w14:textId="77777777" w:rsidR="00676ACD" w:rsidRPr="005A270E" w:rsidRDefault="00676ACD" w:rsidP="007B5579">
            <w:pPr>
              <w:pStyle w:val="DVABodytextwithparaspace"/>
              <w:spacing w:after="100" w:afterAutospacing="1"/>
              <w:rPr>
                <w:sz w:val="16"/>
                <w:szCs w:val="16"/>
              </w:rPr>
            </w:pPr>
            <w:r w:rsidRPr="005A270E">
              <w:rPr>
                <w:sz w:val="16"/>
                <w:szCs w:val="16"/>
              </w:rPr>
              <w:t>Prior to program implementation. This study design is not plausible if the intervention has already started, unless testing an enhancement of the program</w:t>
            </w:r>
          </w:p>
        </w:tc>
        <w:tc>
          <w:tcPr>
            <w:tcW w:w="2588" w:type="dxa"/>
          </w:tcPr>
          <w:p w14:paraId="47DC6D0E" w14:textId="77777777" w:rsidR="00676ACD" w:rsidRPr="005A270E" w:rsidRDefault="00676ACD" w:rsidP="007B5579">
            <w:pPr>
              <w:pStyle w:val="DVABodytextwithparaspace"/>
              <w:spacing w:after="100" w:afterAutospacing="1"/>
              <w:rPr>
                <w:sz w:val="16"/>
                <w:szCs w:val="16"/>
              </w:rPr>
            </w:pPr>
            <w:r w:rsidRPr="005A270E">
              <w:rPr>
                <w:sz w:val="16"/>
                <w:szCs w:val="16"/>
              </w:rPr>
              <w:t xml:space="preserve">At any point in the program lifecycle. This method should be used only after other design possibilities have been considered. </w:t>
            </w:r>
          </w:p>
        </w:tc>
      </w:tr>
      <w:tr w:rsidR="00676ACD" w:rsidRPr="005A270E" w14:paraId="70DBC23B" w14:textId="77777777" w:rsidTr="007B5579">
        <w:tc>
          <w:tcPr>
            <w:tcW w:w="1365" w:type="dxa"/>
            <w:shd w:val="clear" w:color="auto" w:fill="CDCDCD"/>
          </w:tcPr>
          <w:p w14:paraId="21B344AE" w14:textId="77777777" w:rsidR="00676ACD" w:rsidRPr="005A270E" w:rsidRDefault="00676ACD" w:rsidP="007B5579">
            <w:pPr>
              <w:pStyle w:val="DVABodytextwithparaspace"/>
              <w:rPr>
                <w:b/>
                <w:bCs/>
                <w:sz w:val="16"/>
                <w:szCs w:val="16"/>
              </w:rPr>
            </w:pPr>
            <w:r w:rsidRPr="005A270E">
              <w:rPr>
                <w:b/>
                <w:bCs/>
                <w:sz w:val="16"/>
                <w:szCs w:val="16"/>
              </w:rPr>
              <w:t>Strengths</w:t>
            </w:r>
          </w:p>
        </w:tc>
        <w:tc>
          <w:tcPr>
            <w:tcW w:w="2574" w:type="dxa"/>
          </w:tcPr>
          <w:p w14:paraId="755E827A" w14:textId="77777777" w:rsidR="00676ACD" w:rsidRPr="005A270E" w:rsidRDefault="00676ACD" w:rsidP="007B5579">
            <w:pPr>
              <w:pStyle w:val="DVABulletnoparaspace"/>
              <w:rPr>
                <w:sz w:val="16"/>
              </w:rPr>
            </w:pPr>
            <w:r w:rsidRPr="005A270E">
              <w:rPr>
                <w:sz w:val="16"/>
              </w:rPr>
              <w:t>The most robust way to evaluate the effectiveness of a new treatment or prevention strategy</w:t>
            </w:r>
          </w:p>
          <w:p w14:paraId="45C07629" w14:textId="77777777" w:rsidR="00676ACD" w:rsidRPr="005A270E" w:rsidRDefault="00676ACD" w:rsidP="007B5579">
            <w:pPr>
              <w:pStyle w:val="DVABulletnoparaspace"/>
              <w:rPr>
                <w:sz w:val="16"/>
              </w:rPr>
            </w:pPr>
            <w:r w:rsidRPr="005A270E">
              <w:rPr>
                <w:sz w:val="16"/>
              </w:rPr>
              <w:t xml:space="preserve">Best study design </w:t>
            </w:r>
            <w:r>
              <w:rPr>
                <w:sz w:val="16"/>
              </w:rPr>
              <w:t xml:space="preserve">when trying to establish causality, </w:t>
            </w:r>
            <w:r w:rsidRPr="005A270E">
              <w:rPr>
                <w:sz w:val="16"/>
              </w:rPr>
              <w:t>hence they are most relevant when there is a need to generate causal evidence</w:t>
            </w:r>
          </w:p>
        </w:tc>
        <w:tc>
          <w:tcPr>
            <w:tcW w:w="2536" w:type="dxa"/>
          </w:tcPr>
          <w:p w14:paraId="0381D5D8" w14:textId="77777777" w:rsidR="00676ACD" w:rsidRPr="005A270E" w:rsidRDefault="00676ACD" w:rsidP="007B5579">
            <w:pPr>
              <w:pStyle w:val="DVABulletnoparaspace"/>
              <w:rPr>
                <w:sz w:val="16"/>
              </w:rPr>
            </w:pPr>
            <w:r w:rsidRPr="005A270E">
              <w:rPr>
                <w:sz w:val="16"/>
              </w:rPr>
              <w:t>Relatively simple and cost-effective to undertake (may provide a compromise where RCTs are not possible)</w:t>
            </w:r>
          </w:p>
        </w:tc>
        <w:tc>
          <w:tcPr>
            <w:tcW w:w="2588" w:type="dxa"/>
          </w:tcPr>
          <w:p w14:paraId="26F575DE" w14:textId="77777777" w:rsidR="00676ACD" w:rsidRPr="005A270E" w:rsidRDefault="00676ACD" w:rsidP="007B5579">
            <w:pPr>
              <w:pStyle w:val="DVABulletnoparaspace"/>
              <w:rPr>
                <w:sz w:val="16"/>
              </w:rPr>
            </w:pPr>
            <w:r w:rsidRPr="005A270E">
              <w:rPr>
                <w:sz w:val="16"/>
              </w:rPr>
              <w:t>Can evaluate interventions where there is no control group</w:t>
            </w:r>
          </w:p>
          <w:p w14:paraId="31B79A8B" w14:textId="77777777" w:rsidR="00676ACD" w:rsidRPr="005A270E" w:rsidRDefault="00676ACD" w:rsidP="007B5579">
            <w:pPr>
              <w:pStyle w:val="DVABulletnoparaspace"/>
              <w:rPr>
                <w:sz w:val="16"/>
              </w:rPr>
            </w:pPr>
            <w:r w:rsidRPr="005A270E">
              <w:rPr>
                <w:sz w:val="16"/>
              </w:rPr>
              <w:t>Can enable the long-term effects of population-level interventions and policies in a real-world setting to be evaluated</w:t>
            </w:r>
          </w:p>
          <w:p w14:paraId="6BB0989D" w14:textId="77777777" w:rsidR="00676ACD" w:rsidRPr="005A270E" w:rsidRDefault="00676ACD" w:rsidP="007B5579">
            <w:pPr>
              <w:pStyle w:val="DVABulletnoparaspace"/>
              <w:rPr>
                <w:sz w:val="16"/>
              </w:rPr>
            </w:pPr>
            <w:r w:rsidRPr="005A270E">
              <w:rPr>
                <w:sz w:val="16"/>
              </w:rPr>
              <w:t>Can allow for both prospective and retrospective cohort studies</w:t>
            </w:r>
          </w:p>
        </w:tc>
      </w:tr>
      <w:tr w:rsidR="00676ACD" w:rsidRPr="005A270E" w14:paraId="01B6A6AC" w14:textId="77777777" w:rsidTr="007B5579">
        <w:tc>
          <w:tcPr>
            <w:tcW w:w="1365" w:type="dxa"/>
            <w:shd w:val="clear" w:color="auto" w:fill="CDCDCD"/>
          </w:tcPr>
          <w:p w14:paraId="39B753BC" w14:textId="77777777" w:rsidR="00676ACD" w:rsidRPr="005A270E" w:rsidRDefault="00676ACD" w:rsidP="007B5579">
            <w:pPr>
              <w:pStyle w:val="DVABodytextwithparaspace"/>
              <w:rPr>
                <w:b/>
                <w:bCs/>
                <w:sz w:val="16"/>
                <w:szCs w:val="16"/>
              </w:rPr>
            </w:pPr>
            <w:r>
              <w:rPr>
                <w:b/>
                <w:bCs/>
                <w:sz w:val="16"/>
                <w:szCs w:val="16"/>
              </w:rPr>
              <w:t>Specific l</w:t>
            </w:r>
            <w:r w:rsidRPr="005A270E">
              <w:rPr>
                <w:b/>
                <w:bCs/>
                <w:sz w:val="16"/>
                <w:szCs w:val="16"/>
              </w:rPr>
              <w:t>imitations</w:t>
            </w:r>
          </w:p>
        </w:tc>
        <w:tc>
          <w:tcPr>
            <w:tcW w:w="2574" w:type="dxa"/>
          </w:tcPr>
          <w:p w14:paraId="49142857" w14:textId="77777777" w:rsidR="00676ACD" w:rsidRPr="005A270E" w:rsidRDefault="00676ACD" w:rsidP="007B5579">
            <w:pPr>
              <w:pStyle w:val="DVABulletnoparaspace"/>
              <w:rPr>
                <w:sz w:val="16"/>
              </w:rPr>
            </w:pPr>
            <w:r w:rsidRPr="005A270E">
              <w:rPr>
                <w:sz w:val="16"/>
              </w:rPr>
              <w:t>Costly to design and deliver</w:t>
            </w:r>
          </w:p>
          <w:p w14:paraId="255C71AA" w14:textId="77777777" w:rsidR="00676ACD" w:rsidRPr="005A270E" w:rsidRDefault="00676ACD" w:rsidP="007B5579">
            <w:pPr>
              <w:pStyle w:val="DVABulletnoparaspace"/>
              <w:rPr>
                <w:sz w:val="16"/>
              </w:rPr>
            </w:pPr>
            <w:r w:rsidRPr="005A270E">
              <w:rPr>
                <w:sz w:val="16"/>
              </w:rPr>
              <w:t>An adequate sample size is required to ensure that a difference between the two groups is detected</w:t>
            </w:r>
          </w:p>
          <w:p w14:paraId="66815B5A" w14:textId="77777777" w:rsidR="00676ACD" w:rsidRPr="005A270E" w:rsidRDefault="00676ACD" w:rsidP="007B5579">
            <w:pPr>
              <w:pStyle w:val="DVABulletnoparaspace"/>
              <w:rPr>
                <w:sz w:val="16"/>
              </w:rPr>
            </w:pPr>
            <w:r w:rsidRPr="005A270E">
              <w:rPr>
                <w:sz w:val="16"/>
              </w:rPr>
              <w:t>Often not possible to randomise cohorts</w:t>
            </w:r>
          </w:p>
          <w:p w14:paraId="0B9A684F" w14:textId="77777777" w:rsidR="00676ACD" w:rsidRPr="00EA3630" w:rsidRDefault="00676ACD" w:rsidP="007B5579">
            <w:pPr>
              <w:pStyle w:val="DVABulletnoparaspace"/>
              <w:rPr>
                <w:sz w:val="16"/>
              </w:rPr>
            </w:pPr>
            <w:r w:rsidRPr="005A270E">
              <w:rPr>
                <w:sz w:val="16"/>
              </w:rPr>
              <w:t>May involve ethical risks, such as withholding a program intended to improve health outcomes from one group</w:t>
            </w:r>
          </w:p>
        </w:tc>
        <w:tc>
          <w:tcPr>
            <w:tcW w:w="2536" w:type="dxa"/>
          </w:tcPr>
          <w:p w14:paraId="3DA065A8" w14:textId="77777777" w:rsidR="00676ACD" w:rsidRDefault="00676ACD" w:rsidP="007B5579">
            <w:pPr>
              <w:pStyle w:val="DVABulletnoparaspace"/>
              <w:rPr>
                <w:sz w:val="16"/>
              </w:rPr>
            </w:pPr>
            <w:r w:rsidRPr="005A270E">
              <w:rPr>
                <w:sz w:val="16"/>
              </w:rPr>
              <w:t>Difficult to determine, or control for, the impact of other influences or events on the outcome</w:t>
            </w:r>
          </w:p>
          <w:p w14:paraId="4D68B865" w14:textId="77777777" w:rsidR="00676ACD" w:rsidRPr="005A270E" w:rsidRDefault="00676ACD" w:rsidP="007B5579">
            <w:pPr>
              <w:pStyle w:val="DVABulletnoparaspace"/>
              <w:rPr>
                <w:sz w:val="16"/>
              </w:rPr>
            </w:pPr>
            <w:r>
              <w:rPr>
                <w:sz w:val="16"/>
              </w:rPr>
              <w:t>Can be time consuming and expensive</w:t>
            </w:r>
          </w:p>
        </w:tc>
        <w:tc>
          <w:tcPr>
            <w:tcW w:w="2588" w:type="dxa"/>
          </w:tcPr>
          <w:p w14:paraId="4576D6C7" w14:textId="77777777" w:rsidR="00676ACD" w:rsidRPr="005A270E" w:rsidRDefault="00676ACD" w:rsidP="007B5579">
            <w:pPr>
              <w:pStyle w:val="DVABulletnoparaspace"/>
              <w:rPr>
                <w:sz w:val="16"/>
              </w:rPr>
            </w:pPr>
            <w:r w:rsidRPr="005A270E">
              <w:rPr>
                <w:sz w:val="16"/>
              </w:rPr>
              <w:t xml:space="preserve">Difficult to establish cause-and-effect </w:t>
            </w:r>
          </w:p>
          <w:p w14:paraId="7B1A7332" w14:textId="77777777" w:rsidR="00676ACD" w:rsidRPr="005A270E" w:rsidRDefault="00676ACD" w:rsidP="007B5579">
            <w:pPr>
              <w:pStyle w:val="DVABulletnoparaspace"/>
              <w:rPr>
                <w:sz w:val="16"/>
              </w:rPr>
            </w:pPr>
            <w:r w:rsidRPr="005A270E">
              <w:rPr>
                <w:sz w:val="16"/>
              </w:rPr>
              <w:t>Typically require a large sample size and long follow-up period in order to determine the associations between exposures and outcomes</w:t>
            </w:r>
          </w:p>
          <w:p w14:paraId="40C23C60" w14:textId="77777777" w:rsidR="00676ACD" w:rsidRPr="005A270E" w:rsidRDefault="00676ACD" w:rsidP="007B5579">
            <w:pPr>
              <w:pStyle w:val="DVABulletnoparaspace"/>
              <w:rPr>
                <w:sz w:val="16"/>
              </w:rPr>
            </w:pPr>
            <w:r w:rsidRPr="005A270E">
              <w:rPr>
                <w:sz w:val="16"/>
              </w:rPr>
              <w:t>Retrospective studies rely on past data collection, and as such the data may be incomplete, inaccurate or inconsistently measured between subjects</w:t>
            </w:r>
          </w:p>
          <w:p w14:paraId="76930869" w14:textId="77777777" w:rsidR="00676ACD" w:rsidRPr="005A270E" w:rsidRDefault="00676ACD" w:rsidP="007B5579">
            <w:pPr>
              <w:pStyle w:val="DVABulletnoparaspace"/>
              <w:rPr>
                <w:sz w:val="16"/>
              </w:rPr>
            </w:pPr>
            <w:r w:rsidRPr="005A270E">
              <w:rPr>
                <w:sz w:val="16"/>
              </w:rPr>
              <w:t>Prospective studies are time-consuming and expensive</w:t>
            </w:r>
          </w:p>
        </w:tc>
      </w:tr>
    </w:tbl>
    <w:p w14:paraId="5724D825" w14:textId="4EA6F895" w:rsidR="00676ACD" w:rsidRDefault="00676ACD" w:rsidP="007B5579">
      <w:pPr>
        <w:pStyle w:val="DVA1Number"/>
        <w:numPr>
          <w:ilvl w:val="0"/>
          <w:numId w:val="0"/>
        </w:numPr>
        <w:spacing w:before="120"/>
      </w:pPr>
      <w:r>
        <w:lastRenderedPageBreak/>
        <w:t>The NSW Ministry of Health outlined that it is important to have a baseline to compare endpoint outcomes against. It is important for the evaluator to separate the effects of the program from natural progression in order to articulate the benefits of the program (</w:t>
      </w:r>
      <w:r>
        <w:fldChar w:fldCharType="begin"/>
      </w:r>
      <w:r>
        <w:instrText xml:space="preserve"> REF _Ref105509723 \h </w:instrText>
      </w:r>
      <w:r>
        <w:fldChar w:fldCharType="separate"/>
      </w:r>
      <w:r w:rsidR="00812188">
        <w:t xml:space="preserve">Table </w:t>
      </w:r>
      <w:r w:rsidR="00812188">
        <w:rPr>
          <w:noProof/>
        </w:rPr>
        <w:t>21</w:t>
      </w:r>
      <w:r w:rsidR="00812188">
        <w:t>: Case Study I</w:t>
      </w:r>
      <w:r>
        <w:fldChar w:fldCharType="end"/>
      </w:r>
      <w:r>
        <w:t>). However, doing this via RCTs is often difficult, as acknowledged by the NT Department of Treasury and Finance, who currently do not have the capability to undertake RCTs at this stage of their evaluation journey (</w:t>
      </w:r>
      <w:r>
        <w:fldChar w:fldCharType="begin"/>
      </w:r>
      <w:r>
        <w:instrText xml:space="preserve"> REF _Ref105509723 \h </w:instrText>
      </w:r>
      <w:r>
        <w:fldChar w:fldCharType="separate"/>
      </w:r>
      <w:r w:rsidR="00812188">
        <w:t xml:space="preserve">Table </w:t>
      </w:r>
      <w:r w:rsidR="00812188">
        <w:rPr>
          <w:noProof/>
        </w:rPr>
        <w:t>21</w:t>
      </w:r>
      <w:r w:rsidR="00812188">
        <w:t>: Case Study I</w:t>
      </w:r>
      <w:r>
        <w:fldChar w:fldCharType="end"/>
      </w:r>
      <w:r>
        <w:t>).</w:t>
      </w:r>
    </w:p>
    <w:p w14:paraId="3B84DE1C" w14:textId="7338064E" w:rsidR="00676ACD" w:rsidRDefault="00676ACD" w:rsidP="007B5579">
      <w:pPr>
        <w:pStyle w:val="DVABodytextwithparaspace"/>
        <w:spacing w:before="240"/>
      </w:pPr>
      <w:r>
        <w:t>One of the benefits of quantitative data is the ability to use the data to perform data analytics. This was noted by DVA in the case study consultation with the NSW Ministry of Health, they have a closed system of providers and consumers. This, alongside high quality, longitudinal utilisation, and costing data, places them in a strong position for new data analytics, for example, dynamic simulation modelling or forecasting for burden of ill health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xml:space="preserve">). </w:t>
      </w:r>
    </w:p>
    <w:p w14:paraId="73499A68" w14:textId="54C27DF2" w:rsidR="00676ACD" w:rsidRDefault="00676ACD" w:rsidP="007B5579">
      <w:pPr>
        <w:pStyle w:val="DVABodytextwithparaspace"/>
      </w:pPr>
      <w:r>
        <w:t>Guidance from the Queensland Treasury and selected articles from the published literature review indicated that a</w:t>
      </w:r>
      <w:r w:rsidRPr="00E72B1E">
        <w:t xml:space="preserve"> mixed methods approach</w:t>
      </w:r>
      <w:r>
        <w:t xml:space="preserve"> to data collection</w:t>
      </w:r>
      <w:r w:rsidRPr="00E72B1E">
        <w:t xml:space="preserve">, using both quantitative and qualitative data is ideal </w:t>
      </w:r>
      <w:sdt>
        <w:sdtPr>
          <w:id w:val="-1066953779"/>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rsidRPr="00E72B1E">
        <w:t xml:space="preserve"> </w:t>
      </w:r>
      <w:sdt>
        <w:sdtPr>
          <w:id w:val="-62030217"/>
          <w:citation/>
        </w:sdtPr>
        <w:sdtEndPr/>
        <w:sdtContent>
          <w:r w:rsidRPr="00E72B1E">
            <w:fldChar w:fldCharType="begin"/>
          </w:r>
          <w:r w:rsidRPr="00E72B1E">
            <w:instrText xml:space="preserve"> CITATION Bro18 \l 3081 </w:instrText>
          </w:r>
          <w:r w:rsidRPr="00E72B1E">
            <w:fldChar w:fldCharType="separate"/>
          </w:r>
          <w:r w:rsidR="00710993">
            <w:rPr>
              <w:noProof/>
            </w:rPr>
            <w:t>(7)</w:t>
          </w:r>
          <w:r w:rsidRPr="00E72B1E">
            <w:fldChar w:fldCharType="end"/>
          </w:r>
        </w:sdtContent>
      </w:sdt>
      <w:r w:rsidRPr="00E72B1E">
        <w:t xml:space="preserve"> </w:t>
      </w:r>
      <w:sdt>
        <w:sdtPr>
          <w:id w:val="-410237029"/>
          <w:citation/>
        </w:sdtPr>
        <w:sdtEndPr/>
        <w:sdtContent>
          <w:r w:rsidRPr="00E72B1E">
            <w:fldChar w:fldCharType="begin"/>
          </w:r>
          <w:r w:rsidRPr="00E72B1E">
            <w:instrText xml:space="preserve"> CITATION Lim16 \l 3081 </w:instrText>
          </w:r>
          <w:r w:rsidRPr="00E72B1E">
            <w:fldChar w:fldCharType="separate"/>
          </w:r>
          <w:r w:rsidR="00710993">
            <w:rPr>
              <w:noProof/>
            </w:rPr>
            <w:t>(24)</w:t>
          </w:r>
          <w:r w:rsidRPr="00E72B1E">
            <w:fldChar w:fldCharType="end"/>
          </w:r>
        </w:sdtContent>
      </w:sdt>
      <w:r w:rsidRPr="00E72B1E">
        <w:t xml:space="preserve"> </w:t>
      </w:r>
      <w:sdt>
        <w:sdtPr>
          <w:id w:val="1335727961"/>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r w:rsidRPr="00E72B1E">
        <w:t xml:space="preserve">. </w:t>
      </w:r>
      <w:r>
        <w:t>This was also supported through case study consultations with the NSW Ministry of Health, who noted that a ‘single number’ approach to collecting data is phasing out, and mixed methods is an ideal approach to data collection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w:t>
      </w:r>
      <w:r w:rsidRPr="00E72B1E">
        <w:t xml:space="preserve"> This</w:t>
      </w:r>
      <w:r>
        <w:t xml:space="preserve"> mixed-methods</w:t>
      </w:r>
      <w:r w:rsidRPr="00E72B1E">
        <w:t xml:space="preserve"> approach allows for diversity in feedback and can better </w:t>
      </w:r>
      <w:r>
        <w:t xml:space="preserve">identify </w:t>
      </w:r>
      <w:r w:rsidRPr="00E72B1E">
        <w:t xml:space="preserve">program </w:t>
      </w:r>
      <w:r>
        <w:t>areas which are</w:t>
      </w:r>
      <w:r w:rsidRPr="00E72B1E">
        <w:t xml:space="preserve"> doing well, </w:t>
      </w:r>
      <w:r>
        <w:t xml:space="preserve">need </w:t>
      </w:r>
      <w:r w:rsidRPr="00E72B1E">
        <w:t>improv</w:t>
      </w:r>
      <w:r>
        <w:t>ement</w:t>
      </w:r>
      <w:r w:rsidRPr="00E72B1E">
        <w:t xml:space="preserve">, and </w:t>
      </w:r>
      <w:r>
        <w:t xml:space="preserve">also </w:t>
      </w:r>
      <w:r w:rsidRPr="00E72B1E">
        <w:t xml:space="preserve">how </w:t>
      </w:r>
      <w:r>
        <w:t xml:space="preserve">these areas can </w:t>
      </w:r>
      <w:r w:rsidRPr="00E72B1E">
        <w:t xml:space="preserve">improved </w:t>
      </w:r>
      <w:sdt>
        <w:sdtPr>
          <w:id w:val="-1944833685"/>
          <w:citation/>
        </w:sdtPr>
        <w:sdtEndPr/>
        <w:sdtContent>
          <w:r w:rsidRPr="00E72B1E">
            <w:fldChar w:fldCharType="begin"/>
          </w:r>
          <w:r w:rsidRPr="00E72B1E">
            <w:instrText xml:space="preserve"> CITATION Bro18 \l 3081 </w:instrText>
          </w:r>
          <w:r w:rsidRPr="00E72B1E">
            <w:fldChar w:fldCharType="separate"/>
          </w:r>
          <w:r w:rsidR="00710993">
            <w:rPr>
              <w:noProof/>
            </w:rPr>
            <w:t>(7)</w:t>
          </w:r>
          <w:r w:rsidRPr="00E72B1E">
            <w:fldChar w:fldCharType="end"/>
          </w:r>
        </w:sdtContent>
      </w:sdt>
      <w:r w:rsidRPr="00E72B1E">
        <w:t xml:space="preserve"> </w:t>
      </w:r>
      <w:sdt>
        <w:sdtPr>
          <w:id w:val="-1624297411"/>
          <w:citation/>
        </w:sdtPr>
        <w:sdtEndPr/>
        <w:sdtContent>
          <w:r w:rsidRPr="00E72B1E">
            <w:fldChar w:fldCharType="begin"/>
          </w:r>
          <w:r w:rsidRPr="00E72B1E">
            <w:instrText xml:space="preserve"> CITATION Lim16 \l 3081 </w:instrText>
          </w:r>
          <w:r w:rsidRPr="00E72B1E">
            <w:fldChar w:fldCharType="separate"/>
          </w:r>
          <w:r w:rsidR="00710993">
            <w:rPr>
              <w:noProof/>
            </w:rPr>
            <w:t>(24)</w:t>
          </w:r>
          <w:r w:rsidRPr="00E72B1E">
            <w:fldChar w:fldCharType="end"/>
          </w:r>
        </w:sdtContent>
      </w:sdt>
      <w:r w:rsidRPr="00E72B1E">
        <w:t xml:space="preserve"> </w:t>
      </w:r>
      <w:sdt>
        <w:sdtPr>
          <w:id w:val="-79692716"/>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r w:rsidRPr="00E72B1E">
        <w:t xml:space="preserve">. </w:t>
      </w:r>
    </w:p>
    <w:p w14:paraId="69B5777F" w14:textId="24485BC6" w:rsidR="00676ACD" w:rsidRDefault="00676ACD" w:rsidP="007B5579">
      <w:pPr>
        <w:pStyle w:val="DVABodytextwithparaspace"/>
      </w:pPr>
      <w:r w:rsidRPr="00E72B1E">
        <w:t xml:space="preserve">Mixed method approaches can measure the impact of health programs and can contextualise cultural inferences about a targeted health program. Strong collaboration between quantitative and qualitative evaluators is necessary for a strong and cohesive evaluation, particularly for experimental evaluation designs. For any type of evaluation, valid reliable tools that can accurately measure output are critical, and appropriate comparison where possible to non-intervention settings is vital for any high-quality evaluation to occur </w:t>
      </w:r>
      <w:sdt>
        <w:sdtPr>
          <w:id w:val="-1904901294"/>
          <w:citation/>
        </w:sdtPr>
        <w:sdtEndPr/>
        <w:sdtContent>
          <w:r w:rsidRPr="00E72B1E">
            <w:fldChar w:fldCharType="begin"/>
          </w:r>
          <w:r w:rsidRPr="00E72B1E">
            <w:instrText xml:space="preserve"> CITATION Gei18 \l 3081 </w:instrText>
          </w:r>
          <w:r w:rsidRPr="00E72B1E">
            <w:fldChar w:fldCharType="separate"/>
          </w:r>
          <w:r w:rsidR="00710993">
            <w:rPr>
              <w:noProof/>
            </w:rPr>
            <w:t>(18)</w:t>
          </w:r>
          <w:r w:rsidRPr="00E72B1E">
            <w:fldChar w:fldCharType="end"/>
          </w:r>
        </w:sdtContent>
      </w:sdt>
      <w:r w:rsidRPr="00E72B1E">
        <w:t xml:space="preserve"> </w:t>
      </w:r>
      <w:sdt>
        <w:sdtPr>
          <w:id w:val="1487973214"/>
          <w:citation/>
        </w:sdtPr>
        <w:sdtEndPr/>
        <w:sdtContent>
          <w:r w:rsidRPr="00E72B1E">
            <w:fldChar w:fldCharType="begin"/>
          </w:r>
          <w:r w:rsidRPr="00E72B1E">
            <w:instrText xml:space="preserve"> CITATION New20 \l 3081 </w:instrText>
          </w:r>
          <w:r w:rsidRPr="00E72B1E">
            <w:fldChar w:fldCharType="separate"/>
          </w:r>
          <w:r w:rsidR="00710993">
            <w:rPr>
              <w:noProof/>
            </w:rPr>
            <w:t>(30)</w:t>
          </w:r>
          <w:r w:rsidRPr="00E72B1E">
            <w:fldChar w:fldCharType="end"/>
          </w:r>
        </w:sdtContent>
      </w:sdt>
      <w:r w:rsidRPr="00E72B1E">
        <w:t xml:space="preserve">. </w:t>
      </w:r>
    </w:p>
    <w:p w14:paraId="71B63CBE" w14:textId="4D0756B4" w:rsidR="00676ACD" w:rsidRPr="00E72B1E" w:rsidRDefault="00676ACD" w:rsidP="007B5579">
      <w:pPr>
        <w:pStyle w:val="DVABodytextwithparaspace"/>
      </w:pPr>
      <w:r>
        <w:t>While quantitative and experimental evaluation designs are highly regarded, q</w:t>
      </w:r>
      <w:r w:rsidRPr="00E72B1E">
        <w:t xml:space="preserve">ualitative data enables a participative and collaborative approach to evaluation and is incredibly valuable to contextualise and provide culturally relevant inferences about a program’s utility and impact </w:t>
      </w:r>
      <w:sdt>
        <w:sdtPr>
          <w:id w:val="66154326"/>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r w:rsidRPr="00E72B1E">
        <w:t xml:space="preserve">. </w:t>
      </w:r>
      <w:r>
        <w:t xml:space="preserve">Involving key stakeholders and participants in the designing of the program and its evaluation process can help improve the data and outcomes of a program. </w:t>
      </w:r>
      <w:r>
        <w:rPr>
          <w:rFonts w:cstheme="minorHAnsi"/>
        </w:rPr>
        <w:t>Qualitative data are most commonly collected via interviews (mainly semi-structured) and focus groups, and analysed via thematic analysis</w:t>
      </w:r>
      <w:sdt>
        <w:sdtPr>
          <w:rPr>
            <w:rFonts w:cstheme="minorHAnsi"/>
          </w:rPr>
          <w:id w:val="-1372838402"/>
          <w:citation/>
        </w:sdtPr>
        <w:sdtEndPr/>
        <w:sdtContent>
          <w:r>
            <w:rPr>
              <w:rFonts w:cstheme="minorHAnsi"/>
            </w:rPr>
            <w:fldChar w:fldCharType="begin"/>
          </w:r>
          <w:r>
            <w:rPr>
              <w:rFonts w:cstheme="minorHAnsi"/>
            </w:rPr>
            <w:instrText xml:space="preserve"> CITATION Dab21 \l 3081 </w:instrText>
          </w:r>
          <w:r>
            <w:rPr>
              <w:rFonts w:cstheme="minorHAnsi"/>
            </w:rPr>
            <w:fldChar w:fldCharType="separate"/>
          </w:r>
          <w:r w:rsidR="00710993">
            <w:rPr>
              <w:rFonts w:cstheme="minorHAnsi"/>
              <w:noProof/>
            </w:rPr>
            <w:t xml:space="preserve"> </w:t>
          </w:r>
          <w:r w:rsidR="00710993" w:rsidRPr="00710993">
            <w:rPr>
              <w:rFonts w:cstheme="minorHAnsi"/>
              <w:noProof/>
            </w:rPr>
            <w:t>(10)</w:t>
          </w:r>
          <w:r>
            <w:rPr>
              <w:rFonts w:cstheme="minorHAnsi"/>
            </w:rPr>
            <w:fldChar w:fldCharType="end"/>
          </w:r>
        </w:sdtContent>
      </w:sdt>
      <w:sdt>
        <w:sdtPr>
          <w:id w:val="1213307283"/>
          <w:citation/>
        </w:sdtPr>
        <w:sdtEndPr/>
        <w:sdtContent>
          <w:r>
            <w:fldChar w:fldCharType="begin"/>
          </w:r>
          <w:r>
            <w:instrText xml:space="preserve">CITATION Sco19 \l 3081 </w:instrText>
          </w:r>
          <w:r>
            <w:fldChar w:fldCharType="separate"/>
          </w:r>
          <w:r w:rsidR="00710993">
            <w:rPr>
              <w:noProof/>
            </w:rPr>
            <w:t xml:space="preserve"> (29)</w:t>
          </w:r>
          <w:r>
            <w:fldChar w:fldCharType="end"/>
          </w:r>
        </w:sdtContent>
      </w:sdt>
      <w:r>
        <w:t xml:space="preserve"> </w:t>
      </w:r>
      <w:sdt>
        <w:sdtPr>
          <w:id w:val="-15853328"/>
          <w:citation/>
        </w:sdtPr>
        <w:sdtEndPr/>
        <w:sdtContent>
          <w:r>
            <w:fldChar w:fldCharType="begin"/>
          </w:r>
          <w:r>
            <w:instrText xml:space="preserve"> CITATION Senrs \l 3081 </w:instrText>
          </w:r>
          <w:r>
            <w:fldChar w:fldCharType="separate"/>
          </w:r>
          <w:r w:rsidR="00710993">
            <w:rPr>
              <w:noProof/>
            </w:rPr>
            <w:t>(33)</w:t>
          </w:r>
          <w:r>
            <w:fldChar w:fldCharType="end"/>
          </w:r>
        </w:sdtContent>
      </w:sdt>
      <w:sdt>
        <w:sdtPr>
          <w:id w:val="1770574948"/>
          <w:citation/>
        </w:sdtPr>
        <w:sdtEndPr/>
        <w:sdtContent>
          <w:r>
            <w:fldChar w:fldCharType="begin"/>
          </w:r>
          <w:r>
            <w:instrText xml:space="preserve"> CITATION Sni15 \l 3081 </w:instrText>
          </w:r>
          <w:r>
            <w:fldChar w:fldCharType="separate"/>
          </w:r>
          <w:r w:rsidR="00710993">
            <w:rPr>
              <w:noProof/>
            </w:rPr>
            <w:t xml:space="preserve"> (36)</w:t>
          </w:r>
          <w:r>
            <w:fldChar w:fldCharType="end"/>
          </w:r>
        </w:sdtContent>
      </w:sdt>
      <w:r>
        <w:t xml:space="preserve"> </w:t>
      </w:r>
      <w:sdt>
        <w:sdtPr>
          <w:id w:val="-2000961120"/>
          <w:citation/>
        </w:sdtPr>
        <w:sdtEndPr/>
        <w:sdtContent>
          <w:r>
            <w:fldChar w:fldCharType="begin"/>
          </w:r>
          <w:r>
            <w:instrText xml:space="preserve"> CITATION Tja17 \l 3081 </w:instrText>
          </w:r>
          <w:r>
            <w:fldChar w:fldCharType="separate"/>
          </w:r>
          <w:r w:rsidR="00710993">
            <w:rPr>
              <w:noProof/>
            </w:rPr>
            <w:t>(35)</w:t>
          </w:r>
          <w:r>
            <w:fldChar w:fldCharType="end"/>
          </w:r>
        </w:sdtContent>
      </w:sdt>
      <w:sdt>
        <w:sdtPr>
          <w:id w:val="145089473"/>
          <w:citation/>
        </w:sdtPr>
        <w:sdtEndPr/>
        <w:sdtContent>
          <w:r>
            <w:fldChar w:fldCharType="begin"/>
          </w:r>
          <w:r>
            <w:instrText xml:space="preserve"> CITATION Tra15 \l 3081 </w:instrText>
          </w:r>
          <w:r>
            <w:fldChar w:fldCharType="separate"/>
          </w:r>
          <w:r w:rsidR="00710993">
            <w:rPr>
              <w:noProof/>
            </w:rPr>
            <w:t xml:space="preserve"> (38)</w:t>
          </w:r>
          <w:r>
            <w:fldChar w:fldCharType="end"/>
          </w:r>
        </w:sdtContent>
      </w:sdt>
      <w:r>
        <w:t>.</w:t>
      </w:r>
      <w:r w:rsidRPr="00A50054">
        <w:t xml:space="preserve"> </w:t>
      </w:r>
      <w:r>
        <w:t>Of note is that c</w:t>
      </w:r>
      <w:r w:rsidRPr="00E72B1E">
        <w:t xml:space="preserve">ulturally appropriate language is fundamental when engaging with vulnerable populations for qualitative data collection </w:t>
      </w:r>
      <w:sdt>
        <w:sdtPr>
          <w:id w:val="1575464867"/>
          <w:citation/>
        </w:sdtPr>
        <w:sdtEndPr/>
        <w:sdtContent>
          <w:r w:rsidRPr="00E72B1E">
            <w:fldChar w:fldCharType="begin"/>
          </w:r>
          <w:r w:rsidRPr="00E72B1E">
            <w:instrText xml:space="preserve"> CITATION Bli15 \l 3081 </w:instrText>
          </w:r>
          <w:r w:rsidRPr="00E72B1E">
            <w:fldChar w:fldCharType="separate"/>
          </w:r>
          <w:r w:rsidR="00710993">
            <w:rPr>
              <w:noProof/>
            </w:rPr>
            <w:t>(6)</w:t>
          </w:r>
          <w:r w:rsidRPr="00E72B1E">
            <w:fldChar w:fldCharType="end"/>
          </w:r>
        </w:sdtContent>
      </w:sdt>
      <w:r w:rsidRPr="00E72B1E">
        <w:t>.</w:t>
      </w:r>
    </w:p>
    <w:p w14:paraId="77453DA8" w14:textId="1DC2B132" w:rsidR="00676ACD" w:rsidRPr="00E72B1E" w:rsidRDefault="00676ACD" w:rsidP="007B5579">
      <w:pPr>
        <w:pStyle w:val="DVABodytextwithparaspace"/>
      </w:pPr>
      <w:r>
        <w:t>There are several unique qualitative evaluation techniques that can be used, including t</w:t>
      </w:r>
      <w:r w:rsidRPr="00E72B1E">
        <w:t xml:space="preserve">he </w:t>
      </w:r>
      <w:r>
        <w:t>M</w:t>
      </w:r>
      <w:r w:rsidRPr="00E72B1E">
        <w:t xml:space="preserve">ost </w:t>
      </w:r>
      <w:r>
        <w:t>S</w:t>
      </w:r>
      <w:r w:rsidRPr="00E72B1E">
        <w:t xml:space="preserve">ignificant </w:t>
      </w:r>
      <w:r>
        <w:t>C</w:t>
      </w:r>
      <w:r w:rsidRPr="00E72B1E">
        <w:t>hange (MSC) technique</w:t>
      </w:r>
      <w:r>
        <w:t xml:space="preserve">, used in an </w:t>
      </w:r>
      <w:r>
        <w:rPr>
          <w:i/>
          <w:iCs/>
          <w:noProof/>
        </w:rPr>
        <w:t xml:space="preserve">Evaluation of the National Empowerment Project Cultural, Social, and Emotional Wellbeing Program </w:t>
      </w:r>
      <w:sdt>
        <w:sdtPr>
          <w:id w:val="1772271673"/>
          <w:citation/>
        </w:sdtPr>
        <w:sdtEndPr/>
        <w:sdtContent>
          <w:r w:rsidRPr="00E72B1E">
            <w:fldChar w:fldCharType="begin"/>
          </w:r>
          <w:r w:rsidRPr="00E72B1E">
            <w:instrText xml:space="preserve"> CITATION Tja17 \l 3081 </w:instrText>
          </w:r>
          <w:r w:rsidRPr="00E72B1E">
            <w:fldChar w:fldCharType="separate"/>
          </w:r>
          <w:r w:rsidR="00710993">
            <w:rPr>
              <w:noProof/>
            </w:rPr>
            <w:t>(35)</w:t>
          </w:r>
          <w:r w:rsidRPr="00E72B1E">
            <w:fldChar w:fldCharType="end"/>
          </w:r>
        </w:sdtContent>
      </w:sdt>
      <w:r w:rsidRPr="00E72B1E">
        <w:t>.</w:t>
      </w:r>
      <w:r>
        <w:rPr>
          <w:i/>
          <w:iCs/>
          <w:noProof/>
        </w:rPr>
        <w:t xml:space="preserve"> </w:t>
      </w:r>
      <w:r>
        <w:rPr>
          <w:noProof/>
        </w:rPr>
        <w:t>It is a</w:t>
      </w:r>
      <w:r>
        <w:t xml:space="preserve"> robust methodology to collect and analyse qualitative data, enabling </w:t>
      </w:r>
      <w:r w:rsidRPr="00E72B1E">
        <w:t>evaluators to determine and measure intangible qualitative indicators of importance. The technique is valuable in measuring outcomes of social change programs and is particularly relevant when those social change programs hold seemingly ‘intangible’ goals, such as increasing confidence. The MSC technique is suitable for researchers who:</w:t>
      </w:r>
    </w:p>
    <w:p w14:paraId="365B40F4" w14:textId="77777777" w:rsidR="00676ACD" w:rsidRPr="00E72B1E" w:rsidRDefault="00676ACD" w:rsidP="007B5579">
      <w:pPr>
        <w:pStyle w:val="DVABulletnoparaspace"/>
      </w:pPr>
      <w:r w:rsidRPr="00E72B1E">
        <w:t>have regular contact with participants,</w:t>
      </w:r>
    </w:p>
    <w:p w14:paraId="65D7B245" w14:textId="77777777" w:rsidR="00676ACD" w:rsidRPr="00E72B1E" w:rsidRDefault="00676ACD" w:rsidP="007B5579">
      <w:pPr>
        <w:pStyle w:val="DVABulletnoparaspace"/>
      </w:pPr>
      <w:r w:rsidRPr="00E72B1E">
        <w:t>wish to collect data on impact rather than outputs, or</w:t>
      </w:r>
    </w:p>
    <w:p w14:paraId="1EDEF4E8" w14:textId="77777777" w:rsidR="00676ACD" w:rsidRPr="00E72B1E" w:rsidRDefault="00676ACD" w:rsidP="007B5579">
      <w:pPr>
        <w:pStyle w:val="DVABulletnoparaspace"/>
        <w:spacing w:after="240"/>
      </w:pPr>
      <w:r w:rsidRPr="00E72B1E">
        <w:t>want to investigate any possible unintended consequences to their program</w:t>
      </w:r>
      <w:sdt>
        <w:sdtPr>
          <w:id w:val="-2124674098"/>
          <w:lock w:val="contentLocked"/>
          <w:placeholder>
            <w:docPart w:val="047A3185A5114E439E908369E75246D2"/>
          </w:placeholder>
          <w:citation/>
        </w:sdtPr>
        <w:sdtEndPr/>
        <w:sdtContent>
          <w:r w:rsidRPr="00E72B1E">
            <w:fldChar w:fldCharType="begin"/>
          </w:r>
          <w:r w:rsidRPr="00E72B1E">
            <w:instrText xml:space="preserve"> CITATION Tja17 \l 3081 </w:instrText>
          </w:r>
          <w:r w:rsidRPr="00E72B1E">
            <w:fldChar w:fldCharType="separate"/>
          </w:r>
          <w:r>
            <w:rPr>
              <w:noProof/>
            </w:rPr>
            <w:t xml:space="preserve"> (35)</w:t>
          </w:r>
          <w:r w:rsidRPr="00E72B1E">
            <w:fldChar w:fldCharType="end"/>
          </w:r>
        </w:sdtContent>
      </w:sdt>
      <w:r w:rsidRPr="00E72B1E">
        <w:t>.</w:t>
      </w:r>
    </w:p>
    <w:p w14:paraId="5E753AA1" w14:textId="182A7D13" w:rsidR="00363139" w:rsidRDefault="00676ACD" w:rsidP="007B5579">
      <w:pPr>
        <w:pStyle w:val="DVABodytextwithparaspace"/>
      </w:pPr>
      <w:r>
        <w:t>Guidance from the Queensland Treasury and selected articles from the published literature review indicated that a</w:t>
      </w:r>
      <w:r w:rsidRPr="00E72B1E">
        <w:t xml:space="preserve"> mixed methods approach</w:t>
      </w:r>
      <w:r>
        <w:t xml:space="preserve"> to data collection</w:t>
      </w:r>
      <w:r w:rsidRPr="00E72B1E">
        <w:t>, using both quantitative and qualitative data</w:t>
      </w:r>
      <w:r>
        <w:t>,</w:t>
      </w:r>
      <w:r w:rsidRPr="00E72B1E">
        <w:t xml:space="preserve"> is ideal </w:t>
      </w:r>
      <w:sdt>
        <w:sdtPr>
          <w:id w:val="-340162260"/>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rsidRPr="00E72B1E">
        <w:t xml:space="preserve"> </w:t>
      </w:r>
      <w:sdt>
        <w:sdtPr>
          <w:id w:val="-869134612"/>
          <w:citation/>
        </w:sdtPr>
        <w:sdtEndPr/>
        <w:sdtContent>
          <w:r w:rsidRPr="00E72B1E">
            <w:fldChar w:fldCharType="begin"/>
          </w:r>
          <w:r w:rsidRPr="00E72B1E">
            <w:instrText xml:space="preserve"> CITATION Bro18 \l 3081 </w:instrText>
          </w:r>
          <w:r w:rsidRPr="00E72B1E">
            <w:fldChar w:fldCharType="separate"/>
          </w:r>
          <w:r w:rsidR="00710993">
            <w:rPr>
              <w:noProof/>
            </w:rPr>
            <w:t>(7)</w:t>
          </w:r>
          <w:r w:rsidRPr="00E72B1E">
            <w:fldChar w:fldCharType="end"/>
          </w:r>
        </w:sdtContent>
      </w:sdt>
      <w:r w:rsidRPr="00E72B1E">
        <w:t xml:space="preserve"> </w:t>
      </w:r>
      <w:sdt>
        <w:sdtPr>
          <w:id w:val="-1216970136"/>
          <w:citation/>
        </w:sdtPr>
        <w:sdtEndPr/>
        <w:sdtContent>
          <w:r w:rsidRPr="00E72B1E">
            <w:fldChar w:fldCharType="begin"/>
          </w:r>
          <w:r w:rsidRPr="00E72B1E">
            <w:instrText xml:space="preserve"> CITATION Lim16 \l 3081 </w:instrText>
          </w:r>
          <w:r w:rsidRPr="00E72B1E">
            <w:fldChar w:fldCharType="separate"/>
          </w:r>
          <w:r w:rsidR="00710993">
            <w:rPr>
              <w:noProof/>
            </w:rPr>
            <w:t>(24)</w:t>
          </w:r>
          <w:r w:rsidRPr="00E72B1E">
            <w:fldChar w:fldCharType="end"/>
          </w:r>
        </w:sdtContent>
      </w:sdt>
      <w:r w:rsidRPr="00E72B1E">
        <w:t xml:space="preserve"> </w:t>
      </w:r>
      <w:sdt>
        <w:sdtPr>
          <w:id w:val="680868382"/>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r w:rsidRPr="00E72B1E">
        <w:t xml:space="preserve">. </w:t>
      </w:r>
      <w:r>
        <w:t>This was also supported through case study consultations with the NSW Ministry of Health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w:t>
      </w:r>
      <w:r w:rsidRPr="00E72B1E">
        <w:t xml:space="preserve"> </w:t>
      </w:r>
      <w:r>
        <w:t>A mixed-methods</w:t>
      </w:r>
      <w:r w:rsidRPr="00E72B1E">
        <w:t xml:space="preserve"> approach allows for diversity in feedback and can better </w:t>
      </w:r>
      <w:r>
        <w:t xml:space="preserve">identify </w:t>
      </w:r>
      <w:r w:rsidRPr="00E72B1E">
        <w:t xml:space="preserve">program </w:t>
      </w:r>
      <w:r>
        <w:t>areas which are</w:t>
      </w:r>
      <w:r w:rsidRPr="00E72B1E">
        <w:t xml:space="preserve"> doing well</w:t>
      </w:r>
      <w:r>
        <w:t xml:space="preserve"> or</w:t>
      </w:r>
      <w:r w:rsidRPr="00E72B1E">
        <w:t xml:space="preserve"> </w:t>
      </w:r>
      <w:r>
        <w:t xml:space="preserve">need </w:t>
      </w:r>
      <w:r w:rsidRPr="00E72B1E">
        <w:t>improv</w:t>
      </w:r>
      <w:r>
        <w:t>ement</w:t>
      </w:r>
      <w:r w:rsidRPr="00E72B1E">
        <w:t xml:space="preserve">, and </w:t>
      </w:r>
      <w:r>
        <w:t xml:space="preserve">also </w:t>
      </w:r>
      <w:r w:rsidRPr="00E72B1E">
        <w:t xml:space="preserve">how </w:t>
      </w:r>
      <w:r>
        <w:t xml:space="preserve">these areas can </w:t>
      </w:r>
      <w:r w:rsidRPr="00E72B1E">
        <w:t xml:space="preserve">improved </w:t>
      </w:r>
      <w:sdt>
        <w:sdtPr>
          <w:id w:val="-689375593"/>
          <w:citation/>
        </w:sdtPr>
        <w:sdtEndPr/>
        <w:sdtContent>
          <w:r w:rsidRPr="00E72B1E">
            <w:fldChar w:fldCharType="begin"/>
          </w:r>
          <w:r w:rsidRPr="00E72B1E">
            <w:instrText xml:space="preserve"> CITATION Bro18 \l 3081 </w:instrText>
          </w:r>
          <w:r w:rsidRPr="00E72B1E">
            <w:fldChar w:fldCharType="separate"/>
          </w:r>
          <w:r w:rsidR="00710993">
            <w:rPr>
              <w:noProof/>
            </w:rPr>
            <w:t>(7)</w:t>
          </w:r>
          <w:r w:rsidRPr="00E72B1E">
            <w:fldChar w:fldCharType="end"/>
          </w:r>
        </w:sdtContent>
      </w:sdt>
      <w:r w:rsidRPr="00E72B1E">
        <w:t xml:space="preserve"> </w:t>
      </w:r>
      <w:sdt>
        <w:sdtPr>
          <w:id w:val="1965768749"/>
          <w:citation/>
        </w:sdtPr>
        <w:sdtEndPr/>
        <w:sdtContent>
          <w:r w:rsidRPr="00E72B1E">
            <w:fldChar w:fldCharType="begin"/>
          </w:r>
          <w:r w:rsidRPr="00E72B1E">
            <w:instrText xml:space="preserve"> CITATION Lim16 \l 3081 </w:instrText>
          </w:r>
          <w:r w:rsidRPr="00E72B1E">
            <w:fldChar w:fldCharType="separate"/>
          </w:r>
          <w:r w:rsidR="00710993">
            <w:rPr>
              <w:noProof/>
            </w:rPr>
            <w:t>(24)</w:t>
          </w:r>
          <w:r w:rsidRPr="00E72B1E">
            <w:fldChar w:fldCharType="end"/>
          </w:r>
        </w:sdtContent>
      </w:sdt>
      <w:r w:rsidRPr="00E72B1E">
        <w:t xml:space="preserve"> </w:t>
      </w:r>
      <w:sdt>
        <w:sdtPr>
          <w:id w:val="1047344194"/>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r w:rsidRPr="00E72B1E">
        <w:t xml:space="preserve">. Mixed method approaches can measure the impact of health programs and can contextualise cultural inferences about a targeted health program. </w:t>
      </w:r>
    </w:p>
    <w:p w14:paraId="6A663B13" w14:textId="336901C2" w:rsidR="00676ACD" w:rsidRPr="00E72B1E" w:rsidRDefault="00676ACD" w:rsidP="007B5579">
      <w:pPr>
        <w:pStyle w:val="DVABodytextwithparaspace"/>
      </w:pPr>
      <w:r w:rsidRPr="00E72B1E">
        <w:lastRenderedPageBreak/>
        <w:t xml:space="preserve">Strong collaboration between quantitative and qualitative evaluators is necessary for a strong and cohesive evaluation, particularly for experimental evaluation designs. For any type of evaluation, valid reliable tools that can accurately measure output are critical, and appropriate comparison where possible to non-intervention settings is vital for any high-quality evaluation to occur </w:t>
      </w:r>
      <w:sdt>
        <w:sdtPr>
          <w:id w:val="436803558"/>
          <w:citation/>
        </w:sdtPr>
        <w:sdtEndPr/>
        <w:sdtContent>
          <w:r w:rsidRPr="00E72B1E">
            <w:fldChar w:fldCharType="begin"/>
          </w:r>
          <w:r w:rsidRPr="00E72B1E">
            <w:instrText xml:space="preserve"> CITATION Gei18 \l 3081 </w:instrText>
          </w:r>
          <w:r w:rsidRPr="00E72B1E">
            <w:fldChar w:fldCharType="separate"/>
          </w:r>
          <w:r w:rsidR="00710993">
            <w:rPr>
              <w:noProof/>
            </w:rPr>
            <w:t>(18)</w:t>
          </w:r>
          <w:r w:rsidRPr="00E72B1E">
            <w:fldChar w:fldCharType="end"/>
          </w:r>
        </w:sdtContent>
      </w:sdt>
      <w:r w:rsidRPr="00E72B1E">
        <w:t xml:space="preserve"> </w:t>
      </w:r>
      <w:sdt>
        <w:sdtPr>
          <w:id w:val="797577370"/>
          <w:citation/>
        </w:sdtPr>
        <w:sdtEndPr/>
        <w:sdtContent>
          <w:r w:rsidRPr="00E72B1E">
            <w:fldChar w:fldCharType="begin"/>
          </w:r>
          <w:r w:rsidRPr="00E72B1E">
            <w:instrText xml:space="preserve"> CITATION New20 \l 3081 </w:instrText>
          </w:r>
          <w:r w:rsidRPr="00E72B1E">
            <w:fldChar w:fldCharType="separate"/>
          </w:r>
          <w:r w:rsidR="00710993">
            <w:rPr>
              <w:noProof/>
            </w:rPr>
            <w:t>(30)</w:t>
          </w:r>
          <w:r w:rsidRPr="00E72B1E">
            <w:fldChar w:fldCharType="end"/>
          </w:r>
        </w:sdtContent>
      </w:sdt>
      <w:r w:rsidRPr="00E72B1E">
        <w:t xml:space="preserve">.  </w:t>
      </w:r>
    </w:p>
    <w:p w14:paraId="6EF53D16" w14:textId="07ED9F59" w:rsidR="00676ACD" w:rsidRPr="00E72B1E" w:rsidRDefault="00676ACD" w:rsidP="007B5579">
      <w:pPr>
        <w:pStyle w:val="DVABodytextwithparaspace"/>
      </w:pPr>
      <w:r>
        <w:t xml:space="preserve">When deciding the use either qualitative or quantitative data collection methods, DVA could consider using both, using </w:t>
      </w:r>
      <w:r>
        <w:fldChar w:fldCharType="begin"/>
      </w:r>
      <w:r>
        <w:instrText xml:space="preserve"> REF _Ref105758071 \h </w:instrText>
      </w:r>
      <w:r>
        <w:fldChar w:fldCharType="separate"/>
      </w:r>
      <w:r w:rsidR="00812188" w:rsidRPr="00E72B1E">
        <w:t xml:space="preserve">Table </w:t>
      </w:r>
      <w:r w:rsidR="00812188">
        <w:rPr>
          <w:noProof/>
        </w:rPr>
        <w:t>12</w:t>
      </w:r>
      <w:r>
        <w:fldChar w:fldCharType="end"/>
      </w:r>
      <w:r>
        <w:t xml:space="preserve"> as a guide. </w:t>
      </w:r>
    </w:p>
    <w:p w14:paraId="5135787E" w14:textId="2B3934A7" w:rsidR="00676ACD" w:rsidRPr="00E72B1E" w:rsidRDefault="00676ACD" w:rsidP="007B5579">
      <w:pPr>
        <w:pStyle w:val="Caption"/>
      </w:pPr>
      <w:bookmarkStart w:id="116" w:name="_Ref105758071"/>
      <w:r w:rsidRPr="00E72B1E">
        <w:t xml:space="preserve">Table </w:t>
      </w:r>
      <w:r w:rsidRPr="00E72B1E">
        <w:fldChar w:fldCharType="begin"/>
      </w:r>
      <w:r w:rsidRPr="00E72B1E">
        <w:instrText xml:space="preserve"> SEQ Table \* ARABIC </w:instrText>
      </w:r>
      <w:r w:rsidRPr="00E72B1E">
        <w:fldChar w:fldCharType="separate"/>
      </w:r>
      <w:r w:rsidR="00812188">
        <w:rPr>
          <w:noProof/>
        </w:rPr>
        <w:t>12</w:t>
      </w:r>
      <w:r w:rsidRPr="00E72B1E">
        <w:fldChar w:fldCharType="end"/>
      </w:r>
      <w:bookmarkEnd w:id="116"/>
      <w:r>
        <w:t>.</w:t>
      </w:r>
      <w:r w:rsidRPr="00E72B1E">
        <w:t xml:space="preserve"> R</w:t>
      </w:r>
      <w:r>
        <w:t>ationale</w:t>
      </w:r>
      <w:r w:rsidRPr="00E72B1E">
        <w:t xml:space="preserve"> for quantitative and qualitative data </w:t>
      </w:r>
      <w:r>
        <w:t>collection</w:t>
      </w:r>
      <w:r w:rsidRPr="00E72B1E">
        <w:t xml:space="preserve"> </w:t>
      </w:r>
      <w:sdt>
        <w:sdtPr>
          <w:id w:val="937097696"/>
          <w:citation/>
        </w:sdtPr>
        <w:sdtEndPr/>
        <w:sdtContent>
          <w:r w:rsidRPr="00E72B1E">
            <w:fldChar w:fldCharType="begin"/>
          </w:r>
          <w:r w:rsidRPr="00E72B1E">
            <w:instrText xml:space="preserve">CITATION NSW191 \l 3081 </w:instrText>
          </w:r>
          <w:r w:rsidRPr="00E72B1E">
            <w:fldChar w:fldCharType="separate"/>
          </w:r>
          <w:r w:rsidR="00710993">
            <w:rPr>
              <w:noProof/>
            </w:rPr>
            <w:t>(34)</w:t>
          </w:r>
          <w:r w:rsidRPr="00E72B1E">
            <w:fldChar w:fldCharType="end"/>
          </w:r>
        </w:sdtContent>
      </w:sdt>
      <w:r w:rsidRPr="00E72B1E">
        <w:t xml:space="preserve"> </w:t>
      </w:r>
      <w:sdt>
        <w:sdtPr>
          <w:id w:val="1851678415"/>
          <w:citation/>
        </w:sdtPr>
        <w:sdtEndPr/>
        <w:sdtContent>
          <w:r w:rsidRPr="00E72B1E">
            <w:fldChar w:fldCharType="begin"/>
          </w:r>
          <w:r w:rsidRPr="00E72B1E">
            <w:instrText xml:space="preserve"> CITATION Sni15 \l 3081 </w:instrText>
          </w:r>
          <w:r w:rsidRPr="00E72B1E">
            <w:fldChar w:fldCharType="separate"/>
          </w:r>
          <w:r w:rsidR="00710993">
            <w:rPr>
              <w:noProof/>
            </w:rPr>
            <w:t>(36)</w:t>
          </w:r>
          <w:r w:rsidRPr="00E72B1E">
            <w:fldChar w:fldCharType="end"/>
          </w:r>
        </w:sdtContent>
      </w:sdt>
      <w:r w:rsidRPr="00E72B1E">
        <w:t xml:space="preserve"> </w:t>
      </w:r>
      <w:sdt>
        <w:sdtPr>
          <w:id w:val="2134285310"/>
          <w:citation/>
        </w:sdtPr>
        <w:sdtEndPr/>
        <w:sdtContent>
          <w:r w:rsidRPr="00E72B1E">
            <w:fldChar w:fldCharType="begin"/>
          </w:r>
          <w:r w:rsidRPr="00E72B1E">
            <w:instrText xml:space="preserve"> CITATION Lok17 \l 3081 </w:instrText>
          </w:r>
          <w:r w:rsidRPr="00E72B1E">
            <w:fldChar w:fldCharType="separate"/>
          </w:r>
          <w:r w:rsidR="00710993">
            <w:rPr>
              <w:noProof/>
            </w:rPr>
            <w:t>(27)</w:t>
          </w:r>
          <w:r w:rsidRPr="00E72B1E">
            <w:fldChar w:fldCharType="end"/>
          </w:r>
        </w:sdtContent>
      </w:sdt>
    </w:p>
    <w:tbl>
      <w:tblPr>
        <w:tblStyle w:val="TableGrid"/>
        <w:tblW w:w="0" w:type="auto"/>
        <w:tblLook w:val="04A0" w:firstRow="1" w:lastRow="0" w:firstColumn="1" w:lastColumn="0" w:noHBand="0" w:noVBand="1"/>
      </w:tblPr>
      <w:tblGrid>
        <w:gridCol w:w="4531"/>
        <w:gridCol w:w="4532"/>
      </w:tblGrid>
      <w:tr w:rsidR="00676ACD" w:rsidRPr="00006397" w14:paraId="1F61C864" w14:textId="77777777" w:rsidTr="007B5579">
        <w:tc>
          <w:tcPr>
            <w:tcW w:w="4531" w:type="dxa"/>
            <w:shd w:val="clear" w:color="auto" w:fill="1D3567"/>
          </w:tcPr>
          <w:p w14:paraId="0B5C4B39" w14:textId="77777777" w:rsidR="00676ACD" w:rsidRPr="00006397" w:rsidRDefault="00676ACD" w:rsidP="007B5579">
            <w:pPr>
              <w:pStyle w:val="DVABodytextwithparaspace"/>
              <w:rPr>
                <w:b/>
                <w:bCs/>
                <w:sz w:val="16"/>
                <w:szCs w:val="16"/>
              </w:rPr>
            </w:pPr>
            <w:r>
              <w:rPr>
                <w:b/>
                <w:bCs/>
                <w:sz w:val="16"/>
                <w:szCs w:val="16"/>
              </w:rPr>
              <w:t>Use q</w:t>
            </w:r>
            <w:r w:rsidRPr="00006397">
              <w:rPr>
                <w:b/>
                <w:bCs/>
                <w:sz w:val="16"/>
                <w:szCs w:val="16"/>
              </w:rPr>
              <w:t xml:space="preserve">uantitative </w:t>
            </w:r>
            <w:r>
              <w:rPr>
                <w:b/>
                <w:bCs/>
                <w:sz w:val="16"/>
                <w:szCs w:val="16"/>
              </w:rPr>
              <w:t>d</w:t>
            </w:r>
            <w:r w:rsidRPr="00006397">
              <w:rPr>
                <w:b/>
                <w:bCs/>
                <w:sz w:val="16"/>
                <w:szCs w:val="16"/>
              </w:rPr>
              <w:t>ata</w:t>
            </w:r>
            <w:r>
              <w:rPr>
                <w:b/>
                <w:bCs/>
                <w:sz w:val="16"/>
                <w:szCs w:val="16"/>
              </w:rPr>
              <w:t xml:space="preserve"> collection methods when:</w:t>
            </w:r>
          </w:p>
        </w:tc>
        <w:tc>
          <w:tcPr>
            <w:tcW w:w="4532" w:type="dxa"/>
            <w:shd w:val="clear" w:color="auto" w:fill="1D3567"/>
          </w:tcPr>
          <w:p w14:paraId="6EBE8E30" w14:textId="77777777" w:rsidR="00676ACD" w:rsidRPr="00006397" w:rsidRDefault="00676ACD" w:rsidP="007B5579">
            <w:pPr>
              <w:pStyle w:val="DVABodytextwithparaspace"/>
              <w:rPr>
                <w:b/>
                <w:bCs/>
                <w:sz w:val="16"/>
                <w:szCs w:val="16"/>
              </w:rPr>
            </w:pPr>
            <w:r>
              <w:rPr>
                <w:b/>
                <w:bCs/>
                <w:sz w:val="16"/>
                <w:szCs w:val="16"/>
              </w:rPr>
              <w:t>Use q</w:t>
            </w:r>
            <w:r w:rsidRPr="00006397">
              <w:rPr>
                <w:b/>
                <w:bCs/>
                <w:sz w:val="16"/>
                <w:szCs w:val="16"/>
              </w:rPr>
              <w:t xml:space="preserve">ualitative </w:t>
            </w:r>
            <w:r>
              <w:rPr>
                <w:b/>
                <w:bCs/>
                <w:sz w:val="16"/>
                <w:szCs w:val="16"/>
              </w:rPr>
              <w:t>d</w:t>
            </w:r>
            <w:r w:rsidRPr="00006397">
              <w:rPr>
                <w:b/>
                <w:bCs/>
                <w:sz w:val="16"/>
                <w:szCs w:val="16"/>
              </w:rPr>
              <w:t>ata</w:t>
            </w:r>
            <w:r>
              <w:rPr>
                <w:b/>
                <w:bCs/>
                <w:sz w:val="16"/>
                <w:szCs w:val="16"/>
              </w:rPr>
              <w:t xml:space="preserve"> collection methods when:</w:t>
            </w:r>
          </w:p>
        </w:tc>
      </w:tr>
      <w:tr w:rsidR="00676ACD" w:rsidRPr="00006397" w14:paraId="3122D1C4" w14:textId="77777777" w:rsidTr="007B5579">
        <w:tc>
          <w:tcPr>
            <w:tcW w:w="4531" w:type="dxa"/>
          </w:tcPr>
          <w:p w14:paraId="05516F09" w14:textId="77777777" w:rsidR="00676ACD" w:rsidRPr="00006397" w:rsidRDefault="00676ACD" w:rsidP="007B5579">
            <w:pPr>
              <w:pStyle w:val="DVABulletnoparaspace"/>
              <w:rPr>
                <w:sz w:val="16"/>
              </w:rPr>
            </w:pPr>
            <w:r w:rsidRPr="00006397">
              <w:rPr>
                <w:sz w:val="16"/>
              </w:rPr>
              <w:t>Differences or change in an impact or outcome needs to be quantified</w:t>
            </w:r>
          </w:p>
          <w:p w14:paraId="201D636B" w14:textId="77777777" w:rsidR="00676ACD" w:rsidRPr="00006397" w:rsidRDefault="00676ACD" w:rsidP="007B5579">
            <w:pPr>
              <w:pStyle w:val="DVABulletnoparaspace"/>
              <w:rPr>
                <w:sz w:val="16"/>
              </w:rPr>
            </w:pPr>
            <w:r w:rsidRPr="00006397">
              <w:rPr>
                <w:sz w:val="16"/>
              </w:rPr>
              <w:t>Validated and reliable measures are needed to answer an evaluation question</w:t>
            </w:r>
          </w:p>
          <w:p w14:paraId="227BCDB9" w14:textId="77777777" w:rsidR="00676ACD" w:rsidRPr="00006397" w:rsidRDefault="00676ACD" w:rsidP="007B5579">
            <w:pPr>
              <w:pStyle w:val="DVABulletnoparaspace"/>
              <w:rPr>
                <w:sz w:val="16"/>
              </w:rPr>
            </w:pPr>
            <w:r w:rsidRPr="00006397">
              <w:rPr>
                <w:sz w:val="16"/>
              </w:rPr>
              <w:t>Causal evidence of program effects is needed (it is important to note that the program is rarely the sole cause of change; there may be other activities or environmental factors which provide partial attribution)</w:t>
            </w:r>
          </w:p>
          <w:p w14:paraId="0290017C" w14:textId="77777777" w:rsidR="00676ACD" w:rsidRPr="00006397" w:rsidRDefault="00676ACD" w:rsidP="007B5579">
            <w:pPr>
              <w:pStyle w:val="DVABulletnoparaspace"/>
              <w:rPr>
                <w:sz w:val="16"/>
              </w:rPr>
            </w:pPr>
            <w:r w:rsidRPr="00006397">
              <w:rPr>
                <w:sz w:val="16"/>
              </w:rPr>
              <w:t xml:space="preserve">Data </w:t>
            </w:r>
            <w:r>
              <w:rPr>
                <w:sz w:val="16"/>
              </w:rPr>
              <w:t xml:space="preserve">are </w:t>
            </w:r>
            <w:r w:rsidRPr="00006397">
              <w:rPr>
                <w:sz w:val="16"/>
              </w:rPr>
              <w:t>needed on a large number of people or populations</w:t>
            </w:r>
          </w:p>
        </w:tc>
        <w:tc>
          <w:tcPr>
            <w:tcW w:w="4532" w:type="dxa"/>
          </w:tcPr>
          <w:p w14:paraId="6995AC44" w14:textId="77777777" w:rsidR="00676ACD" w:rsidRPr="00006397" w:rsidRDefault="00676ACD" w:rsidP="007B5579">
            <w:pPr>
              <w:pStyle w:val="DVABulletnoparaspace"/>
              <w:rPr>
                <w:sz w:val="16"/>
              </w:rPr>
            </w:pPr>
            <w:r w:rsidRPr="00006397">
              <w:rPr>
                <w:sz w:val="16"/>
              </w:rPr>
              <w:t>Quantitative findings need to be strengthened with a deeper understanding of unique contexts</w:t>
            </w:r>
          </w:p>
          <w:p w14:paraId="2DFE8BB7" w14:textId="77777777" w:rsidR="00676ACD" w:rsidRPr="00006397" w:rsidRDefault="00676ACD" w:rsidP="007B5579">
            <w:pPr>
              <w:pStyle w:val="DVABulletnoparaspace"/>
              <w:rPr>
                <w:sz w:val="16"/>
              </w:rPr>
            </w:pPr>
            <w:r w:rsidRPr="00006397">
              <w:rPr>
                <w:sz w:val="16"/>
              </w:rPr>
              <w:t>Need to analyse and explore complexity, meaning, relationships and patterns</w:t>
            </w:r>
          </w:p>
          <w:p w14:paraId="1942C240" w14:textId="77777777" w:rsidR="00676ACD" w:rsidRPr="00006397" w:rsidRDefault="00676ACD" w:rsidP="007B5579">
            <w:pPr>
              <w:pStyle w:val="DVABulletnoparaspace"/>
              <w:rPr>
                <w:sz w:val="16"/>
              </w:rPr>
            </w:pPr>
            <w:r w:rsidRPr="00006397">
              <w:rPr>
                <w:sz w:val="16"/>
              </w:rPr>
              <w:t>A deeper understanding of cultural facilitators and barriers to a health program is needed</w:t>
            </w:r>
          </w:p>
        </w:tc>
      </w:tr>
    </w:tbl>
    <w:p w14:paraId="1FD60EBE" w14:textId="77777777" w:rsidR="00676ACD" w:rsidRPr="00E72B1E" w:rsidRDefault="00676ACD" w:rsidP="009014F6">
      <w:pPr>
        <w:pStyle w:val="Heading3numbered"/>
      </w:pPr>
      <w:bookmarkStart w:id="117" w:name="_Ref105699117"/>
      <w:bookmarkStart w:id="118" w:name="_Toc110956293"/>
      <w:r>
        <w:t>Careful consideration is given when choosing between internal and external evaluators</w:t>
      </w:r>
      <w:bookmarkEnd w:id="117"/>
      <w:bookmarkEnd w:id="118"/>
    </w:p>
    <w:p w14:paraId="13F27FD2" w14:textId="6B00B46A" w:rsidR="00493CFF" w:rsidRDefault="00676ACD" w:rsidP="00493CFF">
      <w:pPr>
        <w:pStyle w:val="DVABodytextwithparaspace"/>
      </w:pPr>
      <w:r>
        <w:t>Guidance from the Australian Government Department of Finance</w:t>
      </w:r>
      <w:r w:rsidR="006D10F5">
        <w:t xml:space="preserve"> (now Australian Centre for Evaluation)</w:t>
      </w:r>
      <w:sdt>
        <w:sdtPr>
          <w:id w:val="-1469037276"/>
          <w:citation/>
        </w:sdtPr>
        <w:sdtEndPr/>
        <w:sdtContent>
          <w:r>
            <w:fldChar w:fldCharType="begin"/>
          </w:r>
          <w:r>
            <w:instrText xml:space="preserve"> CITATION Aus21 \l 3081 </w:instrText>
          </w:r>
          <w:r>
            <w:fldChar w:fldCharType="separate"/>
          </w:r>
          <w:r w:rsidR="00710993">
            <w:rPr>
              <w:noProof/>
            </w:rPr>
            <w:t xml:space="preserve"> (2)</w:t>
          </w:r>
          <w:r>
            <w:fldChar w:fldCharType="end"/>
          </w:r>
        </w:sdtContent>
      </w:sdt>
      <w:sdt>
        <w:sdtPr>
          <w:id w:val="1404256516"/>
          <w:citation/>
        </w:sdtPr>
        <w:sdtEndPr/>
        <w:sdtContent>
          <w:r>
            <w:fldChar w:fldCharType="begin"/>
          </w:r>
          <w:r>
            <w:instrText xml:space="preserve"> CITATION Aus22 \l 3081 </w:instrText>
          </w:r>
          <w:r>
            <w:fldChar w:fldCharType="separate"/>
          </w:r>
          <w:r w:rsidR="00710993">
            <w:rPr>
              <w:noProof/>
            </w:rPr>
            <w:t xml:space="preserve"> (5)</w:t>
          </w:r>
          <w:r>
            <w:fldChar w:fldCharType="end"/>
          </w:r>
        </w:sdtContent>
      </w:sdt>
      <w:sdt>
        <w:sdtPr>
          <w:id w:val="1396695030"/>
          <w:citation/>
        </w:sdtPr>
        <w:sdtEndPr/>
        <w:sdtContent>
          <w:r>
            <w:fldChar w:fldCharType="begin"/>
          </w:r>
          <w:r>
            <w:instrText xml:space="preserve"> CITATION Aus23 \l 3081 </w:instrText>
          </w:r>
          <w:r>
            <w:fldChar w:fldCharType="separate"/>
          </w:r>
          <w:r w:rsidR="00710993">
            <w:rPr>
              <w:noProof/>
            </w:rPr>
            <w:t xml:space="preserve"> (8)</w:t>
          </w:r>
          <w:r>
            <w:fldChar w:fldCharType="end"/>
          </w:r>
        </w:sdtContent>
      </w:sdt>
      <w:r>
        <w:t xml:space="preserve">, </w:t>
      </w:r>
      <w:r w:rsidR="00DC56FE">
        <w:t xml:space="preserve">and </w:t>
      </w:r>
      <w:r>
        <w:t>the NSW Ministry of Health and Queensland Treasury</w:t>
      </w:r>
      <w:sdt>
        <w:sdtPr>
          <w:id w:val="-830365449"/>
          <w:citation/>
        </w:sdtPr>
        <w:sdtEndPr/>
        <w:sdtContent>
          <w:r>
            <w:fldChar w:fldCharType="begin"/>
          </w:r>
          <w:r>
            <w:instrText xml:space="preserve"> CITATION Que20 \l 3081 </w:instrText>
          </w:r>
          <w:r>
            <w:fldChar w:fldCharType="separate"/>
          </w:r>
          <w:r w:rsidR="00710993">
            <w:rPr>
              <w:noProof/>
            </w:rPr>
            <w:t xml:space="preserve"> (37)</w:t>
          </w:r>
          <w:r>
            <w:fldChar w:fldCharType="end"/>
          </w:r>
        </w:sdtContent>
      </w:sdt>
      <w:r>
        <w:t xml:space="preserve"> was used to inform this section. D</w:t>
      </w:r>
      <w:r w:rsidRPr="00E72B1E">
        <w:t xml:space="preserve">etermining who should manage an evaluation will depend on a variety of factors, including resourcing requirements, capabilities, the need for independence and strategic significance, degree of risk and the complexity of the program </w:t>
      </w:r>
      <w:sdt>
        <w:sdtPr>
          <w:id w:val="285709597"/>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sdt>
        <w:sdtPr>
          <w:id w:val="-627081036"/>
          <w:citation/>
        </w:sdtPr>
        <w:sdtEndPr/>
        <w:sdtContent>
          <w:r w:rsidRPr="00E72B1E">
            <w:fldChar w:fldCharType="begin"/>
          </w:r>
          <w:r w:rsidRPr="00E72B1E">
            <w:instrText xml:space="preserve"> CITATION NSW19 \l 3081 </w:instrText>
          </w:r>
          <w:r w:rsidRPr="00E72B1E">
            <w:fldChar w:fldCharType="separate"/>
          </w:r>
          <w:r w:rsidR="00710993">
            <w:rPr>
              <w:noProof/>
            </w:rPr>
            <w:t xml:space="preserve"> (31)</w:t>
          </w:r>
          <w:r w:rsidRPr="00E72B1E">
            <w:fldChar w:fldCharType="end"/>
          </w:r>
        </w:sdtContent>
      </w:sdt>
      <w:r w:rsidRPr="00E72B1E">
        <w:t xml:space="preserve">. Organisations have the choice to either conduct the evaluation in-house, or commission an external evaluator to support the evaluation process. </w:t>
      </w:r>
      <w:r w:rsidR="00493CFF" w:rsidRPr="00E72B1E">
        <w:t>Ideally, to ensure that program and evaluation planning can occur simultaneously</w:t>
      </w:r>
      <w:r w:rsidR="00493CFF">
        <w:t>,</w:t>
      </w:r>
      <w:r w:rsidR="00493CFF" w:rsidRPr="00E72B1E">
        <w:t xml:space="preserve"> an evaluator should be chosen during program development </w:t>
      </w:r>
      <w:r w:rsidR="00493CFF">
        <w:t xml:space="preserve">to support development of an evaluation framework </w:t>
      </w:r>
      <w:sdt>
        <w:sdtPr>
          <w:id w:val="-851261035"/>
          <w:citation/>
        </w:sdtPr>
        <w:sdtEndPr/>
        <w:sdtContent>
          <w:r w:rsidR="00493CFF" w:rsidRPr="00E72B1E">
            <w:fldChar w:fldCharType="begin"/>
          </w:r>
          <w:r w:rsidR="00493CFF" w:rsidRPr="00E72B1E">
            <w:instrText xml:space="preserve"> CITATION Que20 \l 3081 </w:instrText>
          </w:r>
          <w:r w:rsidR="00493CFF" w:rsidRPr="00E72B1E">
            <w:fldChar w:fldCharType="separate"/>
          </w:r>
          <w:r w:rsidR="00493CFF">
            <w:rPr>
              <w:noProof/>
            </w:rPr>
            <w:t>(37)</w:t>
          </w:r>
          <w:r w:rsidR="00493CFF" w:rsidRPr="00E72B1E">
            <w:fldChar w:fldCharType="end"/>
          </w:r>
        </w:sdtContent>
      </w:sdt>
      <w:r w:rsidR="00493CFF" w:rsidRPr="00E72B1E">
        <w:t xml:space="preserve">. </w:t>
      </w:r>
    </w:p>
    <w:p w14:paraId="10B8E684" w14:textId="387F4708" w:rsidR="00676ACD" w:rsidRPr="00E72B1E" w:rsidRDefault="00676ACD" w:rsidP="00493CFF">
      <w:pPr>
        <w:pStyle w:val="DVABodytextwithparaspace"/>
      </w:pPr>
      <w:r>
        <w:t>Considerations when deciding between conducting an evaluation in-house (with an internal evaluator) or commissioning an external evaluator are outlined below in</w:t>
      </w:r>
      <w:r w:rsidR="00B031C7">
        <w:t xml:space="preserve"> </w:t>
      </w:r>
      <w:r w:rsidR="00B031C7">
        <w:fldChar w:fldCharType="begin"/>
      </w:r>
      <w:r w:rsidR="00B031C7">
        <w:instrText xml:space="preserve"> REF _Ref107305305 \h </w:instrText>
      </w:r>
      <w:r w:rsidR="00B031C7">
        <w:fldChar w:fldCharType="separate"/>
      </w:r>
      <w:r w:rsidR="00812188" w:rsidRPr="00E72B1E">
        <w:t xml:space="preserve">Table </w:t>
      </w:r>
      <w:r w:rsidR="00812188">
        <w:rPr>
          <w:noProof/>
        </w:rPr>
        <w:t>13</w:t>
      </w:r>
      <w:r w:rsidR="00B031C7">
        <w:fldChar w:fldCharType="end"/>
      </w:r>
      <w:r>
        <w:t>. In summary, e</w:t>
      </w:r>
      <w:r w:rsidRPr="00E72B1E">
        <w:t xml:space="preserve">ngaging an external evaluator should be considered where there is a need for special evaluation expertise, and/or an independent assessment of the program. An external evaluator is </w:t>
      </w:r>
      <w:r>
        <w:t xml:space="preserve">likely to be important for </w:t>
      </w:r>
      <w:r w:rsidRPr="00E72B1E">
        <w:t>programs that have involved a reasonable investment,</w:t>
      </w:r>
      <w:r>
        <w:t xml:space="preserve"> where independence is more desirable; also for programs </w:t>
      </w:r>
      <w:r w:rsidRPr="00E72B1E">
        <w:t xml:space="preserve">being assessed for continuation, modification, or scaling up </w:t>
      </w:r>
      <w:sdt>
        <w:sdtPr>
          <w:id w:val="310372180"/>
          <w:citation/>
        </w:sdtPr>
        <w:sdtEndPr/>
        <w:sdtContent>
          <w:r w:rsidRPr="00E72B1E">
            <w:fldChar w:fldCharType="begin"/>
          </w:r>
          <w:r w:rsidRPr="00E72B1E">
            <w:instrText xml:space="preserve"> CITATION NSW19 \l 3081 </w:instrText>
          </w:r>
          <w:r w:rsidRPr="00E72B1E">
            <w:fldChar w:fldCharType="separate"/>
          </w:r>
          <w:r w:rsidR="00710993">
            <w:rPr>
              <w:noProof/>
            </w:rPr>
            <w:t>(31)</w:t>
          </w:r>
          <w:r w:rsidRPr="00E72B1E">
            <w:fldChar w:fldCharType="end"/>
          </w:r>
        </w:sdtContent>
      </w:sdt>
      <w:r w:rsidRPr="00E72B1E">
        <w:t>.</w:t>
      </w:r>
      <w:r>
        <w:t xml:space="preserve"> The use of internal evaluators has the potential to be less costly and can help build internal evaluation capability and an evaluation culture within an organisation. However, internal evaluations can draw resources away from program delivery and can be biased in favour of the program. </w:t>
      </w:r>
      <w:r w:rsidRPr="005A150D">
        <w:t xml:space="preserve">The NT Department of Treasury and </w:t>
      </w:r>
      <w:r w:rsidR="00504EDE" w:rsidRPr="005A150D">
        <w:t>Finance uses</w:t>
      </w:r>
      <w:r w:rsidRPr="005A150D">
        <w:t xml:space="preserve"> both in-house and external evaluators, however, most of the program evaluations conducted are commissioned </w:t>
      </w:r>
      <w:r>
        <w:t xml:space="preserve">to </w:t>
      </w:r>
      <w:r w:rsidRPr="005A150D">
        <w:t>external evaluators as they are still building their evaluation capability (</w:t>
      </w:r>
      <w:r>
        <w:fldChar w:fldCharType="begin"/>
      </w:r>
      <w:r>
        <w:instrText xml:space="preserve"> REF _Ref105509723 \h </w:instrText>
      </w:r>
      <w:r>
        <w:fldChar w:fldCharType="separate"/>
      </w:r>
      <w:r w:rsidR="00812188">
        <w:t xml:space="preserve">Table </w:t>
      </w:r>
      <w:r w:rsidR="00812188">
        <w:rPr>
          <w:noProof/>
        </w:rPr>
        <w:t>21</w:t>
      </w:r>
      <w:r w:rsidR="00812188">
        <w:t>: Case Study I</w:t>
      </w:r>
      <w:r>
        <w:fldChar w:fldCharType="end"/>
      </w:r>
      <w:r w:rsidRPr="005A150D">
        <w:t>).</w:t>
      </w:r>
    </w:p>
    <w:p w14:paraId="207022E8" w14:textId="55DF59BA" w:rsidR="00676ACD" w:rsidRPr="00E72B1E" w:rsidRDefault="00BA720D" w:rsidP="00676ACD">
      <w:pPr>
        <w:pStyle w:val="Caption"/>
      </w:pPr>
      <w:bookmarkStart w:id="119" w:name="_Ref104811541"/>
      <w:r>
        <w:br w:type="column"/>
      </w:r>
      <w:bookmarkStart w:id="120" w:name="_Ref107305305"/>
      <w:r w:rsidR="00676ACD" w:rsidRPr="00E72B1E">
        <w:lastRenderedPageBreak/>
        <w:t xml:space="preserve">Table </w:t>
      </w:r>
      <w:r w:rsidR="00676ACD" w:rsidRPr="00E72B1E">
        <w:fldChar w:fldCharType="begin"/>
      </w:r>
      <w:r w:rsidR="00676ACD" w:rsidRPr="00E72B1E">
        <w:instrText xml:space="preserve"> SEQ Table \* ARABIC </w:instrText>
      </w:r>
      <w:r w:rsidR="00676ACD" w:rsidRPr="00E72B1E">
        <w:fldChar w:fldCharType="separate"/>
      </w:r>
      <w:r w:rsidR="00812188">
        <w:rPr>
          <w:noProof/>
        </w:rPr>
        <w:t>13</w:t>
      </w:r>
      <w:r w:rsidR="00676ACD" w:rsidRPr="00E72B1E">
        <w:fldChar w:fldCharType="end"/>
      </w:r>
      <w:bookmarkEnd w:id="119"/>
      <w:bookmarkEnd w:id="120"/>
      <w:r w:rsidR="00676ACD">
        <w:t>.</w:t>
      </w:r>
      <w:r w:rsidR="00676ACD" w:rsidRPr="00E72B1E">
        <w:t xml:space="preserve"> </w:t>
      </w:r>
      <w:r w:rsidR="00676ACD">
        <w:t>Comparison</w:t>
      </w:r>
      <w:r w:rsidR="00676ACD" w:rsidRPr="00E72B1E">
        <w:t xml:space="preserve"> </w:t>
      </w:r>
      <w:r w:rsidR="00676ACD">
        <w:t xml:space="preserve">between </w:t>
      </w:r>
      <w:r w:rsidR="00676ACD" w:rsidRPr="00E72B1E">
        <w:t xml:space="preserve">internal </w:t>
      </w:r>
      <w:r w:rsidR="00676ACD">
        <w:t xml:space="preserve">and </w:t>
      </w:r>
      <w:r w:rsidR="00676ACD" w:rsidRPr="00E72B1E">
        <w:t xml:space="preserve">external evaluators </w:t>
      </w:r>
      <w:sdt>
        <w:sdtPr>
          <w:id w:val="-804927240"/>
          <w:citation/>
        </w:sdtPr>
        <w:sdtEndPr/>
        <w:sdtContent>
          <w:r w:rsidR="00676ACD" w:rsidRPr="00E72B1E">
            <w:fldChar w:fldCharType="begin"/>
          </w:r>
          <w:r w:rsidR="00676ACD" w:rsidRPr="00E72B1E">
            <w:instrText xml:space="preserve"> CITATION Que20 \l 3081 </w:instrText>
          </w:r>
          <w:r w:rsidR="00676ACD" w:rsidRPr="00E72B1E">
            <w:fldChar w:fldCharType="separate"/>
          </w:r>
          <w:r w:rsidR="00710993">
            <w:rPr>
              <w:noProof/>
            </w:rPr>
            <w:t>(37)</w:t>
          </w:r>
          <w:r w:rsidR="00676ACD" w:rsidRPr="00E72B1E">
            <w:fldChar w:fldCharType="end"/>
          </w:r>
        </w:sdtContent>
      </w:sdt>
      <w:r w:rsidR="00676ACD" w:rsidRPr="00E72B1E">
        <w:t xml:space="preserve"> </w:t>
      </w:r>
      <w:sdt>
        <w:sdtPr>
          <w:id w:val="1006718038"/>
          <w:citation/>
        </w:sdtPr>
        <w:sdtEndPr/>
        <w:sdtContent>
          <w:r w:rsidR="00676ACD" w:rsidRPr="00E72B1E">
            <w:fldChar w:fldCharType="begin"/>
          </w:r>
          <w:r w:rsidR="00676ACD" w:rsidRPr="00E72B1E">
            <w:instrText xml:space="preserve"> CITATION NSW19 \l 3081 </w:instrText>
          </w:r>
          <w:r w:rsidR="00676ACD" w:rsidRPr="00E72B1E">
            <w:fldChar w:fldCharType="separate"/>
          </w:r>
          <w:r w:rsidR="00710993">
            <w:rPr>
              <w:noProof/>
            </w:rPr>
            <w:t>(31)</w:t>
          </w:r>
          <w:r w:rsidR="00676ACD" w:rsidRPr="00E72B1E">
            <w:fldChar w:fldCharType="end"/>
          </w:r>
        </w:sdtContent>
      </w:sdt>
      <w:r w:rsidR="00676ACD" w:rsidRPr="00E72B1E">
        <w:t xml:space="preserve"> </w:t>
      </w:r>
      <w:sdt>
        <w:sdtPr>
          <w:id w:val="-778946179"/>
          <w:citation/>
        </w:sdtPr>
        <w:sdtEndPr/>
        <w:sdtContent>
          <w:r w:rsidR="00676ACD" w:rsidRPr="00E72B1E">
            <w:fldChar w:fldCharType="begin"/>
          </w:r>
          <w:r w:rsidR="00676ACD" w:rsidRPr="00E72B1E">
            <w:instrText xml:space="preserve"> CITATION Soc17 \l 3081 </w:instrText>
          </w:r>
          <w:r w:rsidR="00676ACD" w:rsidRPr="00E72B1E">
            <w:fldChar w:fldCharType="separate"/>
          </w:r>
          <w:r w:rsidR="00710993">
            <w:rPr>
              <w:noProof/>
            </w:rPr>
            <w:t>(39)</w:t>
          </w:r>
          <w:r w:rsidR="00676ACD" w:rsidRPr="00E72B1E">
            <w:fldChar w:fldCharType="end"/>
          </w:r>
        </w:sdtContent>
      </w:sdt>
    </w:p>
    <w:tbl>
      <w:tblPr>
        <w:tblStyle w:val="TableGrid"/>
        <w:tblW w:w="0" w:type="auto"/>
        <w:tblLook w:val="04A0" w:firstRow="1" w:lastRow="0" w:firstColumn="1" w:lastColumn="0" w:noHBand="0" w:noVBand="1"/>
      </w:tblPr>
      <w:tblGrid>
        <w:gridCol w:w="1301"/>
        <w:gridCol w:w="3881"/>
        <w:gridCol w:w="3881"/>
      </w:tblGrid>
      <w:tr w:rsidR="00676ACD" w:rsidRPr="007B243F" w14:paraId="31F54CF6" w14:textId="77777777" w:rsidTr="007B5579">
        <w:trPr>
          <w:tblHeader/>
        </w:trPr>
        <w:tc>
          <w:tcPr>
            <w:tcW w:w="1301" w:type="dxa"/>
            <w:shd w:val="clear" w:color="auto" w:fill="1D3567"/>
          </w:tcPr>
          <w:p w14:paraId="08F7E6AA" w14:textId="77777777" w:rsidR="00676ACD" w:rsidRPr="007B243F" w:rsidRDefault="00676ACD" w:rsidP="007B5579">
            <w:pPr>
              <w:pStyle w:val="DVABodytextwithparaspace"/>
              <w:rPr>
                <w:b/>
                <w:bCs/>
                <w:sz w:val="16"/>
                <w:szCs w:val="16"/>
              </w:rPr>
            </w:pPr>
            <w:bookmarkStart w:id="121" w:name="_Hlk105088409"/>
          </w:p>
        </w:tc>
        <w:tc>
          <w:tcPr>
            <w:tcW w:w="3881" w:type="dxa"/>
            <w:shd w:val="clear" w:color="auto" w:fill="1D3567"/>
          </w:tcPr>
          <w:p w14:paraId="2958CD11" w14:textId="77777777" w:rsidR="00676ACD" w:rsidRPr="007B243F" w:rsidRDefault="00676ACD" w:rsidP="007B5579">
            <w:pPr>
              <w:pStyle w:val="DVABodytextwithparaspace"/>
              <w:rPr>
                <w:b/>
                <w:bCs/>
                <w:sz w:val="16"/>
                <w:szCs w:val="16"/>
              </w:rPr>
            </w:pPr>
            <w:r w:rsidRPr="007B243F">
              <w:rPr>
                <w:b/>
                <w:bCs/>
                <w:sz w:val="16"/>
                <w:szCs w:val="16"/>
              </w:rPr>
              <w:t>Internal Evaluator</w:t>
            </w:r>
          </w:p>
        </w:tc>
        <w:tc>
          <w:tcPr>
            <w:tcW w:w="3881" w:type="dxa"/>
            <w:shd w:val="clear" w:color="auto" w:fill="1D3567"/>
          </w:tcPr>
          <w:p w14:paraId="4EBFDFB0" w14:textId="77777777" w:rsidR="00676ACD" w:rsidRPr="007B243F" w:rsidRDefault="00676ACD" w:rsidP="007B5579">
            <w:pPr>
              <w:pStyle w:val="DVABodytextwithparaspace"/>
              <w:rPr>
                <w:b/>
                <w:bCs/>
                <w:sz w:val="16"/>
                <w:szCs w:val="16"/>
              </w:rPr>
            </w:pPr>
            <w:r w:rsidRPr="007B243F">
              <w:rPr>
                <w:b/>
                <w:bCs/>
                <w:sz w:val="16"/>
                <w:szCs w:val="16"/>
              </w:rPr>
              <w:t>External Evaluator</w:t>
            </w:r>
          </w:p>
        </w:tc>
      </w:tr>
      <w:tr w:rsidR="00676ACD" w:rsidRPr="007B243F" w14:paraId="6090975F" w14:textId="77777777" w:rsidTr="007B5579">
        <w:tc>
          <w:tcPr>
            <w:tcW w:w="1301" w:type="dxa"/>
            <w:shd w:val="clear" w:color="auto" w:fill="CDCDCD"/>
          </w:tcPr>
          <w:p w14:paraId="2A965408" w14:textId="77777777" w:rsidR="00676ACD" w:rsidRPr="007B243F" w:rsidRDefault="00676ACD" w:rsidP="007B5579">
            <w:pPr>
              <w:pStyle w:val="DVABodytextwithparaspace"/>
              <w:rPr>
                <w:b/>
                <w:bCs/>
                <w:sz w:val="16"/>
                <w:szCs w:val="16"/>
              </w:rPr>
            </w:pPr>
            <w:r w:rsidRPr="007B243F">
              <w:rPr>
                <w:b/>
                <w:bCs/>
                <w:sz w:val="16"/>
                <w:szCs w:val="16"/>
              </w:rPr>
              <w:t>Advantages</w:t>
            </w:r>
          </w:p>
        </w:tc>
        <w:tc>
          <w:tcPr>
            <w:tcW w:w="3881" w:type="dxa"/>
          </w:tcPr>
          <w:p w14:paraId="64228880" w14:textId="77777777" w:rsidR="00676ACD" w:rsidRPr="007B243F" w:rsidRDefault="00676ACD" w:rsidP="007B5579">
            <w:pPr>
              <w:pStyle w:val="DVABulletnoparaspace"/>
              <w:rPr>
                <w:sz w:val="16"/>
              </w:rPr>
            </w:pPr>
            <w:r w:rsidRPr="007B243F">
              <w:rPr>
                <w:sz w:val="16"/>
              </w:rPr>
              <w:t>Has detailed knowledge about program design and implementation</w:t>
            </w:r>
          </w:p>
          <w:p w14:paraId="1BDB8F49" w14:textId="77777777" w:rsidR="00676ACD" w:rsidRPr="007B243F" w:rsidRDefault="00676ACD" w:rsidP="007B5579">
            <w:pPr>
              <w:pStyle w:val="DVABulletnoparaspace"/>
              <w:rPr>
                <w:sz w:val="16"/>
              </w:rPr>
            </w:pPr>
            <w:r w:rsidRPr="007B243F">
              <w:rPr>
                <w:sz w:val="16"/>
              </w:rPr>
              <w:t>Can help to build evaluation capacity, knowledge and skills within the organisation</w:t>
            </w:r>
          </w:p>
          <w:p w14:paraId="5114B5DD" w14:textId="77777777" w:rsidR="00676ACD" w:rsidRPr="007B243F" w:rsidRDefault="00676ACD" w:rsidP="007B5579">
            <w:pPr>
              <w:pStyle w:val="DVABulletnoparaspace"/>
              <w:rPr>
                <w:sz w:val="16"/>
              </w:rPr>
            </w:pPr>
            <w:r w:rsidRPr="007B243F">
              <w:rPr>
                <w:sz w:val="16"/>
              </w:rPr>
              <w:t>Can be less costly</w:t>
            </w:r>
          </w:p>
          <w:p w14:paraId="2291D107" w14:textId="77777777" w:rsidR="00676ACD" w:rsidRPr="007B243F" w:rsidRDefault="00676ACD" w:rsidP="007B5579">
            <w:pPr>
              <w:pStyle w:val="DVABulletnoparaspace"/>
              <w:rPr>
                <w:sz w:val="16"/>
              </w:rPr>
            </w:pPr>
            <w:r w:rsidRPr="007B243F">
              <w:rPr>
                <w:sz w:val="16"/>
              </w:rPr>
              <w:t>May be able to achieve better employee and stakeholder ‘buy-in’ for the evaluation</w:t>
            </w:r>
          </w:p>
        </w:tc>
        <w:tc>
          <w:tcPr>
            <w:tcW w:w="3881" w:type="dxa"/>
          </w:tcPr>
          <w:p w14:paraId="4F0CC90B" w14:textId="77777777" w:rsidR="00676ACD" w:rsidRPr="007B243F" w:rsidRDefault="00676ACD" w:rsidP="007B5579">
            <w:pPr>
              <w:pStyle w:val="DVABulletnoparaspace"/>
              <w:rPr>
                <w:sz w:val="16"/>
              </w:rPr>
            </w:pPr>
            <w:r w:rsidRPr="007B243F">
              <w:rPr>
                <w:sz w:val="16"/>
              </w:rPr>
              <w:t>Ability to provide independence and objectivity (which is needed for programs that are subject to higher scrutiny and risk)</w:t>
            </w:r>
          </w:p>
          <w:p w14:paraId="38897A1F" w14:textId="77777777" w:rsidR="00676ACD" w:rsidRPr="007B243F" w:rsidRDefault="00676ACD" w:rsidP="007B5579">
            <w:pPr>
              <w:pStyle w:val="DVABulletnoparaspace"/>
              <w:rPr>
                <w:sz w:val="16"/>
              </w:rPr>
            </w:pPr>
            <w:r w:rsidRPr="007B243F">
              <w:rPr>
                <w:sz w:val="16"/>
              </w:rPr>
              <w:t>Offers specialist technical or professional skills and expertise</w:t>
            </w:r>
          </w:p>
          <w:p w14:paraId="0D1EC9E9" w14:textId="77777777" w:rsidR="00676ACD" w:rsidRPr="007B243F" w:rsidRDefault="00676ACD" w:rsidP="007B5579">
            <w:pPr>
              <w:pStyle w:val="DVABulletnoparaspace"/>
              <w:rPr>
                <w:sz w:val="16"/>
              </w:rPr>
            </w:pPr>
            <w:r w:rsidRPr="007B243F">
              <w:rPr>
                <w:sz w:val="16"/>
              </w:rPr>
              <w:t>Can evaluate more complex programs</w:t>
            </w:r>
          </w:p>
          <w:p w14:paraId="7134B088" w14:textId="77777777" w:rsidR="00676ACD" w:rsidRPr="007B243F" w:rsidRDefault="00676ACD" w:rsidP="007B5579">
            <w:pPr>
              <w:pStyle w:val="DVABulletnoparaspace"/>
              <w:rPr>
                <w:sz w:val="16"/>
              </w:rPr>
            </w:pPr>
            <w:r w:rsidRPr="007B243F">
              <w:rPr>
                <w:sz w:val="16"/>
              </w:rPr>
              <w:t>Provides their reputation and experience</w:t>
            </w:r>
          </w:p>
          <w:p w14:paraId="0D6536CA" w14:textId="77777777" w:rsidR="00676ACD" w:rsidRPr="007B243F" w:rsidRDefault="00676ACD" w:rsidP="007B5579">
            <w:pPr>
              <w:pStyle w:val="DVABulletnoparaspace"/>
              <w:rPr>
                <w:sz w:val="16"/>
              </w:rPr>
            </w:pPr>
            <w:r w:rsidRPr="007B243F">
              <w:rPr>
                <w:sz w:val="16"/>
              </w:rPr>
              <w:t>May deliver more efficient evaluation activities</w:t>
            </w:r>
          </w:p>
          <w:p w14:paraId="7EF38DB7" w14:textId="77777777" w:rsidR="00676ACD" w:rsidRPr="007B243F" w:rsidRDefault="00676ACD" w:rsidP="007B5579">
            <w:pPr>
              <w:pStyle w:val="DVABulletnoparaspace"/>
              <w:rPr>
                <w:sz w:val="16"/>
              </w:rPr>
            </w:pPr>
            <w:r w:rsidRPr="007B243F">
              <w:rPr>
                <w:sz w:val="16"/>
              </w:rPr>
              <w:t>Lesser impact internal operational functions / resources than an internal evaluation</w:t>
            </w:r>
          </w:p>
        </w:tc>
      </w:tr>
      <w:bookmarkEnd w:id="121"/>
      <w:tr w:rsidR="00676ACD" w:rsidRPr="007B243F" w14:paraId="4EE69452" w14:textId="77777777" w:rsidTr="007B5579">
        <w:tc>
          <w:tcPr>
            <w:tcW w:w="1301" w:type="dxa"/>
            <w:shd w:val="clear" w:color="auto" w:fill="CDCDCD"/>
          </w:tcPr>
          <w:p w14:paraId="260BF4F3" w14:textId="77777777" w:rsidR="00676ACD" w:rsidRPr="007B243F" w:rsidRDefault="00676ACD" w:rsidP="007B5579">
            <w:pPr>
              <w:pStyle w:val="DVABodytextwithparaspace"/>
              <w:rPr>
                <w:b/>
                <w:bCs/>
                <w:sz w:val="16"/>
                <w:szCs w:val="16"/>
              </w:rPr>
            </w:pPr>
            <w:r w:rsidRPr="007B243F">
              <w:rPr>
                <w:b/>
                <w:bCs/>
                <w:sz w:val="16"/>
                <w:szCs w:val="16"/>
              </w:rPr>
              <w:t>Disadvantages</w:t>
            </w:r>
          </w:p>
        </w:tc>
        <w:tc>
          <w:tcPr>
            <w:tcW w:w="3881" w:type="dxa"/>
          </w:tcPr>
          <w:p w14:paraId="33C0D529" w14:textId="77777777" w:rsidR="00676ACD" w:rsidRPr="007B243F" w:rsidRDefault="00676ACD" w:rsidP="007B5579">
            <w:pPr>
              <w:pStyle w:val="DVABulletnoparaspace"/>
              <w:rPr>
                <w:sz w:val="16"/>
              </w:rPr>
            </w:pPr>
            <w:r w:rsidRPr="007B243F">
              <w:rPr>
                <w:sz w:val="16"/>
              </w:rPr>
              <w:t>May have less evaluation experience</w:t>
            </w:r>
          </w:p>
          <w:p w14:paraId="07BE594B" w14:textId="77777777" w:rsidR="00676ACD" w:rsidRPr="007B243F" w:rsidRDefault="00676ACD" w:rsidP="007B5579">
            <w:pPr>
              <w:pStyle w:val="DVABulletnoparaspace"/>
              <w:rPr>
                <w:sz w:val="16"/>
              </w:rPr>
            </w:pPr>
            <w:r w:rsidRPr="007B243F">
              <w:rPr>
                <w:sz w:val="16"/>
              </w:rPr>
              <w:t>May draw resources away from program delivery, or other internal activities</w:t>
            </w:r>
          </w:p>
          <w:p w14:paraId="2C744C18" w14:textId="77777777" w:rsidR="00676ACD" w:rsidRPr="007B243F" w:rsidRDefault="00676ACD" w:rsidP="007B5579">
            <w:pPr>
              <w:pStyle w:val="DVABulletnoparaspace"/>
              <w:rPr>
                <w:sz w:val="16"/>
              </w:rPr>
            </w:pPr>
            <w:r w:rsidRPr="007B243F">
              <w:rPr>
                <w:sz w:val="16"/>
              </w:rPr>
              <w:t>May inhibit the candour of stakeholders who are consulted as part of the evaluation</w:t>
            </w:r>
          </w:p>
          <w:p w14:paraId="0497F0E4" w14:textId="77777777" w:rsidR="00676ACD" w:rsidRPr="007B243F" w:rsidRDefault="00676ACD" w:rsidP="007B5579">
            <w:pPr>
              <w:pStyle w:val="DVABulletnoparaspace"/>
              <w:rPr>
                <w:sz w:val="16"/>
              </w:rPr>
            </w:pPr>
            <w:r w:rsidRPr="007B243F">
              <w:rPr>
                <w:sz w:val="16"/>
              </w:rPr>
              <w:t>May reduce the actual or perceived validity of the evaluation’s results</w:t>
            </w:r>
          </w:p>
        </w:tc>
        <w:tc>
          <w:tcPr>
            <w:tcW w:w="3881" w:type="dxa"/>
          </w:tcPr>
          <w:p w14:paraId="540108D5" w14:textId="77777777" w:rsidR="00676ACD" w:rsidRPr="007B243F" w:rsidRDefault="00676ACD" w:rsidP="007B5579">
            <w:pPr>
              <w:pStyle w:val="DVABulletnoparaspace"/>
              <w:rPr>
                <w:sz w:val="16"/>
              </w:rPr>
            </w:pPr>
            <w:r w:rsidRPr="007B243F">
              <w:rPr>
                <w:sz w:val="16"/>
              </w:rPr>
              <w:t>Can be more costly</w:t>
            </w:r>
          </w:p>
          <w:p w14:paraId="46BCC173" w14:textId="77777777" w:rsidR="00676ACD" w:rsidRPr="007B243F" w:rsidRDefault="00676ACD" w:rsidP="007B5579">
            <w:pPr>
              <w:pStyle w:val="DVABulletnoparaspace"/>
              <w:rPr>
                <w:sz w:val="16"/>
              </w:rPr>
            </w:pPr>
            <w:r w:rsidRPr="007B243F">
              <w:rPr>
                <w:sz w:val="16"/>
              </w:rPr>
              <w:t>May not have an adequate understanding of the program, its implementation context or target groups</w:t>
            </w:r>
          </w:p>
          <w:p w14:paraId="52562C19" w14:textId="77777777" w:rsidR="00676ACD" w:rsidRPr="007B243F" w:rsidRDefault="00676ACD" w:rsidP="007B5579">
            <w:pPr>
              <w:pStyle w:val="DVABulletnoparaspace"/>
              <w:rPr>
                <w:sz w:val="16"/>
              </w:rPr>
            </w:pPr>
            <w:r w:rsidRPr="007B243F">
              <w:rPr>
                <w:sz w:val="16"/>
              </w:rPr>
              <w:t>May have difficulty engaging employees and stakeholders in the evaluation process</w:t>
            </w:r>
          </w:p>
        </w:tc>
      </w:tr>
    </w:tbl>
    <w:p w14:paraId="4AB2670C" w14:textId="77777777" w:rsidR="00676ACD" w:rsidRPr="00E72B1E" w:rsidRDefault="00676ACD" w:rsidP="009014F6">
      <w:pPr>
        <w:pStyle w:val="Heading3numbered"/>
      </w:pPr>
      <w:bookmarkStart w:id="122" w:name="_Ref105699124"/>
      <w:bookmarkStart w:id="123" w:name="_Toc110956294"/>
      <w:r>
        <w:t>E</w:t>
      </w:r>
      <w:r w:rsidRPr="00E72B1E">
        <w:t xml:space="preserve">valuation findings </w:t>
      </w:r>
      <w:r>
        <w:t>are used</w:t>
      </w:r>
      <w:r w:rsidRPr="00E72B1E">
        <w:t xml:space="preserve"> to support decision-making</w:t>
      </w:r>
      <w:bookmarkEnd w:id="122"/>
      <w:bookmarkEnd w:id="123"/>
    </w:p>
    <w:p w14:paraId="392802AA" w14:textId="7E6A67D1" w:rsidR="00676ACD" w:rsidRPr="00E72B1E" w:rsidRDefault="00676ACD" w:rsidP="00676ACD">
      <w:pPr>
        <w:pStyle w:val="DVABodytextwithparaspace"/>
      </w:pPr>
      <w:r w:rsidRPr="00E72B1E">
        <w:t xml:space="preserve">Evidence-informed decision-making should be at the forefront of any program evaluation </w:t>
      </w:r>
      <w:sdt>
        <w:sdtPr>
          <w:id w:val="-622458508"/>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t xml:space="preserve">, and program evaluation </w:t>
      </w:r>
      <w:r w:rsidRPr="00E72B1E">
        <w:t xml:space="preserve">should be designed to be used constructively to support continuous improvement </w:t>
      </w:r>
      <w:sdt>
        <w:sdtPr>
          <w:id w:val="-80298240"/>
          <w:citation/>
        </w:sdtPr>
        <w:sdtEndPr/>
        <w:sdtContent>
          <w:r w:rsidRPr="00E72B1E">
            <w:fldChar w:fldCharType="begin"/>
          </w:r>
          <w:r w:rsidRPr="00E72B1E">
            <w:instrText xml:space="preserve">CITATION Aus21 \l 3081 </w:instrText>
          </w:r>
          <w:r w:rsidRPr="00E72B1E">
            <w:fldChar w:fldCharType="separate"/>
          </w:r>
          <w:r w:rsidR="00710993">
            <w:rPr>
              <w:noProof/>
            </w:rPr>
            <w:t>(2)</w:t>
          </w:r>
          <w:r w:rsidRPr="00E72B1E">
            <w:fldChar w:fldCharType="end"/>
          </w:r>
        </w:sdtContent>
      </w:sdt>
      <w:r w:rsidRPr="00E72B1E">
        <w:t xml:space="preserve">. Evaluation findings can help support decision-making by policy makers about a program’s design, implementation and opportunities for improvement. It can also aid in the understanding of the information needs of other evaluation stakeholder groups, including those who may be affected by its findings </w:t>
      </w:r>
      <w:sdt>
        <w:sdtPr>
          <w:id w:val="-820572263"/>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rsidRPr="00E72B1E">
        <w:t>.</w:t>
      </w:r>
    </w:p>
    <w:p w14:paraId="4EFAFC4A" w14:textId="307ABAB5" w:rsidR="00676ACD" w:rsidRPr="00E72B1E" w:rsidRDefault="00676ACD" w:rsidP="00676ACD">
      <w:pPr>
        <w:pStyle w:val="DVABodytextwithparaspace"/>
      </w:pPr>
      <w:r w:rsidRPr="00E72B1E">
        <w:t xml:space="preserve">Government evaluation guidelines indicate that organisations are encouraged to share the results of evaluations in the public domain (where permission has been obtained). Sharing results publicly enables the rich, evidence-based insights gathered through the evaluation to help guide the allocation of public resources for government agencies, improve the design and implementation of programs, and deliver better services </w:t>
      </w:r>
      <w:sdt>
        <w:sdtPr>
          <w:id w:val="-1188671414"/>
          <w:citation/>
        </w:sdtPr>
        <w:sdtEndPr/>
        <w:sdtContent>
          <w:r w:rsidRPr="00E72B1E">
            <w:fldChar w:fldCharType="begin"/>
          </w:r>
          <w:r w:rsidRPr="00E72B1E">
            <w:instrText xml:space="preserve"> CITATION Que20 \l 3081 </w:instrText>
          </w:r>
          <w:r w:rsidRPr="00E72B1E">
            <w:fldChar w:fldCharType="separate"/>
          </w:r>
          <w:r w:rsidR="00710993">
            <w:rPr>
              <w:noProof/>
            </w:rPr>
            <w:t>(37)</w:t>
          </w:r>
          <w:r w:rsidRPr="00E72B1E">
            <w:fldChar w:fldCharType="end"/>
          </w:r>
        </w:sdtContent>
      </w:sdt>
      <w:r w:rsidRPr="00E72B1E">
        <w:t xml:space="preserve"> </w:t>
      </w:r>
      <w:sdt>
        <w:sdtPr>
          <w:id w:val="-2118901046"/>
          <w:citation/>
        </w:sdtPr>
        <w:sdtEndPr/>
        <w:sdtContent>
          <w:r w:rsidRPr="00E72B1E">
            <w:fldChar w:fldCharType="begin"/>
          </w:r>
          <w:r w:rsidRPr="00E72B1E">
            <w:instrText xml:space="preserve">CITATION Aus21 \l 3081 </w:instrText>
          </w:r>
          <w:r w:rsidRPr="00E72B1E">
            <w:fldChar w:fldCharType="separate"/>
          </w:r>
          <w:r w:rsidR="00710993">
            <w:rPr>
              <w:noProof/>
            </w:rPr>
            <w:t>(2)</w:t>
          </w:r>
          <w:r w:rsidRPr="00E72B1E">
            <w:fldChar w:fldCharType="end"/>
          </w:r>
        </w:sdtContent>
      </w:sdt>
      <w:r w:rsidRPr="00E72B1E">
        <w:t xml:space="preserve">. Furthermore, </w:t>
      </w:r>
      <w:r>
        <w:t>published evaluation findings</w:t>
      </w:r>
      <w:r w:rsidRPr="00E72B1E">
        <w:t xml:space="preserve"> support accountability</w:t>
      </w:r>
      <w:r>
        <w:t xml:space="preserve"> and </w:t>
      </w:r>
      <w:r w:rsidRPr="00E72B1E">
        <w:t xml:space="preserve">continuous improvement, and helps to embed a culture of evaluation </w:t>
      </w:r>
      <w:sdt>
        <w:sdtPr>
          <w:id w:val="-155618399"/>
          <w:citation/>
        </w:sdtPr>
        <w:sdtEndPr/>
        <w:sdtContent>
          <w:r w:rsidRPr="00E72B1E">
            <w:fldChar w:fldCharType="begin"/>
          </w:r>
          <w:r w:rsidRPr="00E72B1E">
            <w:instrText xml:space="preserve">CITATION Aus21 \l 3081 </w:instrText>
          </w:r>
          <w:r w:rsidRPr="00E72B1E">
            <w:fldChar w:fldCharType="separate"/>
          </w:r>
          <w:r w:rsidR="00710993">
            <w:rPr>
              <w:noProof/>
            </w:rPr>
            <w:t>(2)</w:t>
          </w:r>
          <w:r w:rsidRPr="00E72B1E">
            <w:fldChar w:fldCharType="end"/>
          </w:r>
        </w:sdtContent>
      </w:sdt>
      <w:r w:rsidRPr="00E72B1E">
        <w:t>.</w:t>
      </w:r>
    </w:p>
    <w:p w14:paraId="0DAD7622" w14:textId="5DCA6D25" w:rsidR="00676ACD" w:rsidRPr="00EE4527" w:rsidRDefault="00676ACD" w:rsidP="00676ACD">
      <w:pPr>
        <w:pStyle w:val="DVABulletnoparaspace"/>
        <w:numPr>
          <w:ilvl w:val="0"/>
          <w:numId w:val="0"/>
        </w:numPr>
        <w:spacing w:after="240"/>
        <w:rPr>
          <w:rFonts w:asciiTheme="minorHAnsi" w:hAnsiTheme="minorHAnsi"/>
          <w:szCs w:val="20"/>
        </w:rPr>
      </w:pPr>
      <w:r w:rsidRPr="00E72B1E">
        <w:rPr>
          <w:rFonts w:asciiTheme="minorHAnsi" w:hAnsiTheme="minorHAnsi"/>
          <w:szCs w:val="20"/>
        </w:rPr>
        <w:t xml:space="preserve">The </w:t>
      </w:r>
      <w:r>
        <w:rPr>
          <w:rFonts w:asciiTheme="minorHAnsi" w:hAnsiTheme="minorHAnsi"/>
          <w:szCs w:val="20"/>
        </w:rPr>
        <w:t xml:space="preserve">review also identified </w:t>
      </w:r>
      <w:r w:rsidRPr="00E72B1E">
        <w:rPr>
          <w:rFonts w:asciiTheme="minorHAnsi" w:hAnsiTheme="minorHAnsi"/>
          <w:szCs w:val="20"/>
        </w:rPr>
        <w:t xml:space="preserve">the importance of communicating changes being implemented as a result of evaluation findings, particularly with those who have participated in the evaluation. Providing feedback to participants (where disclosure is allowed) recognises and values their contribution </w:t>
      </w:r>
      <w:sdt>
        <w:sdtPr>
          <w:rPr>
            <w:rFonts w:asciiTheme="minorHAnsi" w:hAnsiTheme="minorHAnsi"/>
            <w:szCs w:val="20"/>
          </w:rPr>
          <w:id w:val="823018967"/>
          <w:citation/>
        </w:sdtPr>
        <w:sdtEndPr/>
        <w:sdtContent>
          <w:r w:rsidRPr="00E72B1E">
            <w:rPr>
              <w:rFonts w:asciiTheme="minorHAnsi" w:hAnsiTheme="minorHAnsi"/>
              <w:szCs w:val="20"/>
            </w:rPr>
            <w:fldChar w:fldCharType="begin"/>
          </w:r>
          <w:r w:rsidRPr="00E72B1E">
            <w:rPr>
              <w:rFonts w:asciiTheme="minorHAnsi" w:hAnsiTheme="minorHAnsi"/>
              <w:szCs w:val="20"/>
            </w:rPr>
            <w:instrText xml:space="preserve"> CITATION Que20 \l 3081 </w:instrText>
          </w:r>
          <w:r w:rsidRPr="00E72B1E">
            <w:rPr>
              <w:rFonts w:asciiTheme="minorHAnsi" w:hAnsiTheme="minorHAnsi"/>
              <w:szCs w:val="20"/>
            </w:rPr>
            <w:fldChar w:fldCharType="separate"/>
          </w:r>
          <w:r w:rsidR="00710993" w:rsidRPr="00710993">
            <w:rPr>
              <w:rFonts w:asciiTheme="minorHAnsi" w:hAnsiTheme="minorHAnsi"/>
              <w:noProof/>
              <w:szCs w:val="20"/>
            </w:rPr>
            <w:t>(37)</w:t>
          </w:r>
          <w:r w:rsidRPr="00E72B1E">
            <w:rPr>
              <w:rFonts w:asciiTheme="minorHAnsi" w:hAnsiTheme="minorHAnsi"/>
              <w:szCs w:val="20"/>
            </w:rPr>
            <w:fldChar w:fldCharType="end"/>
          </w:r>
        </w:sdtContent>
      </w:sdt>
      <w:r w:rsidRPr="00E72B1E">
        <w:rPr>
          <w:rFonts w:asciiTheme="minorHAnsi" w:hAnsiTheme="minorHAnsi"/>
          <w:szCs w:val="20"/>
        </w:rPr>
        <w:t>.</w:t>
      </w:r>
      <w:r>
        <w:rPr>
          <w:rFonts w:asciiTheme="minorHAnsi" w:hAnsiTheme="minorHAnsi"/>
          <w:szCs w:val="20"/>
        </w:rPr>
        <w:t xml:space="preserve"> The importance of completing the ‘feedback loop’ was also highlighted through the case study consultation with the Department of Finance</w:t>
      </w:r>
      <w:r w:rsidR="00952AA2">
        <w:rPr>
          <w:rFonts w:asciiTheme="minorHAnsi" w:hAnsiTheme="minorHAnsi"/>
          <w:szCs w:val="20"/>
        </w:rPr>
        <w:t xml:space="preserve"> </w:t>
      </w:r>
      <w:r w:rsidR="00952AA2">
        <w:t>(now Australian Centre for Evaluation)</w:t>
      </w:r>
      <w:r>
        <w:rPr>
          <w:rFonts w:asciiTheme="minorHAnsi" w:hAnsiTheme="minorHAnsi"/>
          <w:szCs w:val="20"/>
        </w:rPr>
        <w:t>, who emphasised that this allows evaluation findings to be used in an effective way (</w:t>
      </w:r>
      <w:r>
        <w:rPr>
          <w:rFonts w:asciiTheme="minorHAnsi" w:hAnsiTheme="minorHAnsi"/>
          <w:szCs w:val="20"/>
        </w:rPr>
        <w:fldChar w:fldCharType="begin"/>
      </w:r>
      <w:r>
        <w:rPr>
          <w:rFonts w:asciiTheme="minorHAnsi" w:hAnsiTheme="minorHAnsi"/>
          <w:szCs w:val="20"/>
        </w:rPr>
        <w:instrText xml:space="preserve"> REF _Ref105596795 \h </w:instrText>
      </w:r>
      <w:r>
        <w:rPr>
          <w:rFonts w:asciiTheme="minorHAnsi" w:hAnsiTheme="minorHAnsi"/>
          <w:szCs w:val="20"/>
        </w:rPr>
      </w:r>
      <w:r>
        <w:rPr>
          <w:rFonts w:asciiTheme="minorHAnsi" w:hAnsiTheme="minorHAnsi"/>
          <w:szCs w:val="20"/>
        </w:rPr>
        <w:fldChar w:fldCharType="separate"/>
      </w:r>
      <w:r w:rsidR="00812188">
        <w:t xml:space="preserve">Table </w:t>
      </w:r>
      <w:r w:rsidR="00812188">
        <w:rPr>
          <w:noProof/>
        </w:rPr>
        <w:t>23</w:t>
      </w:r>
      <w:r w:rsidR="00812188">
        <w:t>: Case Study III</w:t>
      </w:r>
      <w:r>
        <w:rPr>
          <w:rFonts w:asciiTheme="minorHAnsi" w:hAnsiTheme="minorHAnsi"/>
          <w:szCs w:val="20"/>
        </w:rPr>
        <w:fldChar w:fldCharType="end"/>
      </w:r>
      <w:r>
        <w:rPr>
          <w:rFonts w:asciiTheme="minorHAnsi" w:hAnsiTheme="minorHAnsi"/>
          <w:szCs w:val="20"/>
        </w:rPr>
        <w:t>)</w:t>
      </w:r>
    </w:p>
    <w:p w14:paraId="5299A242" w14:textId="77777777" w:rsidR="00676ACD" w:rsidRPr="00E72B1E" w:rsidRDefault="00676ACD" w:rsidP="00676ACD">
      <w:pPr>
        <w:pStyle w:val="Heading2numbered"/>
      </w:pPr>
      <w:bookmarkStart w:id="124" w:name="_Ref105699130"/>
      <w:bookmarkStart w:id="125" w:name="_Toc105749445"/>
      <w:bookmarkStart w:id="126" w:name="_Toc107225298"/>
      <w:bookmarkStart w:id="127" w:name="_Toc105758420"/>
      <w:bookmarkStart w:id="128" w:name="_Toc110956295"/>
      <w:r w:rsidRPr="00E72B1E">
        <w:t>What types of evaluations are used for the assessment of health programs across Australia?</w:t>
      </w:r>
      <w:bookmarkEnd w:id="124"/>
      <w:bookmarkEnd w:id="125"/>
      <w:bookmarkEnd w:id="126"/>
      <w:bookmarkEnd w:id="127"/>
      <w:bookmarkEnd w:id="128"/>
    </w:p>
    <w:p w14:paraId="6AF2A8BF" w14:textId="7EC0685A" w:rsidR="00676ACD" w:rsidRDefault="00676ACD" w:rsidP="00676ACD">
      <w:pPr>
        <w:pStyle w:val="DVABodytextwithparaspace"/>
      </w:pPr>
      <w:r>
        <w:t xml:space="preserve">A total of 16 Program Evaluation articles were identified during the desktop review (see </w:t>
      </w:r>
      <w:r>
        <w:fldChar w:fldCharType="begin"/>
      </w:r>
      <w:r>
        <w:instrText xml:space="preserve"> REF _Ref105526452 \h </w:instrText>
      </w:r>
      <w:r>
        <w:fldChar w:fldCharType="separate"/>
      </w:r>
      <w:r w:rsidR="00812188">
        <w:t xml:space="preserve">Figure </w:t>
      </w:r>
      <w:r w:rsidR="00812188">
        <w:rPr>
          <w:noProof/>
        </w:rPr>
        <w:t>2</w:t>
      </w:r>
      <w:r>
        <w:fldChar w:fldCharType="end"/>
      </w:r>
      <w:r>
        <w:t xml:space="preserve">). These articles presented results of primary research/program evaluations for publicly funded/administered health programs for Australian veterans and/or people with health conditions relevant for veterans (as per </w:t>
      </w:r>
      <w:r>
        <w:fldChar w:fldCharType="begin"/>
      </w:r>
      <w:r>
        <w:instrText xml:space="preserve"> REF _Ref105058330 \h  \* MERGEFORMAT </w:instrText>
      </w:r>
      <w:r>
        <w:fldChar w:fldCharType="separate"/>
      </w:r>
      <w:r w:rsidR="00812188" w:rsidRPr="00812188">
        <w:t>Table 2</w:t>
      </w:r>
      <w:r>
        <w:fldChar w:fldCharType="end"/>
      </w:r>
      <w:r>
        <w:t xml:space="preserve">). The characteristics of these evaluations is outlined in </w:t>
      </w:r>
      <w:r>
        <w:fldChar w:fldCharType="begin"/>
      </w:r>
      <w:r>
        <w:instrText xml:space="preserve"> REF _Ref105077633 \h </w:instrText>
      </w:r>
      <w:r>
        <w:fldChar w:fldCharType="separate"/>
      </w:r>
      <w:r w:rsidR="00812188">
        <w:t xml:space="preserve">Figure </w:t>
      </w:r>
      <w:r w:rsidR="00812188">
        <w:rPr>
          <w:noProof/>
        </w:rPr>
        <w:t>9</w:t>
      </w:r>
      <w:r w:rsidR="00812188">
        <w:t>.</w:t>
      </w:r>
      <w:r>
        <w:fldChar w:fldCharType="end"/>
      </w:r>
      <w:r>
        <w:t xml:space="preserve"> It can be seen that mixed methods were used by 68% of the researchers, supporting the findings presented in the previous section about mixed methods being the better practice approach to </w:t>
      </w:r>
      <w:r>
        <w:lastRenderedPageBreak/>
        <w:t>conducting evaluations. Interestingly, all of the evaluations conducted by government agencies were carried out by external evaluators, and the most common type of evaluations carried out were process evaluations.</w:t>
      </w:r>
    </w:p>
    <w:p w14:paraId="7A40A15E" w14:textId="7516AB24" w:rsidR="00676ACD" w:rsidRDefault="00676ACD" w:rsidP="00676ACD">
      <w:pPr>
        <w:pStyle w:val="Caption"/>
        <w:jc w:val="center"/>
      </w:pPr>
      <w:bookmarkStart w:id="129" w:name="_Ref105077633"/>
      <w:bookmarkStart w:id="130" w:name="_Ref104841642"/>
      <w:r>
        <w:t xml:space="preserve">Figure </w:t>
      </w:r>
      <w:r>
        <w:fldChar w:fldCharType="begin"/>
      </w:r>
      <w:r>
        <w:instrText xml:space="preserve"> SEQ Figure \* ARABIC </w:instrText>
      </w:r>
      <w:r>
        <w:fldChar w:fldCharType="separate"/>
      </w:r>
      <w:r w:rsidR="00812188">
        <w:rPr>
          <w:noProof/>
        </w:rPr>
        <w:t>9</w:t>
      </w:r>
      <w:r>
        <w:fldChar w:fldCharType="end"/>
      </w:r>
      <w:r>
        <w:t>.</w:t>
      </w:r>
      <w:bookmarkEnd w:id="129"/>
      <w:r>
        <w:t xml:space="preserve"> </w:t>
      </w:r>
      <w:bookmarkEnd w:id="130"/>
      <w:r>
        <w:t>Types of evaluations identified in the 16 program evaluation articles</w:t>
      </w:r>
    </w:p>
    <w:p w14:paraId="1C7B8844" w14:textId="77777777" w:rsidR="00676ACD" w:rsidRDefault="00676ACD" w:rsidP="00676ACD">
      <w:pPr>
        <w:pStyle w:val="DVABodytextwithparaspace"/>
        <w:jc w:val="center"/>
      </w:pPr>
      <w:r w:rsidRPr="00204FE9">
        <w:rPr>
          <w:noProof/>
          <w:lang w:eastAsia="en-AU"/>
        </w:rPr>
        <w:drawing>
          <wp:inline distT="0" distB="0" distL="0" distR="0" wp14:anchorId="6CE0A26A" wp14:editId="00C3B7C5">
            <wp:extent cx="3983604" cy="30677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3854" cy="3083316"/>
                    </a:xfrm>
                    <a:prstGeom prst="rect">
                      <a:avLst/>
                    </a:prstGeom>
                    <a:noFill/>
                    <a:ln>
                      <a:noFill/>
                    </a:ln>
                  </pic:spPr>
                </pic:pic>
              </a:graphicData>
            </a:graphic>
          </wp:inline>
        </w:drawing>
      </w:r>
    </w:p>
    <w:p w14:paraId="4A274895" w14:textId="4EB7EBAE" w:rsidR="00676ACD" w:rsidRDefault="00676ACD" w:rsidP="00676ACD">
      <w:pPr>
        <w:pStyle w:val="DVABodytextwithparaspace"/>
      </w:pPr>
      <w:r>
        <w:t xml:space="preserve">A total of 12 systematic reviews were also identified by the review. These were systematic reviews of publicly funded/administered health programs for Australian veterans and/or people with health conditions relevant for veterans. The 12 systematic reviews presented the findings of over 355 publications. In total, nine of these 12 systematic reviews provided details on the types of evaluations used in the publications included (equating to 229 publications in the systematic reviews presenting evaluation design type). </w:t>
      </w:r>
      <w:r>
        <w:fldChar w:fldCharType="begin"/>
      </w:r>
      <w:r>
        <w:instrText xml:space="preserve"> REF _Ref105614706 \h </w:instrText>
      </w:r>
      <w:r>
        <w:fldChar w:fldCharType="separate"/>
      </w:r>
      <w:r w:rsidR="00812188">
        <w:t xml:space="preserve">Table </w:t>
      </w:r>
      <w:r w:rsidR="00812188">
        <w:rPr>
          <w:noProof/>
        </w:rPr>
        <w:t>14</w:t>
      </w:r>
      <w:r>
        <w:fldChar w:fldCharType="end"/>
      </w:r>
      <w:r>
        <w:t xml:space="preserve"> shows that the most common evaluation methods reported were pre-post design, which is usually a quantitative method that compares the outcomes of a cohort before and after an intervention is implemented. Mixed methods designs were not as common as the findings above would suggest; however this may be due to differences in reporting methods by the systematic review authors. </w:t>
      </w:r>
    </w:p>
    <w:p w14:paraId="60185897" w14:textId="671A7213" w:rsidR="00676ACD" w:rsidRDefault="00676ACD" w:rsidP="00676ACD">
      <w:pPr>
        <w:pStyle w:val="Caption"/>
      </w:pPr>
      <w:bookmarkStart w:id="131" w:name="_Ref105614706"/>
      <w:r>
        <w:t xml:space="preserve">Table </w:t>
      </w:r>
      <w:r>
        <w:fldChar w:fldCharType="begin"/>
      </w:r>
      <w:r>
        <w:instrText xml:space="preserve"> SEQ Table \* ARABIC </w:instrText>
      </w:r>
      <w:r>
        <w:fldChar w:fldCharType="separate"/>
      </w:r>
      <w:r w:rsidR="00812188">
        <w:rPr>
          <w:noProof/>
        </w:rPr>
        <w:t>14</w:t>
      </w:r>
      <w:r>
        <w:fldChar w:fldCharType="end"/>
      </w:r>
      <w:bookmarkEnd w:id="131"/>
      <w:r>
        <w:t>: Evaluation types from systematic review articles</w:t>
      </w:r>
    </w:p>
    <w:tbl>
      <w:tblPr>
        <w:tblStyle w:val="TableGrid"/>
        <w:tblW w:w="5000" w:type="pct"/>
        <w:tblBorders>
          <w:top w:val="single" w:sz="4" w:space="0" w:color="747480"/>
          <w:left w:val="single" w:sz="4" w:space="0" w:color="747480"/>
          <w:bottom w:val="single" w:sz="4" w:space="0" w:color="747480"/>
          <w:right w:val="single" w:sz="4" w:space="0" w:color="747480"/>
          <w:insideH w:val="single" w:sz="4" w:space="0" w:color="747480"/>
          <w:insideV w:val="single" w:sz="4" w:space="0" w:color="747480"/>
        </w:tblBorders>
        <w:tblCellMar>
          <w:left w:w="57" w:type="dxa"/>
          <w:right w:w="57" w:type="dxa"/>
        </w:tblCellMar>
        <w:tblLook w:val="04A0" w:firstRow="1" w:lastRow="0" w:firstColumn="1" w:lastColumn="0" w:noHBand="0" w:noVBand="1"/>
      </w:tblPr>
      <w:tblGrid>
        <w:gridCol w:w="3675"/>
        <w:gridCol w:w="3404"/>
        <w:gridCol w:w="2552"/>
      </w:tblGrid>
      <w:tr w:rsidR="00676ACD" w:rsidRPr="00936968" w14:paraId="41C6B815" w14:textId="77777777" w:rsidTr="007B5579">
        <w:tc>
          <w:tcPr>
            <w:tcW w:w="1908" w:type="pct"/>
            <w:shd w:val="clear" w:color="auto" w:fill="1D3567"/>
            <w:vAlign w:val="center"/>
          </w:tcPr>
          <w:p w14:paraId="210B783E"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Evaluation Design Type</w:t>
            </w:r>
          </w:p>
        </w:tc>
        <w:tc>
          <w:tcPr>
            <w:tcW w:w="1767" w:type="pct"/>
            <w:shd w:val="clear" w:color="auto" w:fill="1D3567"/>
            <w:vAlign w:val="bottom"/>
          </w:tcPr>
          <w:p w14:paraId="50109EC4" w14:textId="77777777" w:rsidR="00676ACD" w:rsidRPr="003A0CF5" w:rsidRDefault="00676ACD" w:rsidP="007B5579">
            <w:pPr>
              <w:pStyle w:val="EYTabletext0"/>
              <w:jc w:val="center"/>
              <w:rPr>
                <w:rFonts w:asciiTheme="minorHAnsi" w:hAnsiTheme="minorHAnsi"/>
                <w:b/>
                <w:bCs/>
              </w:rPr>
            </w:pPr>
            <w:r w:rsidRPr="003A0CF5">
              <w:rPr>
                <w:rFonts w:asciiTheme="minorHAnsi" w:hAnsiTheme="minorHAnsi"/>
                <w:b/>
                <w:bCs/>
              </w:rPr>
              <w:t>Number of Articles</w:t>
            </w:r>
          </w:p>
        </w:tc>
        <w:tc>
          <w:tcPr>
            <w:tcW w:w="1325" w:type="pct"/>
            <w:shd w:val="clear" w:color="auto" w:fill="1D3567"/>
            <w:vAlign w:val="center"/>
          </w:tcPr>
          <w:p w14:paraId="28A7A08B" w14:textId="77777777" w:rsidR="00676ACD" w:rsidRPr="003A0CF5" w:rsidRDefault="00676ACD" w:rsidP="007B5579">
            <w:pPr>
              <w:pStyle w:val="EYTabletext0"/>
              <w:jc w:val="center"/>
              <w:rPr>
                <w:rFonts w:asciiTheme="minorHAnsi" w:hAnsiTheme="minorHAnsi"/>
                <w:b/>
                <w:bCs/>
              </w:rPr>
            </w:pPr>
            <w:r>
              <w:rPr>
                <w:rFonts w:asciiTheme="minorHAnsi" w:hAnsiTheme="minorHAnsi"/>
                <w:b/>
                <w:bCs/>
              </w:rPr>
              <w:t>Percentage (%)</w:t>
            </w:r>
          </w:p>
        </w:tc>
      </w:tr>
      <w:tr w:rsidR="00676ACD" w:rsidRPr="00936968" w14:paraId="25CD8065" w14:textId="77777777" w:rsidTr="007B5579">
        <w:tc>
          <w:tcPr>
            <w:tcW w:w="1908" w:type="pct"/>
            <w:vAlign w:val="center"/>
          </w:tcPr>
          <w:p w14:paraId="7F90D152"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Pre-post</w:t>
            </w:r>
          </w:p>
        </w:tc>
        <w:tc>
          <w:tcPr>
            <w:tcW w:w="1767" w:type="pct"/>
            <w:vAlign w:val="center"/>
          </w:tcPr>
          <w:p w14:paraId="71BB32DE"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89</w:t>
            </w:r>
          </w:p>
        </w:tc>
        <w:tc>
          <w:tcPr>
            <w:tcW w:w="1325" w:type="pct"/>
            <w:vAlign w:val="center"/>
          </w:tcPr>
          <w:p w14:paraId="359B670F"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39</w:t>
            </w:r>
          </w:p>
        </w:tc>
      </w:tr>
      <w:tr w:rsidR="00676ACD" w:rsidRPr="00936968" w14:paraId="72EB55EC" w14:textId="77777777" w:rsidTr="007B5579">
        <w:tc>
          <w:tcPr>
            <w:tcW w:w="1908" w:type="pct"/>
            <w:vAlign w:val="center"/>
          </w:tcPr>
          <w:p w14:paraId="57C36347"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Quantitative</w:t>
            </w:r>
          </w:p>
        </w:tc>
        <w:tc>
          <w:tcPr>
            <w:tcW w:w="1767" w:type="pct"/>
            <w:vAlign w:val="center"/>
          </w:tcPr>
          <w:p w14:paraId="7DC48AA8"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46</w:t>
            </w:r>
          </w:p>
        </w:tc>
        <w:tc>
          <w:tcPr>
            <w:tcW w:w="1325" w:type="pct"/>
            <w:vAlign w:val="center"/>
          </w:tcPr>
          <w:p w14:paraId="78085680"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20</w:t>
            </w:r>
          </w:p>
        </w:tc>
      </w:tr>
      <w:tr w:rsidR="00676ACD" w:rsidRPr="00936968" w14:paraId="0E577393" w14:textId="77777777" w:rsidTr="007B5579">
        <w:tc>
          <w:tcPr>
            <w:tcW w:w="1908" w:type="pct"/>
            <w:vAlign w:val="center"/>
          </w:tcPr>
          <w:p w14:paraId="494C2E74"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Qualitative</w:t>
            </w:r>
          </w:p>
        </w:tc>
        <w:tc>
          <w:tcPr>
            <w:tcW w:w="1767" w:type="pct"/>
            <w:vAlign w:val="center"/>
          </w:tcPr>
          <w:p w14:paraId="0A9EEB64"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35</w:t>
            </w:r>
          </w:p>
        </w:tc>
        <w:tc>
          <w:tcPr>
            <w:tcW w:w="1325" w:type="pct"/>
            <w:vAlign w:val="center"/>
          </w:tcPr>
          <w:p w14:paraId="0DB9073D"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15</w:t>
            </w:r>
          </w:p>
        </w:tc>
      </w:tr>
      <w:tr w:rsidR="00676ACD" w:rsidRPr="00936968" w14:paraId="46398C2A" w14:textId="77777777" w:rsidTr="007B5579">
        <w:tc>
          <w:tcPr>
            <w:tcW w:w="1908" w:type="pct"/>
            <w:vAlign w:val="center"/>
          </w:tcPr>
          <w:p w14:paraId="4BF97BA9"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Descriptive</w:t>
            </w:r>
          </w:p>
        </w:tc>
        <w:tc>
          <w:tcPr>
            <w:tcW w:w="1767" w:type="pct"/>
            <w:vAlign w:val="center"/>
          </w:tcPr>
          <w:p w14:paraId="3D09D125"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31</w:t>
            </w:r>
          </w:p>
        </w:tc>
        <w:tc>
          <w:tcPr>
            <w:tcW w:w="1325" w:type="pct"/>
            <w:vAlign w:val="center"/>
          </w:tcPr>
          <w:p w14:paraId="3CA94E9C"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1</w:t>
            </w:r>
            <w:r>
              <w:rPr>
                <w:rFonts w:asciiTheme="minorHAnsi" w:hAnsiTheme="minorHAnsi"/>
              </w:rPr>
              <w:t>3</w:t>
            </w:r>
          </w:p>
        </w:tc>
      </w:tr>
      <w:tr w:rsidR="00676ACD" w:rsidRPr="00936968" w14:paraId="37E7333F" w14:textId="77777777" w:rsidTr="007B5579">
        <w:tc>
          <w:tcPr>
            <w:tcW w:w="1908" w:type="pct"/>
            <w:vAlign w:val="center"/>
          </w:tcPr>
          <w:p w14:paraId="28C30AC4"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Other</w:t>
            </w:r>
            <w:r>
              <w:rPr>
                <w:rFonts w:asciiTheme="minorHAnsi" w:hAnsiTheme="minorHAnsi"/>
                <w:b/>
                <w:bCs/>
              </w:rPr>
              <w:t xml:space="preserve"> (including pilot studies and modelling)</w:t>
            </w:r>
          </w:p>
        </w:tc>
        <w:tc>
          <w:tcPr>
            <w:tcW w:w="1767" w:type="pct"/>
            <w:vAlign w:val="center"/>
          </w:tcPr>
          <w:p w14:paraId="5D80BD12"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15</w:t>
            </w:r>
          </w:p>
        </w:tc>
        <w:tc>
          <w:tcPr>
            <w:tcW w:w="1325" w:type="pct"/>
            <w:vAlign w:val="center"/>
          </w:tcPr>
          <w:p w14:paraId="2EE23A66" w14:textId="77777777" w:rsidR="00676ACD" w:rsidRPr="00723400" w:rsidRDefault="00676ACD" w:rsidP="007B5579">
            <w:pPr>
              <w:pStyle w:val="EYTabletext0"/>
              <w:jc w:val="center"/>
              <w:rPr>
                <w:rFonts w:asciiTheme="minorHAnsi" w:hAnsiTheme="minorHAnsi"/>
              </w:rPr>
            </w:pPr>
            <w:r>
              <w:rPr>
                <w:rFonts w:asciiTheme="minorHAnsi" w:hAnsiTheme="minorHAnsi"/>
              </w:rPr>
              <w:t>7</w:t>
            </w:r>
          </w:p>
        </w:tc>
      </w:tr>
      <w:tr w:rsidR="00676ACD" w:rsidRPr="00936968" w14:paraId="3FAC1E8A" w14:textId="77777777" w:rsidTr="007B5579">
        <w:tc>
          <w:tcPr>
            <w:tcW w:w="1908" w:type="pct"/>
            <w:vAlign w:val="center"/>
          </w:tcPr>
          <w:p w14:paraId="3BA5C9B6"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Mixed methods</w:t>
            </w:r>
          </w:p>
        </w:tc>
        <w:tc>
          <w:tcPr>
            <w:tcW w:w="1767" w:type="pct"/>
            <w:vAlign w:val="center"/>
          </w:tcPr>
          <w:p w14:paraId="62380C14"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13</w:t>
            </w:r>
          </w:p>
        </w:tc>
        <w:tc>
          <w:tcPr>
            <w:tcW w:w="1325" w:type="pct"/>
            <w:vAlign w:val="center"/>
          </w:tcPr>
          <w:p w14:paraId="1B34479D" w14:textId="77777777" w:rsidR="00676ACD" w:rsidRDefault="00676ACD" w:rsidP="007B5579">
            <w:pPr>
              <w:pStyle w:val="EYTabletext0"/>
              <w:jc w:val="center"/>
              <w:rPr>
                <w:rFonts w:asciiTheme="minorHAnsi" w:hAnsiTheme="minorHAnsi"/>
              </w:rPr>
            </w:pPr>
            <w:r>
              <w:rPr>
                <w:rFonts w:asciiTheme="minorHAnsi" w:hAnsiTheme="minorHAnsi"/>
              </w:rPr>
              <w:t>6</w:t>
            </w:r>
          </w:p>
        </w:tc>
      </w:tr>
      <w:tr w:rsidR="00676ACD" w:rsidRPr="00936968" w14:paraId="31B580E5" w14:textId="77777777" w:rsidTr="007B5579">
        <w:tc>
          <w:tcPr>
            <w:tcW w:w="1908" w:type="pct"/>
            <w:shd w:val="clear" w:color="auto" w:fill="CCCCCC" w:themeFill="text1" w:themeFillTint="33"/>
            <w:vAlign w:val="center"/>
          </w:tcPr>
          <w:p w14:paraId="491C5911" w14:textId="77777777" w:rsidR="00676ACD" w:rsidRPr="003A0CF5" w:rsidRDefault="00676ACD" w:rsidP="007B5579">
            <w:pPr>
              <w:pStyle w:val="EYTabletext0"/>
              <w:rPr>
                <w:rFonts w:asciiTheme="minorHAnsi" w:hAnsiTheme="minorHAnsi"/>
                <w:b/>
                <w:bCs/>
              </w:rPr>
            </w:pPr>
            <w:r w:rsidRPr="003A0CF5">
              <w:rPr>
                <w:rFonts w:asciiTheme="minorHAnsi" w:hAnsiTheme="minorHAnsi"/>
                <w:b/>
                <w:bCs/>
              </w:rPr>
              <w:t>Total</w:t>
            </w:r>
          </w:p>
        </w:tc>
        <w:tc>
          <w:tcPr>
            <w:tcW w:w="1767" w:type="pct"/>
            <w:shd w:val="clear" w:color="auto" w:fill="CCCCCC" w:themeFill="text1" w:themeFillTint="33"/>
            <w:vAlign w:val="center"/>
          </w:tcPr>
          <w:p w14:paraId="5F91BF36"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229</w:t>
            </w:r>
          </w:p>
        </w:tc>
        <w:tc>
          <w:tcPr>
            <w:tcW w:w="1325" w:type="pct"/>
            <w:shd w:val="clear" w:color="auto" w:fill="CCCCCC" w:themeFill="text1" w:themeFillTint="33"/>
            <w:vAlign w:val="center"/>
          </w:tcPr>
          <w:p w14:paraId="756152E1" w14:textId="77777777" w:rsidR="00676ACD" w:rsidRPr="00723400" w:rsidRDefault="00676ACD" w:rsidP="007B5579">
            <w:pPr>
              <w:pStyle w:val="EYTabletext0"/>
              <w:jc w:val="center"/>
              <w:rPr>
                <w:rFonts w:asciiTheme="minorHAnsi" w:hAnsiTheme="minorHAnsi"/>
              </w:rPr>
            </w:pPr>
            <w:r w:rsidRPr="00723400">
              <w:rPr>
                <w:rFonts w:asciiTheme="minorHAnsi" w:hAnsiTheme="minorHAnsi"/>
              </w:rPr>
              <w:t>100%</w:t>
            </w:r>
          </w:p>
        </w:tc>
      </w:tr>
    </w:tbl>
    <w:p w14:paraId="1B1E8E1C" w14:textId="77777777" w:rsidR="00676ACD" w:rsidRDefault="00676ACD" w:rsidP="00676ACD">
      <w:pPr>
        <w:pStyle w:val="DVABodytextwithparaspace"/>
        <w:spacing w:after="0"/>
      </w:pPr>
    </w:p>
    <w:p w14:paraId="0634C4F5" w14:textId="77777777" w:rsidR="00363139" w:rsidRDefault="00363139">
      <w:pPr>
        <w:rPr>
          <w:rFonts w:eastAsia="Times New Roman" w:cs="Times New Roman"/>
          <w:sz w:val="20"/>
          <w:szCs w:val="20"/>
          <w:lang w:val="en-AU"/>
        </w:rPr>
      </w:pPr>
      <w:r>
        <w:br w:type="page"/>
      </w:r>
    </w:p>
    <w:p w14:paraId="7E3E957F" w14:textId="6BEF0153" w:rsidR="00676ACD" w:rsidRDefault="00676ACD" w:rsidP="00676ACD">
      <w:pPr>
        <w:pStyle w:val="DVABodytextwithparaspace"/>
        <w:spacing w:after="0"/>
      </w:pPr>
      <w:r>
        <w:lastRenderedPageBreak/>
        <w:fldChar w:fldCharType="begin"/>
      </w:r>
      <w:r>
        <w:instrText xml:space="preserve"> REF _Ref105615074 \h </w:instrText>
      </w:r>
      <w:r>
        <w:fldChar w:fldCharType="separate"/>
      </w:r>
      <w:r w:rsidR="00812188">
        <w:t xml:space="preserve">Figure </w:t>
      </w:r>
      <w:r w:rsidR="00812188">
        <w:rPr>
          <w:noProof/>
        </w:rPr>
        <w:t>10</w:t>
      </w:r>
      <w:r>
        <w:fldChar w:fldCharType="end"/>
      </w:r>
      <w:r>
        <w:t xml:space="preserve"> outlines some of the common types of evaluations used in the US, as identified during key informant interviews. Key is the use of specialised evaluations for innovative programs, which involve smaller cohorts in partnership with research institutions. This concept of developing evaluation methods that suit the program was supported by the NSW Ministry of Health. The NSW Ministry of Health highlighted the importance of framing data collection around the potential future use of data and making sure data collection methods were appropriate and could gather this information as directly as possible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xml:space="preserve">). </w:t>
      </w:r>
    </w:p>
    <w:p w14:paraId="41FA145C" w14:textId="77777777" w:rsidR="00676ACD" w:rsidRDefault="00676ACD" w:rsidP="00676ACD">
      <w:pPr>
        <w:pStyle w:val="DVABodytextwithparaspace"/>
        <w:spacing w:after="0"/>
      </w:pPr>
    </w:p>
    <w:p w14:paraId="31EBE491" w14:textId="5D678AEE" w:rsidR="00676ACD" w:rsidRDefault="00676ACD" w:rsidP="00676ACD">
      <w:pPr>
        <w:pStyle w:val="Caption"/>
      </w:pPr>
      <w:bookmarkStart w:id="132" w:name="_Ref105615074"/>
      <w:r>
        <w:t xml:space="preserve">Figure </w:t>
      </w:r>
      <w:r>
        <w:fldChar w:fldCharType="begin"/>
      </w:r>
      <w:r>
        <w:instrText xml:space="preserve"> SEQ Figure \* ARABIC </w:instrText>
      </w:r>
      <w:r>
        <w:fldChar w:fldCharType="separate"/>
      </w:r>
      <w:r w:rsidR="00812188">
        <w:rPr>
          <w:noProof/>
        </w:rPr>
        <w:t>10</w:t>
      </w:r>
      <w:r>
        <w:fldChar w:fldCharType="end"/>
      </w:r>
      <w:bookmarkEnd w:id="132"/>
      <w:r>
        <w:t>. Learnings from the US - veteran program evaluations in the US</w:t>
      </w:r>
    </w:p>
    <w:p w14:paraId="41AC4BAB" w14:textId="77777777" w:rsidR="00676ACD" w:rsidRPr="004370F9" w:rsidRDefault="00676ACD" w:rsidP="00676ACD">
      <w:r w:rsidRPr="004370F9">
        <w:rPr>
          <w:noProof/>
          <w:lang w:val="en-AU" w:eastAsia="en-AU"/>
        </w:rPr>
        <w:drawing>
          <wp:inline distT="0" distB="0" distL="0" distR="0" wp14:anchorId="6F6DAC66" wp14:editId="5D7BA8DC">
            <wp:extent cx="5806111" cy="271139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8566" cy="2726551"/>
                    </a:xfrm>
                    <a:prstGeom prst="rect">
                      <a:avLst/>
                    </a:prstGeom>
                  </pic:spPr>
                </pic:pic>
              </a:graphicData>
            </a:graphic>
          </wp:inline>
        </w:drawing>
      </w:r>
    </w:p>
    <w:p w14:paraId="09DFB36B" w14:textId="77777777" w:rsidR="00676ACD" w:rsidRPr="004D528A" w:rsidRDefault="00676ACD" w:rsidP="00676ACD">
      <w:pPr>
        <w:pStyle w:val="DVABodytextwithparaspace"/>
        <w:rPr>
          <w:sz w:val="16"/>
        </w:rPr>
      </w:pPr>
      <w:r w:rsidRPr="004D528A">
        <w:rPr>
          <w:sz w:val="16"/>
        </w:rPr>
        <w:t xml:space="preserve">Data source: Key Informant Interviews </w:t>
      </w:r>
    </w:p>
    <w:p w14:paraId="65F2D09B" w14:textId="77777777" w:rsidR="00676ACD" w:rsidRDefault="00676ACD" w:rsidP="00676ACD">
      <w:pPr>
        <w:pStyle w:val="Heading2numbered"/>
      </w:pPr>
      <w:bookmarkStart w:id="133" w:name="_Ref105699137"/>
      <w:bookmarkStart w:id="134" w:name="_Toc105749446"/>
      <w:bookmarkStart w:id="135" w:name="_Toc107225299"/>
      <w:bookmarkStart w:id="136" w:name="_Toc105758421"/>
      <w:bookmarkStart w:id="137" w:name="_Toc110956296"/>
      <w:r w:rsidRPr="00E72B1E">
        <w:t>How have health programs been evaluated within government agencies? Does this differ from the private sector?</w:t>
      </w:r>
      <w:bookmarkEnd w:id="133"/>
      <w:bookmarkEnd w:id="134"/>
      <w:bookmarkEnd w:id="135"/>
      <w:bookmarkEnd w:id="136"/>
      <w:bookmarkEnd w:id="137"/>
    </w:p>
    <w:p w14:paraId="2F39C81D" w14:textId="18E2F598" w:rsidR="00676ACD" w:rsidRDefault="00676ACD" w:rsidP="00676ACD">
      <w:pPr>
        <w:pStyle w:val="DVABodytextwithparaspace"/>
      </w:pPr>
      <w:r>
        <w:t>This section was informed by the program evaluation articles found in the published literature review and from key informant interviews. Case study discussion further supported this information. The desktop literature search identified that in Australia, all government evaluations were commissioned</w:t>
      </w:r>
      <w:sdt>
        <w:sdtPr>
          <w:id w:val="247472619"/>
          <w:citation/>
        </w:sdtPr>
        <w:sdtEndPr/>
        <w:sdtContent>
          <w:r>
            <w:fldChar w:fldCharType="begin"/>
          </w:r>
          <w:r>
            <w:instrText xml:space="preserve"> CITATION Cam20 \l 3081 </w:instrText>
          </w:r>
          <w:r>
            <w:fldChar w:fldCharType="separate"/>
          </w:r>
          <w:r w:rsidR="00710993">
            <w:rPr>
              <w:noProof/>
            </w:rPr>
            <w:t xml:space="preserve"> (9)</w:t>
          </w:r>
          <w:r>
            <w:fldChar w:fldCharType="end"/>
          </w:r>
        </w:sdtContent>
      </w:sdt>
      <w:sdt>
        <w:sdtPr>
          <w:id w:val="-1012299246"/>
          <w:citation/>
        </w:sdtPr>
        <w:sdtEndPr/>
        <w:sdtContent>
          <w:r>
            <w:fldChar w:fldCharType="begin"/>
          </w:r>
          <w:r>
            <w:instrText xml:space="preserve"> CITATION Dor21 \l 3081 </w:instrText>
          </w:r>
          <w:r>
            <w:fldChar w:fldCharType="separate"/>
          </w:r>
          <w:r w:rsidR="00710993">
            <w:rPr>
              <w:noProof/>
            </w:rPr>
            <w:t xml:space="preserve"> (12)</w:t>
          </w:r>
          <w:r>
            <w:fldChar w:fldCharType="end"/>
          </w:r>
        </w:sdtContent>
      </w:sdt>
      <w:sdt>
        <w:sdtPr>
          <w:id w:val="-802145500"/>
          <w:citation/>
        </w:sdtPr>
        <w:sdtEndPr/>
        <w:sdtContent>
          <w:r>
            <w:fldChar w:fldCharType="begin"/>
          </w:r>
          <w:r>
            <w:instrText xml:space="preserve"> CITATION Mar21 \l 3081 </w:instrText>
          </w:r>
          <w:r>
            <w:fldChar w:fldCharType="separate"/>
          </w:r>
          <w:r w:rsidR="00710993">
            <w:rPr>
              <w:noProof/>
            </w:rPr>
            <w:t xml:space="preserve"> (17)</w:t>
          </w:r>
          <w:r>
            <w:fldChar w:fldCharType="end"/>
          </w:r>
        </w:sdtContent>
      </w:sdt>
      <w:sdt>
        <w:sdtPr>
          <w:id w:val="-1507967300"/>
          <w:citation/>
        </w:sdtPr>
        <w:sdtEndPr/>
        <w:sdtContent>
          <w:r>
            <w:fldChar w:fldCharType="begin"/>
          </w:r>
          <w:r>
            <w:instrText xml:space="preserve"> CITATION Mor20 \l 3081 </w:instrText>
          </w:r>
          <w:r>
            <w:fldChar w:fldCharType="separate"/>
          </w:r>
          <w:r w:rsidR="00710993">
            <w:rPr>
              <w:noProof/>
            </w:rPr>
            <w:t xml:space="preserve"> (20)</w:t>
          </w:r>
          <w:r>
            <w:fldChar w:fldCharType="end"/>
          </w:r>
        </w:sdtContent>
      </w:sdt>
      <w:sdt>
        <w:sdtPr>
          <w:id w:val="-1101248877"/>
          <w:citation/>
        </w:sdtPr>
        <w:sdtEndPr/>
        <w:sdtContent>
          <w:r>
            <w:fldChar w:fldCharType="begin"/>
          </w:r>
          <w:r>
            <w:instrText xml:space="preserve"> CITATION Per19 \l 3081 </w:instrText>
          </w:r>
          <w:r>
            <w:fldChar w:fldCharType="separate"/>
          </w:r>
          <w:r w:rsidR="00710993">
            <w:rPr>
              <w:noProof/>
            </w:rPr>
            <w:t xml:space="preserve"> (23)</w:t>
          </w:r>
          <w:r>
            <w:fldChar w:fldCharType="end"/>
          </w:r>
        </w:sdtContent>
      </w:sdt>
      <w:sdt>
        <w:sdtPr>
          <w:id w:val="-2039803025"/>
          <w:citation/>
        </w:sdtPr>
        <w:sdtEndPr/>
        <w:sdtContent>
          <w:r>
            <w:fldChar w:fldCharType="begin"/>
          </w:r>
          <w:r>
            <w:instrText xml:space="preserve"> CITATION Tra15 \l 3081 </w:instrText>
          </w:r>
          <w:r>
            <w:fldChar w:fldCharType="separate"/>
          </w:r>
          <w:r w:rsidR="00710993">
            <w:rPr>
              <w:noProof/>
            </w:rPr>
            <w:t xml:space="preserve"> (38)</w:t>
          </w:r>
          <w:r>
            <w:fldChar w:fldCharType="end"/>
          </w:r>
        </w:sdtContent>
      </w:sdt>
      <w:r>
        <w:t xml:space="preserve">. This information was reinforced by the NT Department of Treasury and </w:t>
      </w:r>
      <w:r w:rsidR="00504EDE">
        <w:t>Finance confirming</w:t>
      </w:r>
      <w:r>
        <w:t xml:space="preserve"> that most of their program evaluations have been commissioned (Appendix C, </w:t>
      </w:r>
      <w:r>
        <w:fldChar w:fldCharType="begin"/>
      </w:r>
      <w:r>
        <w:instrText xml:space="preserve"> REF _Ref105509729 \h </w:instrText>
      </w:r>
      <w:r>
        <w:fldChar w:fldCharType="separate"/>
      </w:r>
      <w:r w:rsidR="00812188">
        <w:t xml:space="preserve">Table </w:t>
      </w:r>
      <w:r w:rsidR="00812188">
        <w:rPr>
          <w:noProof/>
        </w:rPr>
        <w:t>21</w:t>
      </w:r>
      <w:r>
        <w:fldChar w:fldCharType="end"/>
      </w:r>
      <w:r>
        <w:t>). The private sector program evaluations from the published literature review had a mix of both commissioned and in-house evaluations. There appeared to be no meaningful differences in evaluation type between government and private sector agencies.</w:t>
      </w:r>
    </w:p>
    <w:p w14:paraId="56BED966" w14:textId="3ADC7C42" w:rsidR="00676ACD" w:rsidRDefault="00676ACD" w:rsidP="00676ACD">
      <w:pPr>
        <w:pStyle w:val="DVABodytextwithparaspace"/>
      </w:pPr>
      <w:r>
        <w:t>Key informant interviewees suggested that clarifying program outcomes was more complicated for government agencies than in the private sector, which may partially be due to a difference in evaluation audience (</w:t>
      </w:r>
      <w:r>
        <w:fldChar w:fldCharType="begin"/>
      </w:r>
      <w:r>
        <w:instrText xml:space="preserve"> REF _Ref104836516 \n \h </w:instrText>
      </w:r>
      <w:r>
        <w:fldChar w:fldCharType="separate"/>
      </w:r>
      <w:r w:rsidR="00812188">
        <w:t>Appendix B</w:t>
      </w:r>
      <w:r>
        <w:fldChar w:fldCharType="end"/>
      </w:r>
      <w:r>
        <w:t xml:space="preserve">).  </w:t>
      </w:r>
    </w:p>
    <w:p w14:paraId="72A7083A" w14:textId="0AD8F65E" w:rsidR="00676ACD" w:rsidRDefault="00676ACD" w:rsidP="00676ACD">
      <w:pPr>
        <w:pStyle w:val="Caption"/>
      </w:pPr>
      <w:r>
        <w:lastRenderedPageBreak/>
        <w:t xml:space="preserve">Figure </w:t>
      </w:r>
      <w:r>
        <w:fldChar w:fldCharType="begin"/>
      </w:r>
      <w:r>
        <w:instrText xml:space="preserve"> SEQ Figure \* ARABIC </w:instrText>
      </w:r>
      <w:r>
        <w:fldChar w:fldCharType="separate"/>
      </w:r>
      <w:r w:rsidR="00812188">
        <w:rPr>
          <w:noProof/>
        </w:rPr>
        <w:t>11</w:t>
      </w:r>
      <w:r>
        <w:fldChar w:fldCharType="end"/>
      </w:r>
      <w:r>
        <w:t>. Learnings from the US - private sector evaluations</w:t>
      </w:r>
    </w:p>
    <w:p w14:paraId="0CF381AC" w14:textId="77777777" w:rsidR="00676ACD" w:rsidRPr="00E21A7D" w:rsidRDefault="00676ACD" w:rsidP="00676ACD">
      <w:r w:rsidRPr="000E5A01">
        <w:rPr>
          <w:noProof/>
          <w:lang w:val="en-AU" w:eastAsia="en-AU"/>
        </w:rPr>
        <w:drawing>
          <wp:inline distT="0" distB="0" distL="0" distR="0" wp14:anchorId="6C09E333" wp14:editId="525E0F37">
            <wp:extent cx="5761355" cy="2308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2308225"/>
                    </a:xfrm>
                    <a:prstGeom prst="rect">
                      <a:avLst/>
                    </a:prstGeom>
                  </pic:spPr>
                </pic:pic>
              </a:graphicData>
            </a:graphic>
          </wp:inline>
        </w:drawing>
      </w:r>
    </w:p>
    <w:p w14:paraId="74C26CD6" w14:textId="77777777" w:rsidR="00676ACD" w:rsidRPr="004370F9" w:rsidRDefault="00676ACD" w:rsidP="00676ACD">
      <w:pPr>
        <w:rPr>
          <w:sz w:val="16"/>
          <w:szCs w:val="16"/>
        </w:rPr>
      </w:pPr>
      <w:r w:rsidRPr="004370F9">
        <w:rPr>
          <w:noProof/>
          <w:sz w:val="16"/>
          <w:szCs w:val="16"/>
        </w:rPr>
        <w:t xml:space="preserve">Data source: Key Informant Interviews </w:t>
      </w:r>
    </w:p>
    <w:p w14:paraId="61D64746" w14:textId="77777777" w:rsidR="00676ACD" w:rsidRPr="00E72B1E" w:rsidRDefault="00676ACD" w:rsidP="00676ACD">
      <w:pPr>
        <w:pStyle w:val="Heading2numbered"/>
      </w:pPr>
      <w:bookmarkStart w:id="138" w:name="_Ref105699145"/>
      <w:bookmarkStart w:id="139" w:name="_Toc105749447"/>
      <w:bookmarkStart w:id="140" w:name="_Toc107225300"/>
      <w:bookmarkStart w:id="141" w:name="_Toc105758422"/>
      <w:bookmarkStart w:id="142" w:name="_Toc110956297"/>
      <w:r w:rsidRPr="00E72B1E">
        <w:t>What is the cost in conducting these health program evaluations?</w:t>
      </w:r>
      <w:bookmarkEnd w:id="138"/>
      <w:bookmarkEnd w:id="139"/>
      <w:bookmarkEnd w:id="140"/>
      <w:bookmarkEnd w:id="141"/>
      <w:bookmarkEnd w:id="142"/>
    </w:p>
    <w:p w14:paraId="74793A3E" w14:textId="18FB8240" w:rsidR="00676ACD" w:rsidRPr="00DD06D7" w:rsidRDefault="00676ACD" w:rsidP="00676ACD">
      <w:pPr>
        <w:pStyle w:val="DVABodytextwithparaspace"/>
      </w:pPr>
      <w:r>
        <w:t>There was very little information on the absolute cost of conducting health program evaluations in the literature – and none of the 16 program evaluation articles provided the evaluation budget relative to program costs. The review did not identify any definitive rules on how much an evaluation should cost; rather that cost should be informed by program and evaluation characteristics. This was supported through consultations with the NSW Ministry of Health and the Department of Finance</w:t>
      </w:r>
      <w:r w:rsidR="00952AA2">
        <w:t xml:space="preserve"> (now Australian Centre for Evaluation)</w:t>
      </w:r>
      <w:r>
        <w:t>, who acknowledged that a range of factors influence evaluations and as such, a single ‘rule of thumb’ approach may not be appropriate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xml:space="preserve">, </w:t>
      </w:r>
      <w:r>
        <w:fldChar w:fldCharType="begin"/>
      </w:r>
      <w:r>
        <w:instrText xml:space="preserve"> REF _Ref105596795 \h </w:instrText>
      </w:r>
      <w:r>
        <w:fldChar w:fldCharType="separate"/>
      </w:r>
      <w:r w:rsidR="00812188">
        <w:t xml:space="preserve">Table </w:t>
      </w:r>
      <w:r w:rsidR="00812188">
        <w:rPr>
          <w:noProof/>
        </w:rPr>
        <w:t>23</w:t>
      </w:r>
      <w:r w:rsidR="00812188">
        <w:t>: Case Study III</w:t>
      </w:r>
      <w:r>
        <w:fldChar w:fldCharType="end"/>
      </w:r>
      <w:r>
        <w:t xml:space="preserve">). The only resource that gave a definitive suggestion of relative evaluation costs was the NSW Government Evidence and Evaluation Guidance series, which suggested that a commissioned evaluation should cost approximately 10% of program costs </w:t>
      </w:r>
      <w:sdt>
        <w:sdtPr>
          <w:id w:val="2115017501"/>
          <w:citation/>
        </w:sdtPr>
        <w:sdtEndPr/>
        <w:sdtContent>
          <w:r>
            <w:fldChar w:fldCharType="begin"/>
          </w:r>
          <w:r>
            <w:instrText xml:space="preserve"> CITATION NSW19 \l 3081 </w:instrText>
          </w:r>
          <w:r>
            <w:fldChar w:fldCharType="separate"/>
          </w:r>
          <w:r w:rsidR="00710993">
            <w:rPr>
              <w:noProof/>
            </w:rPr>
            <w:t>(31)</w:t>
          </w:r>
          <w:r>
            <w:fldChar w:fldCharType="end"/>
          </w:r>
        </w:sdtContent>
      </w:sdt>
      <w:r>
        <w:t xml:space="preserve">, however this is subject to many program and evaluation factors. </w:t>
      </w:r>
    </w:p>
    <w:p w14:paraId="07F18855" w14:textId="2EB47BAB" w:rsidR="00F1313B" w:rsidRDefault="00F1313B" w:rsidP="00F1313B">
      <w:pPr>
        <w:pStyle w:val="Default"/>
        <w:rPr>
          <w:rFonts w:ascii="Calibri" w:hAnsi="Calibri" w:cs="Calibri"/>
          <w:sz w:val="20"/>
          <w:szCs w:val="20"/>
        </w:rPr>
      </w:pPr>
      <w:r>
        <w:rPr>
          <w:rFonts w:ascii="Calibri" w:hAnsi="Calibri" w:cs="Calibri"/>
          <w:sz w:val="20"/>
          <w:szCs w:val="20"/>
        </w:rPr>
        <w:t>Factors influencing whether an evaluation is needed, and the likely associated costs and resourcing requirements, mentioned by the Department of Finance</w:t>
      </w:r>
      <w:r w:rsidR="00952AA2">
        <w:rPr>
          <w:rFonts w:ascii="Calibri" w:hAnsi="Calibri" w:cs="Calibri"/>
          <w:sz w:val="20"/>
          <w:szCs w:val="20"/>
        </w:rPr>
        <w:t xml:space="preserve"> </w:t>
      </w:r>
      <w:r w:rsidR="00952AA2" w:rsidRPr="00952AA2">
        <w:rPr>
          <w:rFonts w:ascii="Calibri" w:hAnsi="Calibri" w:cs="Calibri"/>
          <w:sz w:val="20"/>
          <w:szCs w:val="20"/>
        </w:rPr>
        <w:t>(now Australian Centre for Evaluation)</w:t>
      </w:r>
      <w:r>
        <w:rPr>
          <w:rFonts w:ascii="Calibri" w:hAnsi="Calibri" w:cs="Calibri"/>
          <w:sz w:val="20"/>
          <w:szCs w:val="20"/>
        </w:rPr>
        <w:t xml:space="preserve"> included: </w:t>
      </w:r>
    </w:p>
    <w:p w14:paraId="5807CE77" w14:textId="441E2AB6" w:rsidR="00F1313B" w:rsidRPr="00F1313B" w:rsidRDefault="00F1313B" w:rsidP="00F1313B">
      <w:pPr>
        <w:pStyle w:val="DVABulletnoparaspace"/>
      </w:pPr>
      <w:r w:rsidRPr="00F1313B">
        <w:t>The level of risk associated with implementing and evaluating a specific program – the cost of evaluation must be weighed against the risk of not evaluating, noting in some cases robust performance monitoring by itself may be sufficient to meet the performance reporting requirements under the </w:t>
      </w:r>
      <w:hyperlink r:id="rId28" w:tgtFrame="_blank" w:history="1">
        <w:r w:rsidRPr="00F1313B">
          <w:rPr>
            <w:i/>
          </w:rPr>
          <w:t xml:space="preserve">Public Governance, Performance and Accountability Act </w:t>
        </w:r>
        <w:r>
          <w:rPr>
            <w:i/>
          </w:rPr>
          <w:t>(</w:t>
        </w:r>
        <w:r w:rsidRPr="00F1313B">
          <w:rPr>
            <w:i/>
          </w:rPr>
          <w:t>2013</w:t>
        </w:r>
      </w:hyperlink>
      <w:r>
        <w:t>)</w:t>
      </w:r>
      <w:r w:rsidRPr="00F1313B">
        <w:t xml:space="preserve">. </w:t>
      </w:r>
    </w:p>
    <w:p w14:paraId="3E887DCD" w14:textId="2722EB65" w:rsidR="00F1313B" w:rsidRPr="00F1313B" w:rsidRDefault="00F1313B" w:rsidP="00F1313B">
      <w:pPr>
        <w:pStyle w:val="DVABulletnoparaspace"/>
      </w:pPr>
      <w:r w:rsidRPr="00F1313B">
        <w:t xml:space="preserve">A ‘rule of thumb’ approach may not be sufficient, as it fails to take account of the characteristics and risk profile of a specific program delivered in a specific context, including relevant ethical, cultural and privacy factors (e.g. where a health program delivers services to a vulnerable cohort, this would need to be factored in to the overall evaluation design). </w:t>
      </w:r>
    </w:p>
    <w:p w14:paraId="154F01C2" w14:textId="715590D2" w:rsidR="00F1313B" w:rsidRPr="00F1313B" w:rsidRDefault="00F1313B" w:rsidP="00F1313B">
      <w:pPr>
        <w:pStyle w:val="DVABulletnoparaspace"/>
      </w:pPr>
      <w:r w:rsidRPr="00F1313B">
        <w:t xml:space="preserve">The timing and type of evaluation needed to support continuous improvement, accountability and decision-making needs to be determined on a case-by-case basis to ensure the overall approach is fit for purpose, having regard to relevant ethical, cultural and privacy considerations. </w:t>
      </w:r>
    </w:p>
    <w:p w14:paraId="7CB98148" w14:textId="1C7BFA9B" w:rsidR="00F1313B" w:rsidRDefault="00F1313B" w:rsidP="006E28E4">
      <w:pPr>
        <w:pStyle w:val="DVABulletnoparaspace"/>
        <w:rPr>
          <w:szCs w:val="20"/>
        </w:rPr>
      </w:pPr>
      <w:r w:rsidRPr="00F1313B">
        <w:t xml:space="preserve">Consideration of where the program is in the policy lifecycle (i.e. whether it is a new program or one that has been in operation for some time) and the extent to which new or amended </w:t>
      </w:r>
      <w:r w:rsidRPr="006E28E4">
        <w:t xml:space="preserve">monitoring and evaluation </w:t>
      </w:r>
      <w:r w:rsidRPr="00F1313B">
        <w:t xml:space="preserve">arrangements are required to generate </w:t>
      </w:r>
      <w:r w:rsidRPr="006E28E4">
        <w:t>data and robust evidence to drive continuous improvement</w:t>
      </w:r>
      <w:r w:rsidRPr="00F1313B">
        <w:t xml:space="preserve">. </w:t>
      </w:r>
      <w:r w:rsidR="00BF5D6D">
        <w:br/>
      </w:r>
      <w:r w:rsidRPr="00F1313B">
        <w:lastRenderedPageBreak/>
        <w:t xml:space="preserve">The costs associated with conducting a specific evaluation will be influenced by the extent to which existing data and administrative systems are generating robust evidence that can be leveraged to support an evaluation. </w:t>
      </w:r>
      <w:r>
        <w:rPr>
          <w:rFonts w:cs="Calibri"/>
          <w:color w:val="000000"/>
          <w:szCs w:val="20"/>
        </w:rPr>
        <w:t xml:space="preserve"> </w:t>
      </w:r>
    </w:p>
    <w:p w14:paraId="7AEB0DFE" w14:textId="77777777" w:rsidR="00F1313B" w:rsidRDefault="00F1313B" w:rsidP="00676ACD">
      <w:pPr>
        <w:pStyle w:val="DVABodytextwithparaspace"/>
        <w:spacing w:after="120"/>
      </w:pPr>
    </w:p>
    <w:p w14:paraId="7D035D17" w14:textId="2A899088" w:rsidR="00676ACD" w:rsidRDefault="00676ACD" w:rsidP="00676ACD">
      <w:pPr>
        <w:pStyle w:val="DVABodytextwithparaspace"/>
        <w:spacing w:before="120"/>
      </w:pPr>
      <w:r>
        <w:t>The Department of Finance</w:t>
      </w:r>
      <w:r w:rsidR="00952AA2">
        <w:t xml:space="preserve"> (now Australian Centre for Evaluation)</w:t>
      </w:r>
      <w:r>
        <w:t xml:space="preserve"> highlighted that evaluations are </w:t>
      </w:r>
      <w:r w:rsidR="00F1313B">
        <w:rPr>
          <w:rFonts w:ascii="Calibri" w:hAnsi="Calibri" w:cs="Calibri"/>
        </w:rPr>
        <w:t xml:space="preserve">one aspect of a broader set of assurance mechanisms used to generate robust evidence and performance insights to support continuous improvement </w:t>
      </w:r>
      <w:r>
        <w:t>(</w:t>
      </w:r>
      <w:r>
        <w:fldChar w:fldCharType="begin"/>
      </w:r>
      <w:r>
        <w:instrText xml:space="preserve"> REF _Ref105596795 \h </w:instrText>
      </w:r>
      <w:r>
        <w:fldChar w:fldCharType="separate"/>
      </w:r>
      <w:r w:rsidR="00812188">
        <w:t xml:space="preserve">Table </w:t>
      </w:r>
      <w:r w:rsidR="00812188">
        <w:rPr>
          <w:noProof/>
        </w:rPr>
        <w:t>23</w:t>
      </w:r>
      <w:r w:rsidR="00812188">
        <w:t>: Case Study III</w:t>
      </w:r>
      <w:r>
        <w:fldChar w:fldCharType="end"/>
      </w:r>
      <w:r>
        <w:t>).</w:t>
      </w:r>
    </w:p>
    <w:p w14:paraId="05172515" w14:textId="708250DC" w:rsidR="00676ACD" w:rsidRDefault="00676ACD" w:rsidP="00676ACD">
      <w:pPr>
        <w:pStyle w:val="DVABodytextwithparaspace"/>
      </w:pPr>
      <w:r>
        <w:fldChar w:fldCharType="begin"/>
      </w:r>
      <w:r>
        <w:instrText xml:space="preserve"> REF _Ref104813969 \h </w:instrText>
      </w:r>
      <w:r>
        <w:fldChar w:fldCharType="separate"/>
      </w:r>
      <w:r w:rsidR="00812188">
        <w:t xml:space="preserve">Table </w:t>
      </w:r>
      <w:r w:rsidR="00812188">
        <w:rPr>
          <w:noProof/>
        </w:rPr>
        <w:t>15</w:t>
      </w:r>
      <w:r>
        <w:fldChar w:fldCharType="end"/>
      </w:r>
      <w:r>
        <w:t xml:space="preserve"> provides some concrete guidance for setting evaluation budgets. It is important to recognise that the scope and level of resourcing will ultimately influence evaluation quality and usefulness </w:t>
      </w:r>
      <w:bookmarkStart w:id="143" w:name="_Hlk105082385"/>
      <w:sdt>
        <w:sdtPr>
          <w:id w:val="340901744"/>
          <w:citation/>
        </w:sdtPr>
        <w:sdtEndPr/>
        <w:sdtContent>
          <w:r>
            <w:fldChar w:fldCharType="begin"/>
          </w:r>
          <w:r>
            <w:instrText xml:space="preserve"> CITATION Que20 \l 3081 </w:instrText>
          </w:r>
          <w:r>
            <w:fldChar w:fldCharType="separate"/>
          </w:r>
          <w:r w:rsidR="00710993">
            <w:rPr>
              <w:noProof/>
            </w:rPr>
            <w:t>(37)</w:t>
          </w:r>
          <w:r>
            <w:fldChar w:fldCharType="end"/>
          </w:r>
        </w:sdtContent>
      </w:sdt>
      <w:bookmarkEnd w:id="143"/>
      <w:r>
        <w:t xml:space="preserve">, and decision makers must aim to balance the need to evaluate against diverting resources from the program and its clients </w:t>
      </w:r>
      <w:bookmarkStart w:id="144" w:name="_Hlk105082356"/>
      <w:sdt>
        <w:sdtPr>
          <w:id w:val="533003632"/>
          <w:citation/>
        </w:sdtPr>
        <w:sdtEndPr/>
        <w:sdtContent>
          <w:r>
            <w:fldChar w:fldCharType="begin"/>
          </w:r>
          <w:r>
            <w:instrText xml:space="preserve"> CITATION Soc17 \l 3081 </w:instrText>
          </w:r>
          <w:r>
            <w:fldChar w:fldCharType="separate"/>
          </w:r>
          <w:r w:rsidR="00710993">
            <w:rPr>
              <w:noProof/>
            </w:rPr>
            <w:t>(39)</w:t>
          </w:r>
          <w:r>
            <w:fldChar w:fldCharType="end"/>
          </w:r>
        </w:sdtContent>
      </w:sdt>
      <w:bookmarkEnd w:id="144"/>
      <w:r>
        <w:t xml:space="preserve">.  </w:t>
      </w:r>
    </w:p>
    <w:p w14:paraId="63F6557E" w14:textId="7DBECA79" w:rsidR="00676ACD" w:rsidRDefault="00676ACD" w:rsidP="009014F6">
      <w:pPr>
        <w:pStyle w:val="Caption"/>
        <w:tabs>
          <w:tab w:val="clear" w:pos="1134"/>
        </w:tabs>
        <w:ind w:left="0" w:firstLine="0"/>
      </w:pPr>
      <w:bookmarkStart w:id="145" w:name="_Ref104813969"/>
      <w:r>
        <w:t xml:space="preserve">Table </w:t>
      </w:r>
      <w:r>
        <w:fldChar w:fldCharType="begin"/>
      </w:r>
      <w:r>
        <w:instrText xml:space="preserve"> SEQ Table \* ARABIC </w:instrText>
      </w:r>
      <w:r>
        <w:fldChar w:fldCharType="separate"/>
      </w:r>
      <w:r w:rsidR="00812188">
        <w:rPr>
          <w:noProof/>
        </w:rPr>
        <w:t>15</w:t>
      </w:r>
      <w:r>
        <w:fldChar w:fldCharType="end"/>
      </w:r>
      <w:bookmarkEnd w:id="145"/>
      <w:r>
        <w:t>. Program and evaluation characteristics and their impact on evaluation cost according to Queensland Treasury</w:t>
      </w:r>
      <w:r w:rsidRPr="00E83B13">
        <w:rPr>
          <w:rFonts w:ascii="EYInterstate Light" w:hAnsi="EYInterstate Light"/>
          <w:b w:val="0"/>
          <w:sz w:val="20"/>
          <w:szCs w:val="20"/>
        </w:rPr>
        <w:t xml:space="preserve"> </w:t>
      </w:r>
      <w:sdt>
        <w:sdtPr>
          <w:id w:val="-1013454561"/>
          <w:citation/>
        </w:sdtPr>
        <w:sdtEndPr/>
        <w:sdtContent>
          <w:r w:rsidRPr="00E83B13">
            <w:fldChar w:fldCharType="begin"/>
          </w:r>
          <w:r w:rsidRPr="00E83B13">
            <w:instrText xml:space="preserve"> CITATION Que20 \l 3081 </w:instrText>
          </w:r>
          <w:r w:rsidRPr="00E83B13">
            <w:fldChar w:fldCharType="separate"/>
          </w:r>
          <w:r w:rsidR="00710993">
            <w:rPr>
              <w:noProof/>
            </w:rPr>
            <w:t>(37)</w:t>
          </w:r>
          <w:r w:rsidRPr="00E83B13">
            <w:fldChar w:fldCharType="end"/>
          </w:r>
        </w:sdtContent>
      </w:sdt>
      <w:r>
        <w:t xml:space="preserve">, the New Zealand Government </w:t>
      </w:r>
      <w:sdt>
        <w:sdtPr>
          <w:id w:val="-1028253614"/>
          <w:citation/>
        </w:sdtPr>
        <w:sdtEndPr/>
        <w:sdtContent>
          <w:r>
            <w:fldChar w:fldCharType="begin"/>
          </w:r>
          <w:r>
            <w:instrText xml:space="preserve"> CITATION Soc17 \l 3081 </w:instrText>
          </w:r>
          <w:r>
            <w:fldChar w:fldCharType="separate"/>
          </w:r>
          <w:r w:rsidR="00710993">
            <w:rPr>
              <w:noProof/>
            </w:rPr>
            <w:t>(39)</w:t>
          </w:r>
          <w:r>
            <w:fldChar w:fldCharType="end"/>
          </w:r>
        </w:sdtContent>
      </w:sdt>
      <w:r>
        <w:t xml:space="preserve"> and </w:t>
      </w:r>
      <w:r w:rsidRPr="00BC4305">
        <w:rPr>
          <w:noProof/>
        </w:rPr>
        <w:t>NSW Ministry of Health</w:t>
      </w:r>
      <w:r>
        <w:rPr>
          <w:b w:val="0"/>
          <w:noProof/>
        </w:rPr>
        <w:t xml:space="preserve"> </w:t>
      </w:r>
      <w:sdt>
        <w:sdtPr>
          <w:rPr>
            <w:b w:val="0"/>
            <w:bCs/>
            <w:noProof/>
          </w:rPr>
          <w:id w:val="502941955"/>
          <w:citation/>
        </w:sdtPr>
        <w:sdtEndPr/>
        <w:sdtContent>
          <w:r>
            <w:rPr>
              <w:b w:val="0"/>
              <w:bCs/>
              <w:noProof/>
            </w:rPr>
            <w:fldChar w:fldCharType="begin"/>
          </w:r>
          <w:r>
            <w:rPr>
              <w:b w:val="0"/>
              <w:noProof/>
            </w:rPr>
            <w:instrText xml:space="preserve"> CITATION NSW19 \l 3081 </w:instrText>
          </w:r>
          <w:r>
            <w:rPr>
              <w:b w:val="0"/>
              <w:bCs/>
              <w:noProof/>
            </w:rPr>
            <w:fldChar w:fldCharType="separate"/>
          </w:r>
          <w:r w:rsidR="00710993">
            <w:rPr>
              <w:noProof/>
            </w:rPr>
            <w:t>(31)</w:t>
          </w:r>
          <w:r>
            <w:rPr>
              <w:b w:val="0"/>
              <w:bCs/>
              <w:noProof/>
            </w:rPr>
            <w:fldChar w:fldCharType="end"/>
          </w:r>
        </w:sdtContent>
      </w:sdt>
    </w:p>
    <w:tbl>
      <w:tblPr>
        <w:tblStyle w:val="TableGrid"/>
        <w:tblW w:w="9207" w:type="dxa"/>
        <w:tblLook w:val="04A0" w:firstRow="1" w:lastRow="0" w:firstColumn="1" w:lastColumn="0" w:noHBand="0" w:noVBand="1"/>
      </w:tblPr>
      <w:tblGrid>
        <w:gridCol w:w="1129"/>
        <w:gridCol w:w="1560"/>
        <w:gridCol w:w="6518"/>
      </w:tblGrid>
      <w:tr w:rsidR="00676ACD" w:rsidRPr="007B243F" w14:paraId="1C9A6BC7" w14:textId="77777777" w:rsidTr="007B5579">
        <w:trPr>
          <w:trHeight w:val="502"/>
          <w:tblHeader/>
        </w:trPr>
        <w:tc>
          <w:tcPr>
            <w:tcW w:w="1129" w:type="dxa"/>
            <w:shd w:val="clear" w:color="auto" w:fill="1D3567"/>
          </w:tcPr>
          <w:p w14:paraId="7C3AABD2" w14:textId="77777777" w:rsidR="00676ACD" w:rsidRDefault="00676ACD" w:rsidP="007B5579">
            <w:pPr>
              <w:pStyle w:val="DVABodytextwithparaspace"/>
              <w:rPr>
                <w:b/>
                <w:bCs/>
                <w:sz w:val="16"/>
                <w:szCs w:val="16"/>
              </w:rPr>
            </w:pPr>
            <w:r>
              <w:rPr>
                <w:b/>
                <w:bCs/>
                <w:sz w:val="16"/>
                <w:szCs w:val="16"/>
              </w:rPr>
              <w:t>Characteristic type</w:t>
            </w:r>
          </w:p>
        </w:tc>
        <w:tc>
          <w:tcPr>
            <w:tcW w:w="1560" w:type="dxa"/>
            <w:shd w:val="clear" w:color="auto" w:fill="1D3567"/>
          </w:tcPr>
          <w:p w14:paraId="71DE8A73" w14:textId="77777777" w:rsidR="00676ACD" w:rsidRPr="007B243F" w:rsidRDefault="00676ACD" w:rsidP="007B5579">
            <w:pPr>
              <w:pStyle w:val="DVABodytextwithparaspace"/>
              <w:rPr>
                <w:b/>
                <w:bCs/>
                <w:sz w:val="16"/>
                <w:szCs w:val="16"/>
              </w:rPr>
            </w:pPr>
            <w:r>
              <w:rPr>
                <w:b/>
                <w:bCs/>
                <w:sz w:val="16"/>
                <w:szCs w:val="16"/>
              </w:rPr>
              <w:t>Characteristic</w:t>
            </w:r>
          </w:p>
        </w:tc>
        <w:tc>
          <w:tcPr>
            <w:tcW w:w="6518" w:type="dxa"/>
            <w:shd w:val="clear" w:color="auto" w:fill="1D3567"/>
          </w:tcPr>
          <w:p w14:paraId="01726507" w14:textId="77777777" w:rsidR="00676ACD" w:rsidRPr="007B243F" w:rsidRDefault="00676ACD" w:rsidP="007B5579">
            <w:pPr>
              <w:pStyle w:val="DVABodytextwithparaspace"/>
              <w:rPr>
                <w:b/>
                <w:bCs/>
                <w:sz w:val="16"/>
                <w:szCs w:val="16"/>
              </w:rPr>
            </w:pPr>
            <w:r>
              <w:rPr>
                <w:b/>
                <w:bCs/>
                <w:sz w:val="16"/>
                <w:szCs w:val="16"/>
              </w:rPr>
              <w:t xml:space="preserve">Impact on cost to evaluate </w:t>
            </w:r>
          </w:p>
        </w:tc>
      </w:tr>
      <w:tr w:rsidR="00676ACD" w:rsidRPr="007B243F" w14:paraId="6D71AD24" w14:textId="77777777" w:rsidTr="007B5579">
        <w:trPr>
          <w:trHeight w:val="341"/>
        </w:trPr>
        <w:tc>
          <w:tcPr>
            <w:tcW w:w="1129" w:type="dxa"/>
            <w:vMerge w:val="restart"/>
          </w:tcPr>
          <w:p w14:paraId="6B25678A" w14:textId="77777777" w:rsidR="00676ACD" w:rsidRDefault="00676ACD" w:rsidP="007B5579">
            <w:pPr>
              <w:pStyle w:val="DVABodytextwithparaspace"/>
              <w:rPr>
                <w:b/>
                <w:bCs/>
                <w:sz w:val="16"/>
                <w:szCs w:val="16"/>
              </w:rPr>
            </w:pPr>
            <w:r>
              <w:rPr>
                <w:b/>
                <w:bCs/>
                <w:sz w:val="16"/>
                <w:szCs w:val="16"/>
              </w:rPr>
              <w:t>Program</w:t>
            </w:r>
          </w:p>
        </w:tc>
        <w:tc>
          <w:tcPr>
            <w:tcW w:w="1560" w:type="dxa"/>
            <w:shd w:val="clear" w:color="auto" w:fill="auto"/>
          </w:tcPr>
          <w:p w14:paraId="150211F5" w14:textId="77777777" w:rsidR="00676ACD" w:rsidRPr="007B243F" w:rsidRDefault="00676ACD" w:rsidP="007B5579">
            <w:pPr>
              <w:pStyle w:val="DVABodytextwithparaspace"/>
              <w:rPr>
                <w:b/>
                <w:bCs/>
                <w:sz w:val="16"/>
                <w:szCs w:val="16"/>
              </w:rPr>
            </w:pPr>
            <w:r>
              <w:rPr>
                <w:b/>
                <w:bCs/>
                <w:sz w:val="16"/>
                <w:szCs w:val="16"/>
              </w:rPr>
              <w:t>Scale</w:t>
            </w:r>
          </w:p>
        </w:tc>
        <w:tc>
          <w:tcPr>
            <w:tcW w:w="6518" w:type="dxa"/>
          </w:tcPr>
          <w:p w14:paraId="0B77A6C5" w14:textId="77777777" w:rsidR="00676ACD" w:rsidRDefault="00676ACD" w:rsidP="007B5579">
            <w:pPr>
              <w:pStyle w:val="DVABulletnoparaspace"/>
              <w:rPr>
                <w:sz w:val="16"/>
              </w:rPr>
            </w:pPr>
            <w:r>
              <w:rPr>
                <w:sz w:val="16"/>
              </w:rPr>
              <w:t>Large scale programs with significant budgets and higher complexity are generally prioritised by government agencies and will have bigger budgets for evaluation</w:t>
            </w:r>
          </w:p>
          <w:p w14:paraId="084580FA" w14:textId="77777777" w:rsidR="00676ACD" w:rsidRPr="007B243F" w:rsidRDefault="00676ACD" w:rsidP="007B5579">
            <w:pPr>
              <w:pStyle w:val="DVABulletnoparaspace"/>
              <w:rPr>
                <w:sz w:val="16"/>
              </w:rPr>
            </w:pPr>
            <w:r>
              <w:rPr>
                <w:sz w:val="16"/>
              </w:rPr>
              <w:t>Pilot programs may justify more spend, given the purpose is to learn for the first time what works, how, when and why</w:t>
            </w:r>
          </w:p>
        </w:tc>
      </w:tr>
      <w:tr w:rsidR="00676ACD" w:rsidRPr="007B243F" w14:paraId="4104E2C4" w14:textId="77777777" w:rsidTr="00363139">
        <w:trPr>
          <w:trHeight w:val="239"/>
        </w:trPr>
        <w:tc>
          <w:tcPr>
            <w:tcW w:w="1129" w:type="dxa"/>
            <w:vMerge/>
          </w:tcPr>
          <w:p w14:paraId="3D0C325E" w14:textId="77777777" w:rsidR="00676ACD" w:rsidRDefault="00676ACD" w:rsidP="007B5579">
            <w:pPr>
              <w:pStyle w:val="DVABodytextwithparaspace"/>
              <w:rPr>
                <w:b/>
                <w:bCs/>
                <w:sz w:val="16"/>
                <w:szCs w:val="16"/>
              </w:rPr>
            </w:pPr>
          </w:p>
        </w:tc>
        <w:tc>
          <w:tcPr>
            <w:tcW w:w="1560" w:type="dxa"/>
            <w:shd w:val="clear" w:color="auto" w:fill="auto"/>
          </w:tcPr>
          <w:p w14:paraId="17F51665" w14:textId="77777777" w:rsidR="00676ACD" w:rsidRPr="007B243F" w:rsidRDefault="00676ACD" w:rsidP="00363139">
            <w:pPr>
              <w:pStyle w:val="DVABodytextwithparaspace"/>
              <w:spacing w:after="0"/>
              <w:rPr>
                <w:b/>
                <w:bCs/>
                <w:sz w:val="16"/>
                <w:szCs w:val="16"/>
              </w:rPr>
            </w:pPr>
            <w:r>
              <w:rPr>
                <w:b/>
                <w:bCs/>
                <w:sz w:val="16"/>
                <w:szCs w:val="16"/>
              </w:rPr>
              <w:t>Significance</w:t>
            </w:r>
          </w:p>
        </w:tc>
        <w:tc>
          <w:tcPr>
            <w:tcW w:w="6518" w:type="dxa"/>
          </w:tcPr>
          <w:p w14:paraId="3068D6CA" w14:textId="77777777" w:rsidR="00676ACD" w:rsidRPr="007B243F" w:rsidRDefault="00676ACD" w:rsidP="00363139">
            <w:pPr>
              <w:pStyle w:val="DVABulletnoparaspace"/>
              <w:ind w:left="357" w:hanging="357"/>
              <w:rPr>
                <w:sz w:val="16"/>
              </w:rPr>
            </w:pPr>
            <w:r>
              <w:rPr>
                <w:sz w:val="16"/>
              </w:rPr>
              <w:t>Programs with strategic significance tend to have bigger budgets for evaluation</w:t>
            </w:r>
          </w:p>
        </w:tc>
      </w:tr>
      <w:tr w:rsidR="00676ACD" w:rsidRPr="007B243F" w14:paraId="306FFA69" w14:textId="77777777" w:rsidTr="007B5579">
        <w:trPr>
          <w:trHeight w:val="341"/>
        </w:trPr>
        <w:tc>
          <w:tcPr>
            <w:tcW w:w="1129" w:type="dxa"/>
            <w:vMerge/>
          </w:tcPr>
          <w:p w14:paraId="737C5BCE" w14:textId="77777777" w:rsidR="00676ACD" w:rsidRDefault="00676ACD" w:rsidP="007B5579">
            <w:pPr>
              <w:pStyle w:val="DVABodytextwithparaspace"/>
              <w:rPr>
                <w:b/>
                <w:bCs/>
                <w:sz w:val="16"/>
                <w:szCs w:val="16"/>
              </w:rPr>
            </w:pPr>
          </w:p>
        </w:tc>
        <w:tc>
          <w:tcPr>
            <w:tcW w:w="1560" w:type="dxa"/>
            <w:shd w:val="clear" w:color="auto" w:fill="auto"/>
          </w:tcPr>
          <w:p w14:paraId="04DAEF8A" w14:textId="77777777" w:rsidR="00676ACD" w:rsidRDefault="00676ACD" w:rsidP="007B5579">
            <w:pPr>
              <w:pStyle w:val="DVABodytextwithparaspace"/>
              <w:rPr>
                <w:b/>
                <w:bCs/>
                <w:sz w:val="16"/>
                <w:szCs w:val="16"/>
              </w:rPr>
            </w:pPr>
            <w:r>
              <w:rPr>
                <w:b/>
                <w:bCs/>
                <w:sz w:val="16"/>
                <w:szCs w:val="16"/>
              </w:rPr>
              <w:t>Risk</w:t>
            </w:r>
          </w:p>
        </w:tc>
        <w:tc>
          <w:tcPr>
            <w:tcW w:w="6518" w:type="dxa"/>
          </w:tcPr>
          <w:p w14:paraId="5E2444CB" w14:textId="77777777" w:rsidR="00676ACD" w:rsidRPr="00F20456" w:rsidRDefault="00676ACD" w:rsidP="00363139">
            <w:pPr>
              <w:pStyle w:val="DVABulletnoparaspace"/>
              <w:ind w:left="357" w:hanging="357"/>
              <w:rPr>
                <w:sz w:val="16"/>
              </w:rPr>
            </w:pPr>
            <w:r>
              <w:rPr>
                <w:sz w:val="16"/>
              </w:rPr>
              <w:t>Higher levels of risk confer higher levels of scrutiny and therefore can justify more investment to ensure evaluation quality and coverage. Aspects that inform program risk level include p</w:t>
            </w:r>
            <w:r w:rsidRPr="00F20456">
              <w:rPr>
                <w:sz w:val="16"/>
              </w:rPr>
              <w:t>rofile, funding, target audience, level of innovation or random political factors</w:t>
            </w:r>
          </w:p>
        </w:tc>
      </w:tr>
      <w:tr w:rsidR="00676ACD" w:rsidRPr="007B243F" w14:paraId="0FD3AD4C" w14:textId="77777777" w:rsidTr="007B5579">
        <w:trPr>
          <w:trHeight w:val="341"/>
        </w:trPr>
        <w:tc>
          <w:tcPr>
            <w:tcW w:w="1129" w:type="dxa"/>
            <w:vMerge/>
          </w:tcPr>
          <w:p w14:paraId="52E65FBE" w14:textId="77777777" w:rsidR="00676ACD" w:rsidRDefault="00676ACD" w:rsidP="007B5579">
            <w:pPr>
              <w:pStyle w:val="DVABodytextwithparaspace"/>
              <w:rPr>
                <w:b/>
                <w:bCs/>
                <w:sz w:val="16"/>
                <w:szCs w:val="16"/>
              </w:rPr>
            </w:pPr>
          </w:p>
        </w:tc>
        <w:tc>
          <w:tcPr>
            <w:tcW w:w="1560" w:type="dxa"/>
            <w:shd w:val="clear" w:color="auto" w:fill="auto"/>
          </w:tcPr>
          <w:p w14:paraId="6AF3CE71" w14:textId="77777777" w:rsidR="00676ACD" w:rsidRDefault="00676ACD" w:rsidP="007B5579">
            <w:pPr>
              <w:pStyle w:val="DVABodytextwithparaspace"/>
              <w:rPr>
                <w:b/>
                <w:bCs/>
                <w:sz w:val="16"/>
                <w:szCs w:val="16"/>
              </w:rPr>
            </w:pPr>
            <w:r>
              <w:rPr>
                <w:b/>
                <w:bCs/>
                <w:sz w:val="16"/>
                <w:szCs w:val="16"/>
              </w:rPr>
              <w:t>Time in field</w:t>
            </w:r>
          </w:p>
        </w:tc>
        <w:tc>
          <w:tcPr>
            <w:tcW w:w="6518" w:type="dxa"/>
          </w:tcPr>
          <w:p w14:paraId="2643BDC3" w14:textId="77777777" w:rsidR="00676ACD" w:rsidRPr="007B243F" w:rsidRDefault="00676ACD" w:rsidP="00363139">
            <w:pPr>
              <w:pStyle w:val="DVABulletnoparaspace"/>
              <w:ind w:left="357" w:hanging="357"/>
              <w:rPr>
                <w:sz w:val="16"/>
              </w:rPr>
            </w:pPr>
            <w:r>
              <w:rPr>
                <w:sz w:val="16"/>
              </w:rPr>
              <w:t>Long running, established programs which have been previously evaluated may not need significant evaluation investment given the existing body of knowledge</w:t>
            </w:r>
          </w:p>
        </w:tc>
      </w:tr>
      <w:tr w:rsidR="00676ACD" w:rsidRPr="007B243F" w14:paraId="19D67E75" w14:textId="77777777" w:rsidTr="007B5579">
        <w:trPr>
          <w:trHeight w:val="502"/>
        </w:trPr>
        <w:tc>
          <w:tcPr>
            <w:tcW w:w="1129" w:type="dxa"/>
            <w:vMerge/>
          </w:tcPr>
          <w:p w14:paraId="46ABECB7" w14:textId="77777777" w:rsidR="00676ACD" w:rsidRDefault="00676ACD" w:rsidP="007B5579">
            <w:pPr>
              <w:pStyle w:val="DVABodytextwithparaspace"/>
              <w:rPr>
                <w:b/>
                <w:bCs/>
                <w:sz w:val="16"/>
                <w:szCs w:val="16"/>
              </w:rPr>
            </w:pPr>
          </w:p>
        </w:tc>
        <w:tc>
          <w:tcPr>
            <w:tcW w:w="1560" w:type="dxa"/>
            <w:shd w:val="clear" w:color="auto" w:fill="auto"/>
          </w:tcPr>
          <w:p w14:paraId="4CA4F37C" w14:textId="77777777" w:rsidR="00676ACD" w:rsidRDefault="00676ACD" w:rsidP="007B5579">
            <w:pPr>
              <w:pStyle w:val="DVABodytextwithparaspace"/>
              <w:rPr>
                <w:b/>
                <w:bCs/>
                <w:sz w:val="16"/>
                <w:szCs w:val="16"/>
              </w:rPr>
            </w:pPr>
            <w:r>
              <w:rPr>
                <w:b/>
                <w:bCs/>
                <w:sz w:val="16"/>
                <w:szCs w:val="16"/>
              </w:rPr>
              <w:t>Intended use of evaluation findings</w:t>
            </w:r>
          </w:p>
        </w:tc>
        <w:tc>
          <w:tcPr>
            <w:tcW w:w="6518" w:type="dxa"/>
          </w:tcPr>
          <w:p w14:paraId="6F1DAF11" w14:textId="77777777" w:rsidR="00676ACD" w:rsidRDefault="00676ACD" w:rsidP="007B5579">
            <w:pPr>
              <w:pStyle w:val="DVABulletnoparaspace"/>
              <w:rPr>
                <w:sz w:val="16"/>
              </w:rPr>
            </w:pPr>
            <w:r>
              <w:rPr>
                <w:sz w:val="16"/>
              </w:rPr>
              <w:t>Where findings will be used for the following, a high level of resources may be allocated for evaluation, even for small programs:</w:t>
            </w:r>
          </w:p>
          <w:p w14:paraId="60D202E7" w14:textId="77777777" w:rsidR="00676ACD" w:rsidRDefault="00676ACD" w:rsidP="007B5579">
            <w:pPr>
              <w:pStyle w:val="DVABulletnoparaspace"/>
              <w:ind w:left="598" w:hanging="215"/>
              <w:rPr>
                <w:sz w:val="16"/>
              </w:rPr>
            </w:pPr>
            <w:r>
              <w:rPr>
                <w:sz w:val="16"/>
              </w:rPr>
              <w:t>Used to inform the decision to scale e.g. to a wider area/different client group</w:t>
            </w:r>
          </w:p>
          <w:p w14:paraId="73C64F20" w14:textId="77777777" w:rsidR="00676ACD" w:rsidRPr="007B243F" w:rsidRDefault="00676ACD" w:rsidP="007B5579">
            <w:pPr>
              <w:pStyle w:val="DVABulletnoparaspace"/>
              <w:ind w:left="598" w:hanging="215"/>
              <w:rPr>
                <w:sz w:val="16"/>
              </w:rPr>
            </w:pPr>
            <w:r>
              <w:rPr>
                <w:sz w:val="16"/>
              </w:rPr>
              <w:t>Generalised or used as evidence of another program’s effectiveness</w:t>
            </w:r>
          </w:p>
        </w:tc>
      </w:tr>
      <w:tr w:rsidR="00676ACD" w:rsidRPr="007B243F" w14:paraId="796D6F79" w14:textId="77777777" w:rsidTr="007B5579">
        <w:trPr>
          <w:trHeight w:val="502"/>
        </w:trPr>
        <w:tc>
          <w:tcPr>
            <w:tcW w:w="1129" w:type="dxa"/>
            <w:shd w:val="clear" w:color="auto" w:fill="CDCDCD"/>
          </w:tcPr>
          <w:p w14:paraId="54BDFD7C" w14:textId="77777777" w:rsidR="00676ACD" w:rsidRDefault="00676ACD" w:rsidP="007B5579">
            <w:pPr>
              <w:pStyle w:val="DVABodytextwithparaspace"/>
              <w:rPr>
                <w:b/>
                <w:bCs/>
                <w:sz w:val="16"/>
                <w:szCs w:val="16"/>
              </w:rPr>
            </w:pPr>
            <w:r>
              <w:rPr>
                <w:b/>
                <w:bCs/>
                <w:sz w:val="16"/>
                <w:szCs w:val="16"/>
              </w:rPr>
              <w:t xml:space="preserve">Evaluation </w:t>
            </w:r>
          </w:p>
        </w:tc>
        <w:tc>
          <w:tcPr>
            <w:tcW w:w="1560" w:type="dxa"/>
            <w:shd w:val="clear" w:color="auto" w:fill="CDCDCD"/>
          </w:tcPr>
          <w:p w14:paraId="17B2539E" w14:textId="77777777" w:rsidR="00676ACD" w:rsidRDefault="00676ACD" w:rsidP="007B5579">
            <w:pPr>
              <w:pStyle w:val="DVABodytextwithparaspace"/>
              <w:rPr>
                <w:b/>
                <w:bCs/>
                <w:sz w:val="16"/>
                <w:szCs w:val="16"/>
              </w:rPr>
            </w:pPr>
            <w:r>
              <w:rPr>
                <w:b/>
                <w:bCs/>
                <w:sz w:val="16"/>
                <w:szCs w:val="16"/>
              </w:rPr>
              <w:t>Internal vs External evaluators</w:t>
            </w:r>
          </w:p>
        </w:tc>
        <w:tc>
          <w:tcPr>
            <w:tcW w:w="6518" w:type="dxa"/>
            <w:shd w:val="clear" w:color="auto" w:fill="CDCDCD"/>
          </w:tcPr>
          <w:p w14:paraId="2F3E9882" w14:textId="77777777" w:rsidR="00676ACD" w:rsidRDefault="00676ACD" w:rsidP="007B5579">
            <w:pPr>
              <w:pStyle w:val="DVABulletnoparaspace"/>
              <w:rPr>
                <w:sz w:val="16"/>
              </w:rPr>
            </w:pPr>
            <w:r>
              <w:rPr>
                <w:sz w:val="16"/>
              </w:rPr>
              <w:t>Internal evaluators may appear to be more cost efficient due to the staffing budget, however this may not always be the case</w:t>
            </w:r>
          </w:p>
          <w:p w14:paraId="0F6D9157" w14:textId="77777777" w:rsidR="00676ACD" w:rsidRDefault="00676ACD" w:rsidP="007B5579">
            <w:pPr>
              <w:pStyle w:val="DVABulletnoparaspace"/>
              <w:rPr>
                <w:sz w:val="16"/>
              </w:rPr>
            </w:pPr>
            <w:r>
              <w:rPr>
                <w:sz w:val="16"/>
              </w:rPr>
              <w:t>External evaluators attract additional fees and time to manage to overarching process</w:t>
            </w:r>
            <w:r w:rsidRPr="002858D8">
              <w:rPr>
                <w:sz w:val="18"/>
                <w:szCs w:val="18"/>
                <w:vertAlign w:val="superscript"/>
              </w:rPr>
              <w:t>*</w:t>
            </w:r>
          </w:p>
        </w:tc>
      </w:tr>
    </w:tbl>
    <w:p w14:paraId="765A6FFC" w14:textId="77777777" w:rsidR="00676ACD" w:rsidRPr="00E72B1E" w:rsidRDefault="00676ACD" w:rsidP="00676ACD">
      <w:pPr>
        <w:pStyle w:val="Heading2numbered"/>
      </w:pPr>
      <w:bookmarkStart w:id="146" w:name="_Ref105699159"/>
      <w:bookmarkStart w:id="147" w:name="_Toc105749448"/>
      <w:bookmarkStart w:id="148" w:name="_Toc107225301"/>
      <w:bookmarkStart w:id="149" w:name="_Toc105758423"/>
      <w:bookmarkStart w:id="150" w:name="_Toc110956298"/>
      <w:r w:rsidRPr="00E72B1E">
        <w:t>Have the methods of health program evaluations changed over time?</w:t>
      </w:r>
      <w:bookmarkEnd w:id="146"/>
      <w:bookmarkEnd w:id="147"/>
      <w:bookmarkEnd w:id="148"/>
      <w:bookmarkEnd w:id="149"/>
      <w:bookmarkEnd w:id="150"/>
    </w:p>
    <w:p w14:paraId="068720A5" w14:textId="2DDB7545" w:rsidR="00676ACD" w:rsidRDefault="00676ACD" w:rsidP="00676ACD">
      <w:pPr>
        <w:pStyle w:val="DVABodytextwithparaspace"/>
      </w:pPr>
      <w:r>
        <w:t>The Ministry of Health indicated that t</w:t>
      </w:r>
      <w:r w:rsidRPr="00E551CC">
        <w:t>here has been a pivot to target wellbeing in the public sector, as support schemes are not independent of wellbeing type outcomes. This is likely driven by a change in attitudes towards mental health, and acknowledgement that personal life inevitably affects work life</w:t>
      </w:r>
      <w:r>
        <w:t xml:space="preserve">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xml:space="preserve">). </w:t>
      </w:r>
    </w:p>
    <w:p w14:paraId="08FC046E" w14:textId="12D01A5A" w:rsidR="00676ACD" w:rsidRDefault="00676ACD" w:rsidP="00676ACD">
      <w:pPr>
        <w:pStyle w:val="DVABodytextwithparaspace"/>
      </w:pPr>
      <w:r>
        <w:t>The case study consultation with NSW Ministry of Health has also indicated that over the past 10 years, evaluations have shifted from being thought about as a separate external process, towards being a significant part of the continuous improvement cycle of program implementation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This was validated through consultation with the Department of Finance</w:t>
      </w:r>
      <w:r w:rsidR="00AC133A">
        <w:t xml:space="preserve"> (now Australian Centre for Evaluation)</w:t>
      </w:r>
      <w:r>
        <w:t xml:space="preserve">, who explained the change over time from evaluations being a compliance driven ‘tick and flick’ exercise, towards a more meaningful activity with the intention of driving continuous improvement. They also outlined that moving forward, a culture change will be needed to support people to understand that </w:t>
      </w:r>
      <w:r w:rsidR="00F1313B">
        <w:rPr>
          <w:rFonts w:ascii="Calibri" w:hAnsi="Calibri" w:cs="Calibri"/>
        </w:rPr>
        <w:t xml:space="preserve">effective use of evaluations can contribute to better performance management and more effective program delivery and outcomes </w:t>
      </w:r>
      <w:r>
        <w:t>(</w:t>
      </w:r>
      <w:r>
        <w:fldChar w:fldCharType="begin"/>
      </w:r>
      <w:r>
        <w:instrText xml:space="preserve"> REF _Ref105596795 \h </w:instrText>
      </w:r>
      <w:r>
        <w:fldChar w:fldCharType="separate"/>
      </w:r>
      <w:r w:rsidR="00812188">
        <w:t xml:space="preserve">Table </w:t>
      </w:r>
      <w:r w:rsidR="00812188">
        <w:rPr>
          <w:noProof/>
        </w:rPr>
        <w:t>23</w:t>
      </w:r>
      <w:r w:rsidR="00812188">
        <w:t>: Case Study III</w:t>
      </w:r>
      <w:r>
        <w:fldChar w:fldCharType="end"/>
      </w:r>
      <w:r>
        <w:t>)</w:t>
      </w:r>
      <w:r w:rsidR="00F1313B">
        <w:rPr>
          <w:rFonts w:ascii="Calibri" w:hAnsi="Calibri" w:cs="Calibri"/>
        </w:rPr>
        <w:t>, with work underway to help embed evaluative thinking into everyday practice across the Commonwealth.</w:t>
      </w:r>
    </w:p>
    <w:p w14:paraId="4742A310" w14:textId="32DF1CA1" w:rsidR="00676ACD" w:rsidRDefault="00F1313B" w:rsidP="00676ACD">
      <w:pPr>
        <w:pStyle w:val="DVABodytextwithparaspace"/>
      </w:pPr>
      <w:r>
        <w:rPr>
          <w:rFonts w:ascii="Calibri" w:hAnsi="Calibri" w:cs="Calibri"/>
        </w:rPr>
        <w:lastRenderedPageBreak/>
        <w:t>Furthermore, the Department of Finance</w:t>
      </w:r>
      <w:r w:rsidR="00AC133A">
        <w:rPr>
          <w:rFonts w:ascii="Calibri" w:hAnsi="Calibri" w:cs="Calibri"/>
        </w:rPr>
        <w:t xml:space="preserve"> </w:t>
      </w:r>
      <w:r w:rsidR="00AC133A">
        <w:t>(now Australian Centre for Evaluation)</w:t>
      </w:r>
      <w:r>
        <w:rPr>
          <w:rFonts w:ascii="Calibri" w:hAnsi="Calibri" w:cs="Calibri"/>
        </w:rPr>
        <w:t xml:space="preserve"> indicated that findings from the </w:t>
      </w:r>
      <w:hyperlink r:id="rId29" w:history="1">
        <w:r>
          <w:rPr>
            <w:rStyle w:val="Hyperlink"/>
            <w:rFonts w:ascii="Calibri" w:hAnsi="Calibri" w:cs="Calibri"/>
          </w:rPr>
          <w:t>Independent Review of the Australian Public Service</w:t>
        </w:r>
      </w:hyperlink>
      <w:r w:rsidR="009846BC">
        <w:rPr>
          <w:rStyle w:val="Hyperlink"/>
          <w:rFonts w:ascii="Calibri" w:hAnsi="Calibri" w:cs="Calibri"/>
        </w:rPr>
        <w:t xml:space="preserve"> (APS)</w:t>
      </w:r>
      <w:r>
        <w:rPr>
          <w:rFonts w:ascii="Calibri" w:hAnsi="Calibri" w:cs="Calibri"/>
        </w:rPr>
        <w:t xml:space="preserve"> indicate evaluation practices within the government space have declined over time. The APS Review found that at </w:t>
      </w:r>
      <w:r w:rsidR="00676ACD">
        <w:t>the federal level of government, few organisations have retained evaluation expertise, with external providers being used to fill skills gaps in evaluation. They are at the beginning of a long change journey to work with federal departments and rebuild evaluation capability at the Commonwealth level (</w:t>
      </w:r>
      <w:r w:rsidR="00676ACD">
        <w:fldChar w:fldCharType="begin"/>
      </w:r>
      <w:r w:rsidR="00676ACD">
        <w:instrText xml:space="preserve"> REF _Ref105596795 \h </w:instrText>
      </w:r>
      <w:r w:rsidR="00676ACD">
        <w:fldChar w:fldCharType="separate"/>
      </w:r>
      <w:r w:rsidR="00812188">
        <w:t xml:space="preserve">Table </w:t>
      </w:r>
      <w:r w:rsidR="00812188">
        <w:rPr>
          <w:noProof/>
        </w:rPr>
        <w:t>23</w:t>
      </w:r>
      <w:r w:rsidR="00812188">
        <w:t>: Case Study III</w:t>
      </w:r>
      <w:r w:rsidR="00676ACD">
        <w:fldChar w:fldCharType="end"/>
      </w:r>
      <w:r w:rsidR="00676ACD">
        <w:t>).</w:t>
      </w:r>
    </w:p>
    <w:p w14:paraId="62767201" w14:textId="66F96E56" w:rsidR="00676ACD" w:rsidRDefault="00676ACD" w:rsidP="00676ACD">
      <w:pPr>
        <w:pStyle w:val="DVABodytextwithparaspace"/>
      </w:pPr>
      <w:r>
        <w:t>Lessons learned from the US experience with evaluating veteran programs include the rise of ‘rapid cycle evaluations’, which can be undertaken while programs are being implemented (</w:t>
      </w:r>
      <w:r w:rsidR="000628B8">
        <w:fldChar w:fldCharType="begin"/>
      </w:r>
      <w:r w:rsidR="000628B8">
        <w:instrText xml:space="preserve"> REF  _Ref105758376 \h </w:instrText>
      </w:r>
      <w:r w:rsidR="000628B8">
        <w:fldChar w:fldCharType="separate"/>
      </w:r>
      <w:r w:rsidR="00812188">
        <w:t xml:space="preserve">Figure </w:t>
      </w:r>
      <w:r w:rsidR="00812188">
        <w:rPr>
          <w:noProof/>
        </w:rPr>
        <w:t>12</w:t>
      </w:r>
      <w:r w:rsidR="000628B8">
        <w:fldChar w:fldCharType="end"/>
      </w:r>
      <w:r>
        <w:t xml:space="preserve">). These are sometimes known as ‘developmental evaluations’, which can provide </w:t>
      </w:r>
      <w:r w:rsidRPr="00E84034">
        <w:t xml:space="preserve">close to real-time feedback to program staff </w:t>
      </w:r>
      <w:r>
        <w:t>and</w:t>
      </w:r>
      <w:r w:rsidRPr="00E84034">
        <w:t xml:space="preserve"> facilitat</w:t>
      </w:r>
      <w:r>
        <w:t>e</w:t>
      </w:r>
      <w:r w:rsidRPr="00E84034">
        <w:t xml:space="preserve"> a continuous development loop.</w:t>
      </w:r>
      <w:r>
        <w:t xml:space="preserve"> The difference between developmental evaluations and rapid cycle evaluations are that the latter may only be a one-off occurrence – whereas developmental evaluations continue to occur throughout program implementation. </w:t>
      </w:r>
    </w:p>
    <w:p w14:paraId="75007E5B" w14:textId="1022264D" w:rsidR="00676ACD" w:rsidRPr="00E72B1E" w:rsidRDefault="00676ACD" w:rsidP="00676ACD">
      <w:pPr>
        <w:pStyle w:val="DVABodytextwithparaspace"/>
      </w:pPr>
      <w:r>
        <w:t>Stakeholder engagement has also increased in evaluations of US veteran programs. The importance of stakeholder engagement was highlighted by the case studies too. The NSW Ministry of Health indicated that qualitative data enables stakeholders to share their respective experiences and can help clarify stakeholder attitudes and behaviours about a program (</w:t>
      </w:r>
      <w:r>
        <w:fldChar w:fldCharType="begin"/>
      </w:r>
      <w:r>
        <w:instrText xml:space="preserve"> REF _Ref105598392 \h </w:instrText>
      </w:r>
      <w:r>
        <w:fldChar w:fldCharType="separate"/>
      </w:r>
      <w:r w:rsidR="00812188">
        <w:t xml:space="preserve">Table </w:t>
      </w:r>
      <w:r w:rsidR="00812188">
        <w:rPr>
          <w:noProof/>
        </w:rPr>
        <w:t>22</w:t>
      </w:r>
      <w:r w:rsidR="00812188">
        <w:t>: Case Study II</w:t>
      </w:r>
      <w:r>
        <w:fldChar w:fldCharType="end"/>
      </w:r>
      <w:r>
        <w:t>). The Department of Finance</w:t>
      </w:r>
      <w:r w:rsidR="00AC133A">
        <w:t xml:space="preserve"> (now Australian Centre for Evaluation)</w:t>
      </w:r>
      <w:r>
        <w:t xml:space="preserve"> also noted that qualitative data enables the evaluator to tell a powerful story which makes an evaluation more influential – which is one of the main goals of an evaluation (</w:t>
      </w:r>
      <w:r>
        <w:fldChar w:fldCharType="begin"/>
      </w:r>
      <w:r>
        <w:instrText xml:space="preserve"> REF _Ref105596795 \h </w:instrText>
      </w:r>
      <w:r>
        <w:fldChar w:fldCharType="separate"/>
      </w:r>
      <w:r w:rsidR="00812188">
        <w:t xml:space="preserve">Table </w:t>
      </w:r>
      <w:r w:rsidR="00812188">
        <w:rPr>
          <w:noProof/>
        </w:rPr>
        <w:t>23</w:t>
      </w:r>
      <w:r w:rsidR="00812188">
        <w:t>: Case Study III</w:t>
      </w:r>
      <w:r>
        <w:fldChar w:fldCharType="end"/>
      </w:r>
      <w:r>
        <w:t>).</w:t>
      </w:r>
    </w:p>
    <w:p w14:paraId="2EFC5BC6" w14:textId="48CBC9C3" w:rsidR="00676ACD" w:rsidRDefault="00676ACD" w:rsidP="00676ACD">
      <w:pPr>
        <w:pStyle w:val="Caption"/>
        <w:rPr>
          <w:noProof/>
          <w:lang w:eastAsia="en-AU"/>
        </w:rPr>
      </w:pPr>
      <w:bookmarkStart w:id="151" w:name="_Ref105758376"/>
      <w:r>
        <w:t xml:space="preserve">Figure </w:t>
      </w:r>
      <w:r>
        <w:fldChar w:fldCharType="begin"/>
      </w:r>
      <w:r>
        <w:instrText xml:space="preserve"> SEQ Figure \* ARABIC </w:instrText>
      </w:r>
      <w:r>
        <w:fldChar w:fldCharType="separate"/>
      </w:r>
      <w:r w:rsidR="00812188">
        <w:rPr>
          <w:noProof/>
        </w:rPr>
        <w:t>12</w:t>
      </w:r>
      <w:r>
        <w:fldChar w:fldCharType="end"/>
      </w:r>
      <w:bookmarkEnd w:id="151"/>
      <w:r>
        <w:t>. Learnings from the US - the rise of rapid cycle evaluations</w:t>
      </w:r>
      <w:r w:rsidRPr="00B347B1">
        <w:t xml:space="preserve"> </w:t>
      </w:r>
    </w:p>
    <w:p w14:paraId="1D2C1B6C" w14:textId="4678FEC8" w:rsidR="009014F6" w:rsidRPr="009014F6" w:rsidRDefault="009014F6" w:rsidP="009014F6">
      <w:pPr>
        <w:rPr>
          <w:lang w:val="en-AU" w:eastAsia="en-AU"/>
        </w:rPr>
      </w:pPr>
      <w:r>
        <w:rPr>
          <w:noProof/>
          <w:lang w:val="en-AU" w:eastAsia="en-AU"/>
        </w:rPr>
        <w:drawing>
          <wp:inline distT="0" distB="0" distL="0" distR="0" wp14:anchorId="5C5A926C" wp14:editId="59B9C2F4">
            <wp:extent cx="5730875" cy="23044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304415"/>
                    </a:xfrm>
                    <a:prstGeom prst="rect">
                      <a:avLst/>
                    </a:prstGeom>
                    <a:noFill/>
                  </pic:spPr>
                </pic:pic>
              </a:graphicData>
            </a:graphic>
          </wp:inline>
        </w:drawing>
      </w:r>
    </w:p>
    <w:p w14:paraId="2259985E" w14:textId="77777777" w:rsidR="00676ACD" w:rsidRPr="004370F9" w:rsidRDefault="00676ACD" w:rsidP="00676ACD">
      <w:pPr>
        <w:rPr>
          <w:sz w:val="16"/>
          <w:szCs w:val="16"/>
        </w:rPr>
      </w:pPr>
      <w:r w:rsidRPr="004370F9">
        <w:rPr>
          <w:noProof/>
          <w:sz w:val="16"/>
          <w:szCs w:val="16"/>
        </w:rPr>
        <w:t xml:space="preserve">Data source: Key Informant Interviews </w:t>
      </w:r>
    </w:p>
    <w:p w14:paraId="62371507" w14:textId="77777777" w:rsidR="00676ACD" w:rsidRPr="00E72B1E" w:rsidRDefault="00676ACD" w:rsidP="00676ACD">
      <w:r w:rsidRPr="00E72B1E">
        <w:br w:type="page"/>
      </w:r>
    </w:p>
    <w:p w14:paraId="762EA74C" w14:textId="77777777" w:rsidR="00676ACD" w:rsidRPr="00E72B1E" w:rsidRDefault="00676ACD" w:rsidP="00676ACD">
      <w:pPr>
        <w:pStyle w:val="Heading1numbered"/>
      </w:pPr>
      <w:bookmarkStart w:id="152" w:name="_Toc110956299"/>
      <w:bookmarkStart w:id="153" w:name="_Toc105749450"/>
      <w:bookmarkStart w:id="154" w:name="_Toc107225303"/>
      <w:bookmarkStart w:id="155" w:name="_Toc105758425"/>
      <w:r>
        <w:lastRenderedPageBreak/>
        <w:t>Considerations for better practice evaluation</w:t>
      </w:r>
      <w:bookmarkEnd w:id="152"/>
    </w:p>
    <w:p w14:paraId="76D5152D" w14:textId="621B8A82" w:rsidR="00676ACD" w:rsidRPr="00E72B1E" w:rsidRDefault="00676ACD" w:rsidP="00676ACD">
      <w:pPr>
        <w:pStyle w:val="DVALeader"/>
      </w:pPr>
      <w:r>
        <w:t xml:space="preserve">This chapter provides an evidence-based, better practice approach for future health program evaluations in DVA. It was developed by drawing out the implications of findings presented in </w:t>
      </w:r>
      <w:r w:rsidR="00E54EA6">
        <w:t>C</w:t>
      </w:r>
      <w:r>
        <w:t xml:space="preserve">hapter 3. The flowchart at the end of the chapter can be used to help guide DVA on the way to approach evaluations to ensure an evaluation culture. </w:t>
      </w:r>
    </w:p>
    <w:p w14:paraId="679A683D" w14:textId="77777777" w:rsidR="00676ACD" w:rsidRDefault="00676ACD" w:rsidP="00676ACD">
      <w:pPr>
        <w:pStyle w:val="DVABodytextwithparaspace"/>
      </w:pPr>
      <w:r>
        <w:t xml:space="preserve">A summary of implications of the key findings are presented below. They are cross-referenced against the relevant section in the key findings. </w:t>
      </w:r>
    </w:p>
    <w:p w14:paraId="299DE6F8" w14:textId="77777777" w:rsidR="00676ACD" w:rsidRPr="008C0D81" w:rsidRDefault="00676ACD" w:rsidP="00676ACD">
      <w:pPr>
        <w:pStyle w:val="DVABodytextwithparaspace"/>
        <w:rPr>
          <w:b/>
          <w:bCs/>
        </w:rPr>
      </w:pPr>
      <w:r>
        <w:rPr>
          <w:b/>
          <w:bCs/>
        </w:rPr>
        <w:t>Better practice evaluation of Australian health programs involves:</w:t>
      </w:r>
    </w:p>
    <w:p w14:paraId="29B286C5" w14:textId="1ED0D97A" w:rsidR="00676ACD" w:rsidRPr="007B07F7" w:rsidRDefault="00676ACD" w:rsidP="00676ACD">
      <w:pPr>
        <w:pStyle w:val="DVABulletedText1"/>
      </w:pPr>
      <w:r>
        <w:t>E</w:t>
      </w:r>
      <w:r w:rsidRPr="007B07F7">
        <w:t xml:space="preserve">mbedding evaluation into program design with appropriate governance and oversight. Having clear program goals can help direct evaluation methodology and create meaningful and useable data. Working closely with key stakeholders can also ensure that the program is culturally appropriate and set up the health program for the highest chance of long-term success. (Section </w:t>
      </w:r>
      <w:r>
        <w:fldChar w:fldCharType="begin"/>
      </w:r>
      <w:r>
        <w:instrText xml:space="preserve"> REF _Ref105699052 \n \h </w:instrText>
      </w:r>
      <w:r>
        <w:fldChar w:fldCharType="separate"/>
      </w:r>
      <w:r w:rsidR="00812188">
        <w:t>3.1.1</w:t>
      </w:r>
      <w:r>
        <w:fldChar w:fldCharType="end"/>
      </w:r>
      <w:r w:rsidRPr="007B07F7">
        <w:t xml:space="preserve">)     </w:t>
      </w:r>
    </w:p>
    <w:p w14:paraId="40E902C4" w14:textId="5B5ECB6E" w:rsidR="00676ACD" w:rsidRPr="007B07F7" w:rsidRDefault="00676ACD" w:rsidP="00676ACD">
      <w:pPr>
        <w:pStyle w:val="DVABulletedText1"/>
      </w:pPr>
      <w:r w:rsidRPr="007B07F7">
        <w:t xml:space="preserve">Designing a program logic and evaluation framework are key components to a successful evaluation. They help in identifying key program components and keep focus on desired program outcomes. (Section </w:t>
      </w:r>
      <w:r>
        <w:fldChar w:fldCharType="begin"/>
      </w:r>
      <w:r>
        <w:instrText xml:space="preserve"> REF _Ref105699052 \n \h </w:instrText>
      </w:r>
      <w:r>
        <w:fldChar w:fldCharType="separate"/>
      </w:r>
      <w:r w:rsidR="00812188">
        <w:t>3.1.1</w:t>
      </w:r>
      <w:r>
        <w:fldChar w:fldCharType="end"/>
      </w:r>
      <w:r w:rsidRPr="007B07F7">
        <w:t xml:space="preserve">)     </w:t>
      </w:r>
    </w:p>
    <w:p w14:paraId="461BF2D1" w14:textId="00756EDA" w:rsidR="00676ACD" w:rsidRPr="007B07F7" w:rsidRDefault="00676ACD" w:rsidP="00676ACD">
      <w:pPr>
        <w:pStyle w:val="DVABulletedText1"/>
      </w:pPr>
      <w:r w:rsidRPr="007B07F7">
        <w:t xml:space="preserve">Creating an evaluation culture within an organisation allows for capacity building, adequate resource allocation, and general understanding of the benefits and importance of evaluation. This can allow for optimal evaluation efficiency and more broadly achieving desired program outcomes. (Section </w:t>
      </w:r>
      <w:r>
        <w:fldChar w:fldCharType="begin"/>
      </w:r>
      <w:r>
        <w:instrText xml:space="preserve"> REF _Ref105699052 \n \h </w:instrText>
      </w:r>
      <w:r>
        <w:fldChar w:fldCharType="separate"/>
      </w:r>
      <w:r w:rsidR="00812188">
        <w:t>3.1.1</w:t>
      </w:r>
      <w:r>
        <w:fldChar w:fldCharType="end"/>
      </w:r>
      <w:r w:rsidRPr="007B07F7">
        <w:t xml:space="preserve">)     </w:t>
      </w:r>
    </w:p>
    <w:p w14:paraId="393F1F0F" w14:textId="56F39CAC" w:rsidR="00676ACD" w:rsidRPr="007B07F7" w:rsidRDefault="00676ACD" w:rsidP="00676ACD">
      <w:pPr>
        <w:pStyle w:val="DVABulletedText1"/>
      </w:pPr>
      <w:r w:rsidRPr="007B07F7">
        <w:t>Resources often restrict the ability to evaluate all programs; careful consideration should be taken of the potential benefits and use of evaluation in achieving broader organisational and strategic goals. (Section</w:t>
      </w:r>
      <w:r>
        <w:t xml:space="preserve"> </w:t>
      </w:r>
      <w:r>
        <w:fldChar w:fldCharType="begin"/>
      </w:r>
      <w:r>
        <w:instrText xml:space="preserve"> REF _Ref105699097 \n \h </w:instrText>
      </w:r>
      <w:r>
        <w:fldChar w:fldCharType="separate"/>
      </w:r>
      <w:r w:rsidR="00812188">
        <w:t>3.1.2</w:t>
      </w:r>
      <w:r>
        <w:fldChar w:fldCharType="end"/>
      </w:r>
      <w:r w:rsidRPr="007B07F7">
        <w:t xml:space="preserve">)     </w:t>
      </w:r>
    </w:p>
    <w:p w14:paraId="459741D7" w14:textId="3B733E56" w:rsidR="00676ACD" w:rsidRPr="007B07F7" w:rsidRDefault="00676ACD" w:rsidP="00676ACD">
      <w:pPr>
        <w:pStyle w:val="DVABulletedText1"/>
      </w:pPr>
      <w:r w:rsidRPr="007B07F7">
        <w:t>Process, outcome and economic were the most common types of evaluation identified by policy and guidance documents from this review. Selection of these methods design depends on what data are available as well as the maturity of the program. For example, a process evaluation is a suitable option for a relatively new program. When choosing between quantitative and qualitative data collection methods, a mixed methods design is considered ‘ideal’. This is because it allows for more diversity in information to inform which areas of a program are performing well and which may need modification.  (Section</w:t>
      </w:r>
      <w:r>
        <w:t xml:space="preserve"> </w:t>
      </w:r>
      <w:r>
        <w:fldChar w:fldCharType="begin"/>
      </w:r>
      <w:r>
        <w:instrText xml:space="preserve"> REF _Ref105699109 \n \h </w:instrText>
      </w:r>
      <w:r>
        <w:fldChar w:fldCharType="separate"/>
      </w:r>
      <w:r w:rsidR="00812188">
        <w:t>3.1.3</w:t>
      </w:r>
      <w:r>
        <w:fldChar w:fldCharType="end"/>
      </w:r>
      <w:r w:rsidRPr="007B07F7">
        <w:t xml:space="preserve">)     </w:t>
      </w:r>
    </w:p>
    <w:p w14:paraId="56C5A235" w14:textId="476EE8AF" w:rsidR="00676ACD" w:rsidRPr="007B07F7" w:rsidRDefault="00676ACD" w:rsidP="00676ACD">
      <w:pPr>
        <w:pStyle w:val="DVABulletedText1"/>
      </w:pPr>
      <w:r w:rsidRPr="007B07F7">
        <w:t>External evaluators are useful for larger scale or high investment projects where independence is desirable. They are helpful in projects intended to be scaled up or for those requiring significant modification. Internal evaluators are generally less costly and can build internal evaluation capability and culture, however can be bring bias into evaluation results. (Section</w:t>
      </w:r>
      <w:r>
        <w:t xml:space="preserve"> </w:t>
      </w:r>
      <w:r>
        <w:fldChar w:fldCharType="begin"/>
      </w:r>
      <w:r>
        <w:instrText xml:space="preserve"> REF _Ref105699117 \n \h </w:instrText>
      </w:r>
      <w:r>
        <w:fldChar w:fldCharType="separate"/>
      </w:r>
      <w:r w:rsidR="00812188">
        <w:t>3.1.4</w:t>
      </w:r>
      <w:r>
        <w:fldChar w:fldCharType="end"/>
      </w:r>
      <w:r w:rsidRPr="007B07F7">
        <w:t xml:space="preserve">)     </w:t>
      </w:r>
    </w:p>
    <w:p w14:paraId="76ECA191" w14:textId="53ED09A5" w:rsidR="00676ACD" w:rsidRPr="007B07F7" w:rsidRDefault="00676ACD" w:rsidP="00676ACD">
      <w:pPr>
        <w:pStyle w:val="DVABulletedText1"/>
      </w:pPr>
      <w:r w:rsidRPr="007B07F7">
        <w:t>Results from evaluations should be shared and published broadly to inform policy and program development and embed an evaluation culture. (Section</w:t>
      </w:r>
      <w:r>
        <w:t xml:space="preserve"> </w:t>
      </w:r>
      <w:r>
        <w:fldChar w:fldCharType="begin"/>
      </w:r>
      <w:r>
        <w:instrText xml:space="preserve"> REF _Ref105699124 \n \h </w:instrText>
      </w:r>
      <w:r>
        <w:fldChar w:fldCharType="separate"/>
      </w:r>
      <w:r w:rsidR="00812188">
        <w:t>3.1.5</w:t>
      </w:r>
      <w:r>
        <w:fldChar w:fldCharType="end"/>
      </w:r>
      <w:r w:rsidRPr="007B07F7">
        <w:t xml:space="preserve">)     </w:t>
      </w:r>
    </w:p>
    <w:p w14:paraId="6EFF4177" w14:textId="77777777" w:rsidR="00676ACD" w:rsidRDefault="00676ACD" w:rsidP="00676ACD">
      <w:pPr>
        <w:pStyle w:val="DVABulletedText1"/>
        <w:numPr>
          <w:ilvl w:val="0"/>
          <w:numId w:val="0"/>
        </w:numPr>
        <w:rPr>
          <w:b/>
          <w:bCs/>
        </w:rPr>
      </w:pPr>
      <w:r w:rsidRPr="00901C4B">
        <w:rPr>
          <w:b/>
          <w:bCs/>
        </w:rPr>
        <w:t>The most common types of evaluations used for assessment of health programs across Australia are</w:t>
      </w:r>
      <w:r>
        <w:rPr>
          <w:b/>
          <w:bCs/>
        </w:rPr>
        <w:t>:</w:t>
      </w:r>
    </w:p>
    <w:p w14:paraId="517F73EE" w14:textId="29752A89" w:rsidR="00676ACD" w:rsidRDefault="00676ACD" w:rsidP="00676ACD">
      <w:pPr>
        <w:pStyle w:val="DVABulletedText1"/>
      </w:pPr>
      <w:r>
        <w:t>P</w:t>
      </w:r>
      <w:r w:rsidRPr="007B07F7">
        <w:t>rocess evaluations using mixed methods data collection strategies. Pre-</w:t>
      </w:r>
      <w:r>
        <w:t>p</w:t>
      </w:r>
      <w:r w:rsidRPr="007B07F7">
        <w:t>ost designs were commonly reported by the systematic reviews. Ultimately, evaluation design should be considered on a case-by-case basis, using the better practice principles outlined in Section 3.1. (Section</w:t>
      </w:r>
      <w:r>
        <w:t xml:space="preserve"> </w:t>
      </w:r>
      <w:r>
        <w:fldChar w:fldCharType="begin"/>
      </w:r>
      <w:r>
        <w:instrText xml:space="preserve"> REF _Ref105699130 \n \h </w:instrText>
      </w:r>
      <w:r>
        <w:fldChar w:fldCharType="separate"/>
      </w:r>
      <w:r w:rsidR="00812188">
        <w:t>3.2</w:t>
      </w:r>
      <w:r>
        <w:fldChar w:fldCharType="end"/>
      </w:r>
      <w:r w:rsidRPr="007B07F7">
        <w:t>)</w:t>
      </w:r>
    </w:p>
    <w:p w14:paraId="218F5B7D" w14:textId="04DD6490" w:rsidR="00676ACD" w:rsidRPr="00D02C36" w:rsidRDefault="00676ACD" w:rsidP="00676ACD">
      <w:pPr>
        <w:pStyle w:val="DVABulletedText1"/>
        <w:numPr>
          <w:ilvl w:val="0"/>
          <w:numId w:val="0"/>
        </w:numPr>
        <w:rPr>
          <w:b/>
          <w:bCs/>
        </w:rPr>
      </w:pPr>
      <w:r w:rsidRPr="00D02C36">
        <w:rPr>
          <w:b/>
          <w:bCs/>
        </w:rPr>
        <w:lastRenderedPageBreak/>
        <w:t xml:space="preserve">Australian government agencies commonly: </w:t>
      </w:r>
    </w:p>
    <w:p w14:paraId="13B57EB7" w14:textId="49325CD1" w:rsidR="00676ACD" w:rsidRPr="007B07F7" w:rsidRDefault="00676ACD" w:rsidP="00676ACD">
      <w:pPr>
        <w:pStyle w:val="DVABulletedText1"/>
      </w:pPr>
      <w:r>
        <w:t>O</w:t>
      </w:r>
      <w:r w:rsidRPr="007B07F7">
        <w:t>utsource their evaluations, whereas the private sector appears to both outsource evaluations and perform them in-house. There are otherwise no meaningful differences noted between government and private sector evaluations. (Section</w:t>
      </w:r>
      <w:r>
        <w:t xml:space="preserve"> </w:t>
      </w:r>
      <w:r>
        <w:fldChar w:fldCharType="begin"/>
      </w:r>
      <w:r>
        <w:instrText xml:space="preserve"> REF _Ref105699137 \n \h </w:instrText>
      </w:r>
      <w:r>
        <w:fldChar w:fldCharType="separate"/>
      </w:r>
      <w:r w:rsidR="00812188">
        <w:t>3.3</w:t>
      </w:r>
      <w:r>
        <w:fldChar w:fldCharType="end"/>
      </w:r>
      <w:r w:rsidRPr="007B07F7">
        <w:t>)</w:t>
      </w:r>
    </w:p>
    <w:p w14:paraId="34CADDB7" w14:textId="77777777" w:rsidR="00676ACD" w:rsidRPr="00221BA2" w:rsidRDefault="00676ACD" w:rsidP="00676ACD">
      <w:pPr>
        <w:pStyle w:val="DVABulletedText1"/>
        <w:numPr>
          <w:ilvl w:val="0"/>
          <w:numId w:val="0"/>
        </w:numPr>
        <w:rPr>
          <w:b/>
          <w:bCs/>
        </w:rPr>
      </w:pPr>
      <w:r w:rsidRPr="00221BA2">
        <w:rPr>
          <w:b/>
          <w:bCs/>
        </w:rPr>
        <w:t>The cost of conducting health program evaluations:</w:t>
      </w:r>
    </w:p>
    <w:p w14:paraId="65A887E6" w14:textId="51929CF2" w:rsidR="00676ACD" w:rsidRPr="007B07F7" w:rsidRDefault="00676ACD" w:rsidP="00676ACD">
      <w:pPr>
        <w:pStyle w:val="DVABulletedText1"/>
      </w:pPr>
      <w:r>
        <w:t>C</w:t>
      </w:r>
      <w:r w:rsidRPr="007B07F7">
        <w:t>an vary greatly; while the NSW government has broadly suggested 10% of program costs, this number can diverge due to its scale, complexity in obtaining data, level of risk, intended use and significance</w:t>
      </w:r>
      <w:r>
        <w:t xml:space="preserve"> to stakeholders and health outcomes</w:t>
      </w:r>
      <w:r w:rsidRPr="007B07F7">
        <w:t xml:space="preserve">. (Section </w:t>
      </w:r>
      <w:r>
        <w:fldChar w:fldCharType="begin"/>
      </w:r>
      <w:r>
        <w:instrText xml:space="preserve"> REF _Ref105699145 \n \h </w:instrText>
      </w:r>
      <w:r>
        <w:fldChar w:fldCharType="separate"/>
      </w:r>
      <w:r w:rsidR="00812188">
        <w:t>3.4</w:t>
      </w:r>
      <w:r>
        <w:fldChar w:fldCharType="end"/>
      </w:r>
      <w:r>
        <w:t>)</w:t>
      </w:r>
    </w:p>
    <w:p w14:paraId="0D727B44" w14:textId="77777777" w:rsidR="00676ACD" w:rsidRPr="004B3ACF" w:rsidRDefault="00676ACD" w:rsidP="00676ACD">
      <w:pPr>
        <w:pStyle w:val="DVABulletedText1"/>
        <w:numPr>
          <w:ilvl w:val="0"/>
          <w:numId w:val="0"/>
        </w:numPr>
        <w:rPr>
          <w:b/>
          <w:bCs/>
        </w:rPr>
      </w:pPr>
      <w:r w:rsidRPr="004B3ACF">
        <w:rPr>
          <w:b/>
          <w:bCs/>
        </w:rPr>
        <w:t>Changes in evaluation practice over time include:</w:t>
      </w:r>
    </w:p>
    <w:p w14:paraId="7BEFAB14" w14:textId="748EF7A9" w:rsidR="00676ACD" w:rsidRDefault="00676ACD" w:rsidP="00676ACD">
      <w:pPr>
        <w:pStyle w:val="DVABulletedText1"/>
      </w:pPr>
      <w:r w:rsidRPr="007B07F7">
        <w:t xml:space="preserve">Evaluations </w:t>
      </w:r>
      <w:r>
        <w:t>becoming</w:t>
      </w:r>
      <w:r w:rsidRPr="007B07F7">
        <w:t xml:space="preserve"> increasingly becoming embedded into program design rather than being an external function. Continuous evaluation is becoming more common than single one-off evaluation. There is evidence from overseas that stakeholder engagement is increasing in evaluations, both in informing program design, and in collecting qualitative data on attitudes and behaviour. Evaluation remains an important but largely undervalued part of health programs. (Section</w:t>
      </w:r>
      <w:r>
        <w:t xml:space="preserve"> </w:t>
      </w:r>
      <w:r>
        <w:fldChar w:fldCharType="begin"/>
      </w:r>
      <w:r>
        <w:instrText xml:space="preserve"> REF _Ref105699159 \n \h </w:instrText>
      </w:r>
      <w:r>
        <w:fldChar w:fldCharType="separate"/>
      </w:r>
      <w:r w:rsidR="00812188">
        <w:t>3.5</w:t>
      </w:r>
      <w:r>
        <w:fldChar w:fldCharType="end"/>
      </w:r>
      <w:r w:rsidRPr="007B07F7">
        <w:t>)</w:t>
      </w:r>
    </w:p>
    <w:p w14:paraId="17D6B34E" w14:textId="504BA080" w:rsidR="0067118F" w:rsidRDefault="00676ACD" w:rsidP="00B031C7">
      <w:pPr>
        <w:pStyle w:val="DVABulletedText1"/>
        <w:numPr>
          <w:ilvl w:val="0"/>
          <w:numId w:val="0"/>
        </w:numPr>
        <w:rPr>
          <w:lang w:eastAsia="en-AU"/>
        </w:rPr>
      </w:pPr>
      <w:r>
        <w:rPr>
          <w:lang w:eastAsia="en-AU"/>
        </w:rPr>
        <w:t xml:space="preserve">In summary, there are no firm parameters to inform decisions on evaluation design, budget, and the choice between using external versus internal evaluators. Rather, better practice evaluations are based on a strong evaluation culture – whereby evaluative thinking and a continuous improvement approach is embedded into organisations, leading to high quality evaluations and thus high-quality program design and </w:t>
      </w:r>
      <w:r w:rsidRPr="000628B8">
        <w:rPr>
          <w:lang w:eastAsia="en-AU"/>
        </w:rPr>
        <w:t xml:space="preserve">delivery </w:t>
      </w:r>
      <w:r w:rsidR="00111BE4">
        <w:rPr>
          <w:lang w:eastAsia="en-AU"/>
        </w:rPr>
        <w:t>(Figure 13</w:t>
      </w:r>
      <w:r w:rsidRPr="000628B8">
        <w:rPr>
          <w:lang w:eastAsia="en-AU"/>
        </w:rPr>
        <w:t>).</w:t>
      </w:r>
      <w:r>
        <w:rPr>
          <w:lang w:eastAsia="en-AU"/>
        </w:rPr>
        <w:t xml:space="preserve"> Key elements of this include designing program logics to inform future evaluations and distributing</w:t>
      </w:r>
      <w:r w:rsidR="000628B8">
        <w:rPr>
          <w:lang w:eastAsia="en-AU"/>
        </w:rPr>
        <w:t xml:space="preserve"> and</w:t>
      </w:r>
      <w:r>
        <w:rPr>
          <w:lang w:eastAsia="en-AU"/>
        </w:rPr>
        <w:t xml:space="preserve"> shari</w:t>
      </w:r>
      <w:r w:rsidR="000628B8">
        <w:rPr>
          <w:lang w:eastAsia="en-AU"/>
        </w:rPr>
        <w:t>ng evaluation findings broadly.</w:t>
      </w:r>
    </w:p>
    <w:p w14:paraId="23A80531" w14:textId="0EEA0FB1" w:rsidR="00676ACD" w:rsidRPr="0067118F" w:rsidRDefault="00676ACD" w:rsidP="00B031C7">
      <w:pPr>
        <w:pStyle w:val="DVABulletedText1"/>
        <w:numPr>
          <w:ilvl w:val="0"/>
          <w:numId w:val="0"/>
        </w:numPr>
        <w:rPr>
          <w:b/>
          <w:bCs/>
          <w:i/>
          <w:iCs/>
        </w:rPr>
      </w:pPr>
      <w:r w:rsidRPr="0067118F">
        <w:rPr>
          <w:b/>
          <w:bCs/>
          <w:i/>
          <w:iCs/>
        </w:rPr>
        <w:t xml:space="preserve">Figure </w:t>
      </w:r>
      <w:r w:rsidR="000628B8">
        <w:rPr>
          <w:b/>
          <w:bCs/>
          <w:i/>
          <w:iCs/>
        </w:rPr>
        <w:fldChar w:fldCharType="begin"/>
      </w:r>
      <w:r w:rsidR="000628B8">
        <w:rPr>
          <w:b/>
          <w:bCs/>
          <w:i/>
          <w:iCs/>
        </w:rPr>
        <w:instrText xml:space="preserve"> SEQ Figure \* ARABIC </w:instrText>
      </w:r>
      <w:r w:rsidR="000628B8">
        <w:rPr>
          <w:b/>
          <w:bCs/>
          <w:i/>
          <w:iCs/>
        </w:rPr>
        <w:fldChar w:fldCharType="separate"/>
      </w:r>
      <w:r w:rsidR="00812188">
        <w:rPr>
          <w:b/>
          <w:bCs/>
          <w:i/>
          <w:iCs/>
          <w:noProof/>
        </w:rPr>
        <w:t>13</w:t>
      </w:r>
      <w:r w:rsidR="000628B8">
        <w:rPr>
          <w:b/>
          <w:bCs/>
          <w:i/>
          <w:iCs/>
        </w:rPr>
        <w:fldChar w:fldCharType="end"/>
      </w:r>
      <w:r w:rsidRPr="0067118F">
        <w:rPr>
          <w:b/>
          <w:bCs/>
          <w:i/>
          <w:iCs/>
        </w:rPr>
        <w:t>: Better practice evaluation and evaluation culture</w:t>
      </w:r>
    </w:p>
    <w:p w14:paraId="7FDBDC0C" w14:textId="588E44FD" w:rsidR="00676ACD" w:rsidRPr="00E72B1E" w:rsidRDefault="00273D2A" w:rsidP="00676ACD">
      <w:pPr>
        <w:pStyle w:val="DVABulletedText1"/>
        <w:numPr>
          <w:ilvl w:val="0"/>
          <w:numId w:val="0"/>
        </w:numPr>
      </w:pPr>
      <w:r w:rsidRPr="00273D2A">
        <w:rPr>
          <w:noProof/>
          <w:lang w:eastAsia="en-AU"/>
        </w:rPr>
        <w:drawing>
          <wp:inline distT="0" distB="0" distL="0" distR="0" wp14:anchorId="64F972F4" wp14:editId="11591071">
            <wp:extent cx="5922797" cy="3633787"/>
            <wp:effectExtent l="0" t="0" r="1905" b="5080"/>
            <wp:docPr id="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8"/>
                    <a:stretch>
                      <a:fillRect/>
                    </a:stretch>
                  </pic:blipFill>
                  <pic:spPr>
                    <a:xfrm>
                      <a:off x="0" y="0"/>
                      <a:ext cx="5937158" cy="3642598"/>
                    </a:xfrm>
                    <a:prstGeom prst="rect">
                      <a:avLst/>
                    </a:prstGeom>
                  </pic:spPr>
                </pic:pic>
              </a:graphicData>
            </a:graphic>
          </wp:inline>
        </w:drawing>
      </w:r>
      <w:r w:rsidR="00676ACD" w:rsidRPr="00E72B1E">
        <w:br w:type="page"/>
      </w:r>
    </w:p>
    <w:p w14:paraId="3095C1DB" w14:textId="77777777" w:rsidR="00676ACD" w:rsidRPr="00026589" w:rsidRDefault="00676ACD" w:rsidP="00676ACD">
      <w:pPr>
        <w:pStyle w:val="Heading1numbered"/>
      </w:pPr>
      <w:bookmarkStart w:id="156" w:name="_Toc110956300"/>
      <w:r w:rsidRPr="00026589">
        <w:lastRenderedPageBreak/>
        <w:t>References</w:t>
      </w:r>
      <w:bookmarkEnd w:id="153"/>
      <w:bookmarkEnd w:id="154"/>
      <w:bookmarkEnd w:id="155"/>
      <w:bookmarkEnd w:id="156"/>
    </w:p>
    <w:bookmarkStart w:id="157" w:name="_Ref104836463" w:displacedByCustomXml="next"/>
    <w:bookmarkStart w:id="158" w:name="_Ref104836457" w:displacedByCustomXml="next"/>
    <w:bookmarkStart w:id="159" w:name="_Ref105057751" w:displacedByCustomXml="next"/>
    <w:sdt>
      <w:sdtPr>
        <w:rPr>
          <w:rFonts w:asciiTheme="minorHAnsi" w:eastAsiaTheme="minorHAnsi" w:hAnsiTheme="minorHAnsi" w:cstheme="minorHAnsi"/>
          <w:b/>
          <w:sz w:val="22"/>
          <w:szCs w:val="24"/>
          <w:lang w:val="en-US"/>
        </w:rPr>
        <w:id w:val="-106048030"/>
        <w:docPartObj>
          <w:docPartGallery w:val="Bibliographies"/>
          <w:docPartUnique/>
        </w:docPartObj>
      </w:sdtPr>
      <w:sdtEndPr>
        <w:rPr>
          <w:b w:val="0"/>
        </w:rPr>
      </w:sdtEndPr>
      <w:sdtContent>
        <w:sdt>
          <w:sdtPr>
            <w:rPr>
              <w:rFonts w:asciiTheme="minorHAnsi" w:eastAsiaTheme="minorHAnsi" w:hAnsiTheme="minorHAnsi" w:cstheme="minorHAnsi"/>
              <w:sz w:val="22"/>
              <w:szCs w:val="24"/>
              <w:lang w:val="en-US"/>
            </w:rPr>
            <w:id w:val="-573587230"/>
            <w:bibliography/>
          </w:sdtPr>
          <w:sdtEndPr/>
          <w:sdtContent>
            <w:sdt>
              <w:sdtPr>
                <w:rPr>
                  <w:rFonts w:asciiTheme="minorHAnsi" w:eastAsiaTheme="minorHAnsi" w:hAnsiTheme="minorHAnsi" w:cstheme="minorHAnsi"/>
                  <w:b/>
                  <w:sz w:val="22"/>
                  <w:szCs w:val="24"/>
                  <w:lang w:val="en-US"/>
                </w:rPr>
                <w:id w:val="-1124542440"/>
                <w:docPartObj>
                  <w:docPartGallery w:val="Bibliographies"/>
                  <w:docPartUnique/>
                </w:docPartObj>
              </w:sdtPr>
              <w:sdtEndPr>
                <w:rPr>
                  <w:b w:val="0"/>
                </w:rPr>
              </w:sdtEndPr>
              <w:sdtContent>
                <w:sdt>
                  <w:sdtPr>
                    <w:rPr>
                      <w:rFonts w:asciiTheme="minorHAnsi" w:eastAsiaTheme="minorHAnsi" w:hAnsiTheme="minorHAnsi" w:cstheme="minorHAnsi"/>
                      <w:sz w:val="22"/>
                      <w:szCs w:val="24"/>
                      <w:lang w:val="en-US"/>
                    </w:rPr>
                    <w:id w:val="1984030968"/>
                    <w:bibliography/>
                  </w:sdtPr>
                  <w:sdtEndPr/>
                  <w:sdtContent>
                    <w:p w14:paraId="10901CD8" w14:textId="77777777" w:rsidR="00710993" w:rsidRPr="0067118F" w:rsidRDefault="00676ACD" w:rsidP="00710993">
                      <w:pPr>
                        <w:pStyle w:val="Bibliography"/>
                        <w:rPr>
                          <w:rFonts w:asciiTheme="minorHAnsi" w:hAnsiTheme="minorHAnsi" w:cstheme="minorHAnsi"/>
                          <w:noProof/>
                        </w:rPr>
                      </w:pPr>
                      <w:r w:rsidRPr="0067118F">
                        <w:rPr>
                          <w:rFonts w:asciiTheme="minorHAnsi" w:hAnsiTheme="minorHAnsi" w:cstheme="minorHAnsi"/>
                        </w:rPr>
                        <w:fldChar w:fldCharType="begin"/>
                      </w:r>
                      <w:r w:rsidRPr="0067118F">
                        <w:rPr>
                          <w:rFonts w:asciiTheme="minorHAnsi" w:hAnsiTheme="minorHAnsi" w:cstheme="minorHAnsi"/>
                        </w:rPr>
                        <w:instrText xml:space="preserve"> BIBLIOGRAPHY </w:instrText>
                      </w:r>
                      <w:r w:rsidRPr="0067118F">
                        <w:rPr>
                          <w:rFonts w:asciiTheme="minorHAnsi" w:hAnsiTheme="minorHAnsi" w:cstheme="minorHAnsi"/>
                        </w:rPr>
                        <w:fldChar w:fldCharType="separate"/>
                      </w:r>
                      <w:r w:rsidR="00710993" w:rsidRPr="0067118F">
                        <w:rPr>
                          <w:rFonts w:asciiTheme="minorHAnsi" w:hAnsiTheme="minorHAnsi" w:cstheme="minorHAnsi"/>
                          <w:noProof/>
                        </w:rPr>
                        <w:t xml:space="preserve">1. </w:t>
                      </w:r>
                      <w:r w:rsidR="00710993" w:rsidRPr="0067118F">
                        <w:rPr>
                          <w:rFonts w:asciiTheme="minorHAnsi" w:hAnsiTheme="minorHAnsi" w:cstheme="minorHAnsi"/>
                          <w:b/>
                          <w:bCs/>
                          <w:noProof/>
                        </w:rPr>
                        <w:t>Australian Government Department of Veterans' Affairs.</w:t>
                      </w:r>
                      <w:r w:rsidR="00710993" w:rsidRPr="0067118F">
                        <w:rPr>
                          <w:rFonts w:asciiTheme="minorHAnsi" w:hAnsiTheme="minorHAnsi" w:cstheme="minorHAnsi"/>
                          <w:noProof/>
                        </w:rPr>
                        <w:t xml:space="preserve"> Additional program information provided by DVA. 2022.</w:t>
                      </w:r>
                    </w:p>
                    <w:p w14:paraId="03AF51A8" w14:textId="44B3C081"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 </w:t>
                      </w:r>
                      <w:r w:rsidRPr="0067118F">
                        <w:rPr>
                          <w:rFonts w:asciiTheme="minorHAnsi" w:hAnsiTheme="minorHAnsi" w:cstheme="minorHAnsi"/>
                          <w:b/>
                          <w:bCs/>
                          <w:noProof/>
                        </w:rPr>
                        <w:t xml:space="preserve">Australian Government: </w:t>
                      </w:r>
                      <w:r w:rsidR="00A618E8">
                        <w:rPr>
                          <w:rFonts w:asciiTheme="minorHAnsi" w:hAnsiTheme="minorHAnsi" w:cstheme="minorHAnsi"/>
                          <w:b/>
                          <w:bCs/>
                          <w:noProof/>
                        </w:rPr>
                        <w:t>The Treasury</w:t>
                      </w:r>
                      <w:r w:rsidRPr="0067118F">
                        <w:rPr>
                          <w:rFonts w:asciiTheme="minorHAnsi" w:hAnsiTheme="minorHAnsi" w:cstheme="minorHAnsi"/>
                          <w:b/>
                          <w:bCs/>
                          <w:noProof/>
                        </w:rPr>
                        <w:t>.</w:t>
                      </w:r>
                      <w:r w:rsidRPr="0067118F">
                        <w:rPr>
                          <w:rFonts w:asciiTheme="minorHAnsi" w:hAnsiTheme="minorHAnsi" w:cstheme="minorHAnsi"/>
                          <w:noProof/>
                        </w:rPr>
                        <w:t xml:space="preserve"> How to evaluate? [Online] 01 December 2021.</w:t>
                      </w:r>
                      <w:r w:rsidR="00A618E8" w:rsidRPr="00A618E8">
                        <w:t xml:space="preserve"> </w:t>
                      </w:r>
                      <w:r w:rsidR="00A618E8" w:rsidRPr="00A618E8">
                        <w:rPr>
                          <w:rFonts w:asciiTheme="minorHAnsi" w:hAnsiTheme="minorHAnsi" w:cstheme="minorHAnsi"/>
                          <w:noProof/>
                        </w:rPr>
                        <w:t>https://evaluation.treasury.gov.au/toolkit/how-evaluate</w:t>
                      </w:r>
                      <w:r w:rsidRPr="0067118F">
                        <w:rPr>
                          <w:rFonts w:asciiTheme="minorHAnsi" w:hAnsiTheme="minorHAnsi" w:cstheme="minorHAnsi"/>
                          <w:noProof/>
                        </w:rPr>
                        <w:t>.</w:t>
                      </w:r>
                    </w:p>
                    <w:p w14:paraId="77DC3C92"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 </w:t>
                      </w:r>
                      <w:r w:rsidRPr="0067118F">
                        <w:rPr>
                          <w:rFonts w:asciiTheme="minorHAnsi" w:hAnsiTheme="minorHAnsi" w:cstheme="minorHAnsi"/>
                          <w:b/>
                          <w:bCs/>
                          <w:noProof/>
                        </w:rPr>
                        <w:t>Barton, Christian J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Program evaluation of GLA:D®Australia: Physiotherapist training outcomes and effectiveness of implementation for people with knee osteoarthritis. </w:t>
                      </w:r>
                      <w:r w:rsidRPr="0067118F">
                        <w:rPr>
                          <w:rFonts w:asciiTheme="minorHAnsi" w:hAnsiTheme="minorHAnsi" w:cstheme="minorHAnsi"/>
                          <w:noProof/>
                        </w:rPr>
                        <w:t>s.l. : Elsevier Ltd, 2021.</w:t>
                      </w:r>
                    </w:p>
                    <w:p w14:paraId="570CA320"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 </w:t>
                      </w:r>
                      <w:r w:rsidRPr="0067118F">
                        <w:rPr>
                          <w:rFonts w:asciiTheme="minorHAnsi" w:hAnsiTheme="minorHAnsi" w:cstheme="minorHAnsi"/>
                          <w:b/>
                          <w:bCs/>
                          <w:noProof/>
                        </w:rPr>
                        <w:t>Barclay, Linda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Community integration programs and interventions for people with spinal cord injury: a scoping review. </w:t>
                      </w:r>
                      <w:r w:rsidRPr="0067118F">
                        <w:rPr>
                          <w:rFonts w:asciiTheme="minorHAnsi" w:hAnsiTheme="minorHAnsi" w:cstheme="minorHAnsi"/>
                          <w:noProof/>
                        </w:rPr>
                        <w:t>2020.</w:t>
                      </w:r>
                    </w:p>
                    <w:p w14:paraId="1ADAE6A8" w14:textId="1EE8C4B4"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5. </w:t>
                      </w:r>
                      <w:r w:rsidR="008E1140">
                        <w:rPr>
                          <w:rFonts w:asciiTheme="minorHAnsi" w:hAnsiTheme="minorHAnsi" w:cstheme="minorHAnsi"/>
                          <w:b/>
                          <w:bCs/>
                          <w:noProof/>
                        </w:rPr>
                        <w:t>Australian Government The Treasury</w:t>
                      </w:r>
                      <w:r w:rsidRPr="0067118F">
                        <w:rPr>
                          <w:rFonts w:asciiTheme="minorHAnsi" w:hAnsiTheme="minorHAnsi" w:cstheme="minorHAnsi"/>
                          <w:b/>
                          <w:bCs/>
                          <w:noProof/>
                        </w:rPr>
                        <w:t>.</w:t>
                      </w:r>
                      <w:r w:rsidRPr="0067118F">
                        <w:rPr>
                          <w:rFonts w:asciiTheme="minorHAnsi" w:hAnsiTheme="minorHAnsi" w:cstheme="minorHAnsi"/>
                          <w:noProof/>
                        </w:rPr>
                        <w:t xml:space="preserve"> What is evaluation? [Online] 27 April 2022.</w:t>
                      </w:r>
                      <w:r w:rsidR="008E1140">
                        <w:rPr>
                          <w:rFonts w:asciiTheme="minorHAnsi" w:hAnsiTheme="minorHAnsi" w:cstheme="minorHAnsi"/>
                          <w:noProof/>
                        </w:rPr>
                        <w:t xml:space="preserve"> </w:t>
                      </w:r>
                      <w:r w:rsidR="008E1140" w:rsidRPr="008E1140">
                        <w:rPr>
                          <w:rFonts w:asciiTheme="minorHAnsi" w:hAnsiTheme="minorHAnsi" w:cstheme="minorHAnsi"/>
                          <w:noProof/>
                        </w:rPr>
                        <w:t>https://evaluation.treasury.gov.au/toolkit/what-evaluation</w:t>
                      </w:r>
                      <w:r w:rsidRPr="0067118F">
                        <w:rPr>
                          <w:rFonts w:asciiTheme="minorHAnsi" w:hAnsiTheme="minorHAnsi" w:cstheme="minorHAnsi"/>
                          <w:noProof/>
                        </w:rPr>
                        <w:t>.</w:t>
                      </w:r>
                    </w:p>
                    <w:p w14:paraId="5ACF8150"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6. </w:t>
                      </w:r>
                      <w:r w:rsidRPr="0067118F">
                        <w:rPr>
                          <w:rFonts w:asciiTheme="minorHAnsi" w:hAnsiTheme="minorHAnsi" w:cstheme="minorHAnsi"/>
                          <w:b/>
                          <w:bCs/>
                          <w:noProof/>
                        </w:rPr>
                        <w:t>Blignault, Ilse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The value of partnerships: lessons from a multi-site evaluation of a national social and emotional wellbeing program for Indigenous youth. </w:t>
                      </w:r>
                      <w:r w:rsidRPr="0067118F">
                        <w:rPr>
                          <w:rFonts w:asciiTheme="minorHAnsi" w:hAnsiTheme="minorHAnsi" w:cstheme="minorHAnsi"/>
                          <w:noProof/>
                        </w:rPr>
                        <w:t>s.l. : Australian and New Zealand Journal of Public Health, 2015.</w:t>
                      </w:r>
                    </w:p>
                    <w:p w14:paraId="65A0C270"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7. </w:t>
                      </w:r>
                      <w:r w:rsidRPr="0067118F">
                        <w:rPr>
                          <w:rFonts w:asciiTheme="minorHAnsi" w:hAnsiTheme="minorHAnsi" w:cstheme="minorHAnsi"/>
                          <w:b/>
                          <w:bCs/>
                          <w:noProof/>
                        </w:rPr>
                        <w:t>Browne, Jennifer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Food and nutrition programs for Aboriginal and Torres Strait Islander Australians: an overview of systematic reviews. </w:t>
                      </w:r>
                      <w:r w:rsidRPr="0067118F">
                        <w:rPr>
                          <w:rFonts w:asciiTheme="minorHAnsi" w:hAnsiTheme="minorHAnsi" w:cstheme="minorHAnsi"/>
                          <w:noProof/>
                        </w:rPr>
                        <w:t>s.l. : Australian Health Review, 2018.</w:t>
                      </w:r>
                    </w:p>
                    <w:p w14:paraId="63501D80" w14:textId="182BEA9D"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8. </w:t>
                      </w:r>
                      <w:r w:rsidRPr="0067118F">
                        <w:rPr>
                          <w:rFonts w:asciiTheme="minorHAnsi" w:hAnsiTheme="minorHAnsi" w:cstheme="minorHAnsi"/>
                          <w:b/>
                          <w:bCs/>
                          <w:noProof/>
                        </w:rPr>
                        <w:t xml:space="preserve">Australian Government: </w:t>
                      </w:r>
                      <w:r w:rsidR="00D83811">
                        <w:rPr>
                          <w:rFonts w:asciiTheme="minorHAnsi" w:hAnsiTheme="minorHAnsi" w:cstheme="minorHAnsi"/>
                          <w:b/>
                          <w:bCs/>
                          <w:noProof/>
                        </w:rPr>
                        <w:t>The Treasury</w:t>
                      </w:r>
                      <w:r w:rsidRPr="0067118F">
                        <w:rPr>
                          <w:rFonts w:asciiTheme="minorHAnsi" w:hAnsiTheme="minorHAnsi" w:cstheme="minorHAnsi"/>
                          <w:b/>
                          <w:bCs/>
                          <w:noProof/>
                        </w:rPr>
                        <w:t>.</w:t>
                      </w:r>
                      <w:r w:rsidRPr="0067118F">
                        <w:rPr>
                          <w:rFonts w:asciiTheme="minorHAnsi" w:hAnsiTheme="minorHAnsi" w:cstheme="minorHAnsi"/>
                          <w:noProof/>
                        </w:rPr>
                        <w:t xml:space="preserve"> When to evaluate? [Online] 2021.</w:t>
                      </w:r>
                      <w:r w:rsidR="00D83811" w:rsidRPr="00D83811">
                        <w:t xml:space="preserve"> </w:t>
                      </w:r>
                      <w:r w:rsidR="00D83811" w:rsidRPr="00D83811">
                        <w:rPr>
                          <w:rFonts w:asciiTheme="minorHAnsi" w:hAnsiTheme="minorHAnsi" w:cstheme="minorHAnsi"/>
                          <w:noProof/>
                        </w:rPr>
                        <w:t>https://evaluation.treasury.gov.au/toolkit/when-evaluate</w:t>
                      </w:r>
                      <w:r w:rsidRPr="0067118F">
                        <w:rPr>
                          <w:rFonts w:asciiTheme="minorHAnsi" w:hAnsiTheme="minorHAnsi" w:cstheme="minorHAnsi"/>
                          <w:noProof/>
                        </w:rPr>
                        <w:t>.</w:t>
                      </w:r>
                    </w:p>
                    <w:p w14:paraId="1388970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9. </w:t>
                      </w:r>
                      <w:r w:rsidRPr="0067118F">
                        <w:rPr>
                          <w:rFonts w:asciiTheme="minorHAnsi" w:hAnsiTheme="minorHAnsi" w:cstheme="minorHAnsi"/>
                          <w:b/>
                          <w:bCs/>
                          <w:noProof/>
                        </w:rPr>
                        <w:t>Campbell, Brayden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'joint' approach: design, implementation and preliminary outcomes of an early conservative knee and hip osteoarthritis service in northern New South Wales, Australia. </w:t>
                      </w:r>
                      <w:r w:rsidRPr="0067118F">
                        <w:rPr>
                          <w:rFonts w:asciiTheme="minorHAnsi" w:hAnsiTheme="minorHAnsi" w:cstheme="minorHAnsi"/>
                          <w:noProof/>
                        </w:rPr>
                        <w:t>2020.</w:t>
                      </w:r>
                    </w:p>
                    <w:p w14:paraId="7A16FE72"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10. </w:t>
                      </w:r>
                      <w:r w:rsidRPr="0067118F">
                        <w:rPr>
                          <w:rFonts w:asciiTheme="minorHAnsi" w:hAnsiTheme="minorHAnsi" w:cstheme="minorHAnsi"/>
                          <w:b/>
                          <w:bCs/>
                          <w:noProof/>
                        </w:rPr>
                        <w:t>Dabkowski, Elissa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An exploration into suicide prevention initiatives for mental health nurses: A systematic literature review. </w:t>
                      </w:r>
                      <w:r w:rsidRPr="0067118F">
                        <w:rPr>
                          <w:rFonts w:asciiTheme="minorHAnsi" w:hAnsiTheme="minorHAnsi" w:cstheme="minorHAnsi"/>
                          <w:noProof/>
                        </w:rPr>
                        <w:t>s.l. : International Journal of Mental Health Nursing, 2021.</w:t>
                      </w:r>
                    </w:p>
                    <w:p w14:paraId="5F2C54DF"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11. </w:t>
                      </w:r>
                      <w:r w:rsidRPr="0067118F">
                        <w:rPr>
                          <w:rFonts w:asciiTheme="minorHAnsi" w:hAnsiTheme="minorHAnsi" w:cstheme="minorHAnsi"/>
                          <w:b/>
                          <w:bCs/>
                          <w:noProof/>
                        </w:rPr>
                        <w:t>Australian Government Department of Veterans' Affairs.</w:t>
                      </w:r>
                      <w:r w:rsidRPr="0067118F">
                        <w:rPr>
                          <w:rFonts w:asciiTheme="minorHAnsi" w:hAnsiTheme="minorHAnsi" w:cstheme="minorHAnsi"/>
                          <w:noProof/>
                        </w:rPr>
                        <w:t xml:space="preserve"> Our Wellbeing Landscape. 2018.</w:t>
                      </w:r>
                    </w:p>
                    <w:p w14:paraId="42C0D9C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12. </w:t>
                      </w:r>
                      <w:r w:rsidRPr="0067118F">
                        <w:rPr>
                          <w:rFonts w:asciiTheme="minorHAnsi" w:hAnsiTheme="minorHAnsi" w:cstheme="minorHAnsi"/>
                          <w:b/>
                          <w:bCs/>
                          <w:noProof/>
                        </w:rPr>
                        <w:t>Doran, Christopher M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Impact and Return on Investment of the Take Kare Safe Space Program - A Harm Reduction Strategy Implemented in Sydney, Australia. </w:t>
                      </w:r>
                      <w:r w:rsidRPr="0067118F">
                        <w:rPr>
                          <w:rFonts w:asciiTheme="minorHAnsi" w:hAnsiTheme="minorHAnsi" w:cstheme="minorHAnsi"/>
                          <w:noProof/>
                        </w:rPr>
                        <w:t>2021.</w:t>
                      </w:r>
                    </w:p>
                    <w:p w14:paraId="7B6FC7A3"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13. </w:t>
                      </w:r>
                      <w:r w:rsidRPr="0067118F">
                        <w:rPr>
                          <w:rFonts w:asciiTheme="minorHAnsi" w:hAnsiTheme="minorHAnsi" w:cstheme="minorHAnsi"/>
                          <w:b/>
                          <w:bCs/>
                          <w:noProof/>
                        </w:rPr>
                        <w:t>Davies, Jenny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Developing an Australian health and aged care research agenda: a systematic review of evidence at the subacute interface. </w:t>
                      </w:r>
                      <w:r w:rsidRPr="0067118F">
                        <w:rPr>
                          <w:rFonts w:asciiTheme="minorHAnsi" w:hAnsiTheme="minorHAnsi" w:cstheme="minorHAnsi"/>
                          <w:noProof/>
                        </w:rPr>
                        <w:t>2016.</w:t>
                      </w:r>
                    </w:p>
                    <w:p w14:paraId="0A4AAD55"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14. </w:t>
                      </w:r>
                      <w:r w:rsidRPr="0067118F">
                        <w:rPr>
                          <w:rFonts w:asciiTheme="minorHAnsi" w:hAnsiTheme="minorHAnsi" w:cstheme="minorHAnsi"/>
                          <w:b/>
                          <w:bCs/>
                          <w:noProof/>
                        </w:rPr>
                        <w:t>KPMG.</w:t>
                      </w:r>
                      <w:r w:rsidRPr="0067118F">
                        <w:rPr>
                          <w:rFonts w:asciiTheme="minorHAnsi" w:hAnsiTheme="minorHAnsi" w:cstheme="minorHAnsi"/>
                          <w:noProof/>
                        </w:rPr>
                        <w:t xml:space="preserve"> </w:t>
                      </w:r>
                      <w:r w:rsidRPr="0067118F">
                        <w:rPr>
                          <w:rFonts w:asciiTheme="minorHAnsi" w:hAnsiTheme="minorHAnsi" w:cstheme="minorHAnsi"/>
                          <w:i/>
                          <w:iCs/>
                          <w:noProof/>
                        </w:rPr>
                        <w:t xml:space="preserve">Evaluation and review of the National Suicide Prevention Leadership and Support Program. </w:t>
                      </w:r>
                      <w:r w:rsidRPr="0067118F">
                        <w:rPr>
                          <w:rFonts w:asciiTheme="minorHAnsi" w:hAnsiTheme="minorHAnsi" w:cstheme="minorHAnsi"/>
                          <w:noProof/>
                        </w:rPr>
                        <w:t>2021.</w:t>
                      </w:r>
                    </w:p>
                    <w:p w14:paraId="6DE845C1"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15. </w:t>
                      </w:r>
                      <w:r w:rsidRPr="0067118F">
                        <w:rPr>
                          <w:rFonts w:asciiTheme="minorHAnsi" w:hAnsiTheme="minorHAnsi" w:cstheme="minorHAnsi"/>
                          <w:b/>
                          <w:bCs/>
                          <w:noProof/>
                        </w:rPr>
                        <w:t>Deans, C.</w:t>
                      </w:r>
                      <w:r w:rsidRPr="0067118F">
                        <w:rPr>
                          <w:rFonts w:asciiTheme="minorHAnsi" w:hAnsiTheme="minorHAnsi" w:cstheme="minorHAnsi"/>
                          <w:noProof/>
                        </w:rPr>
                        <w:t xml:space="preserve"> </w:t>
                      </w:r>
                      <w:r w:rsidRPr="0067118F">
                        <w:rPr>
                          <w:rFonts w:asciiTheme="minorHAnsi" w:hAnsiTheme="minorHAnsi" w:cstheme="minorHAnsi"/>
                          <w:i/>
                          <w:iCs/>
                          <w:noProof/>
                        </w:rPr>
                        <w:t xml:space="preserve">Benefits and Employment and Care for Peer Support Staff in the Veteran Community: A Rapid Narrative Literature Review. </w:t>
                      </w:r>
                      <w:r w:rsidRPr="0067118F">
                        <w:rPr>
                          <w:rFonts w:asciiTheme="minorHAnsi" w:hAnsiTheme="minorHAnsi" w:cstheme="minorHAnsi"/>
                          <w:noProof/>
                        </w:rPr>
                        <w:t>2020.</w:t>
                      </w:r>
                    </w:p>
                    <w:p w14:paraId="02C8FFF1"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16. </w:t>
                      </w:r>
                      <w:r w:rsidRPr="0067118F">
                        <w:rPr>
                          <w:rFonts w:asciiTheme="minorHAnsi" w:hAnsiTheme="minorHAnsi" w:cstheme="minorHAnsi"/>
                          <w:b/>
                          <w:bCs/>
                          <w:noProof/>
                        </w:rPr>
                        <w:t>Australian Government Productivity Commission.</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Guide to Evaluation under the Indigenous Evaluation Strategy. </w:t>
                      </w:r>
                      <w:r w:rsidRPr="0067118F">
                        <w:rPr>
                          <w:rFonts w:asciiTheme="minorHAnsi" w:hAnsiTheme="minorHAnsi" w:cstheme="minorHAnsi"/>
                          <w:noProof/>
                        </w:rPr>
                        <w:t>2020.</w:t>
                      </w:r>
                    </w:p>
                    <w:p w14:paraId="740F79B8"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17. </w:t>
                      </w:r>
                      <w:r w:rsidRPr="0067118F">
                        <w:rPr>
                          <w:rFonts w:asciiTheme="minorHAnsi" w:hAnsiTheme="minorHAnsi" w:cstheme="minorHAnsi"/>
                          <w:b/>
                          <w:bCs/>
                          <w:noProof/>
                        </w:rPr>
                        <w:t>Marsden, Elisabeth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structure and process evaluation of the geriatric emergency department intervention model. </w:t>
                      </w:r>
                      <w:r w:rsidRPr="0067118F">
                        <w:rPr>
                          <w:rFonts w:asciiTheme="minorHAnsi" w:hAnsiTheme="minorHAnsi" w:cstheme="minorHAnsi"/>
                          <w:noProof/>
                        </w:rPr>
                        <w:t>2021.</w:t>
                      </w:r>
                    </w:p>
                    <w:p w14:paraId="10BD7864"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18. </w:t>
                      </w:r>
                      <w:r w:rsidRPr="0067118F">
                        <w:rPr>
                          <w:rFonts w:asciiTheme="minorHAnsi" w:hAnsiTheme="minorHAnsi" w:cstheme="minorHAnsi"/>
                          <w:b/>
                          <w:bCs/>
                          <w:noProof/>
                        </w:rPr>
                        <w:t>Geia, Lynore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Adolescent and young adult substance use in Australian Indigenous Communities: a systematic review of demand control program outcomes. </w:t>
                      </w:r>
                      <w:r w:rsidRPr="0067118F">
                        <w:rPr>
                          <w:rFonts w:asciiTheme="minorHAnsi" w:hAnsiTheme="minorHAnsi" w:cstheme="minorHAnsi"/>
                          <w:noProof/>
                        </w:rPr>
                        <w:t>s.l. : Australian and New Zealand Journal of Public Health, 2018.</w:t>
                      </w:r>
                    </w:p>
                    <w:p w14:paraId="4FC05823"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19. </w:t>
                      </w:r>
                      <w:r w:rsidRPr="0067118F">
                        <w:rPr>
                          <w:rFonts w:asciiTheme="minorHAnsi" w:hAnsiTheme="minorHAnsi" w:cstheme="minorHAnsi"/>
                          <w:b/>
                          <w:bCs/>
                          <w:noProof/>
                        </w:rPr>
                        <w:t>Centers for Disease Control and Prevention.</w:t>
                      </w:r>
                      <w:r w:rsidRPr="0067118F">
                        <w:rPr>
                          <w:rFonts w:asciiTheme="minorHAnsi" w:hAnsiTheme="minorHAnsi" w:cstheme="minorHAnsi"/>
                          <w:noProof/>
                        </w:rPr>
                        <w:t xml:space="preserve"> CDC Coffee Break: Evaluative Thinking: Strategies for reflective thinking in your organisation. [Online] https://www.cdc.gov/dhdsp/docs/CB-June2018-508.pdf.</w:t>
                      </w:r>
                    </w:p>
                    <w:p w14:paraId="21021F51"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20. </w:t>
                      </w:r>
                      <w:r w:rsidRPr="0067118F">
                        <w:rPr>
                          <w:rFonts w:asciiTheme="minorHAnsi" w:hAnsiTheme="minorHAnsi" w:cstheme="minorHAnsi"/>
                          <w:b/>
                          <w:bCs/>
                          <w:noProof/>
                        </w:rPr>
                        <w:t>Moreton, Sam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Economic and clinical outcomes of the nurse practitioner-led Sydney Adventist Hospital Community Palliative Care Service. </w:t>
                      </w:r>
                      <w:r w:rsidRPr="0067118F">
                        <w:rPr>
                          <w:rFonts w:asciiTheme="minorHAnsi" w:hAnsiTheme="minorHAnsi" w:cstheme="minorHAnsi"/>
                          <w:noProof/>
                        </w:rPr>
                        <w:t>2020.</w:t>
                      </w:r>
                    </w:p>
                    <w:p w14:paraId="69782FC7"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21. </w:t>
                      </w:r>
                      <w:r w:rsidRPr="0067118F">
                        <w:rPr>
                          <w:rFonts w:asciiTheme="minorHAnsi" w:hAnsiTheme="minorHAnsi" w:cstheme="minorHAnsi"/>
                          <w:b/>
                          <w:bCs/>
                          <w:noProof/>
                        </w:rPr>
                        <w:t>Lee, Xing Ju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Review of methods and study designs of evaluations related to clinical pathways. </w:t>
                      </w:r>
                      <w:r w:rsidRPr="0067118F">
                        <w:rPr>
                          <w:rFonts w:asciiTheme="minorHAnsi" w:hAnsiTheme="minorHAnsi" w:cstheme="minorHAnsi"/>
                          <w:noProof/>
                        </w:rPr>
                        <w:t>2019.</w:t>
                      </w:r>
                    </w:p>
                    <w:p w14:paraId="42CDDED4"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22. </w:t>
                      </w:r>
                      <w:r w:rsidRPr="0067118F">
                        <w:rPr>
                          <w:rFonts w:asciiTheme="minorHAnsi" w:hAnsiTheme="minorHAnsi" w:cstheme="minorHAnsi"/>
                          <w:b/>
                          <w:bCs/>
                          <w:noProof/>
                        </w:rPr>
                        <w:t>Centers for Disease Control and Prevention.</w:t>
                      </w:r>
                      <w:r w:rsidRPr="0067118F">
                        <w:rPr>
                          <w:rFonts w:asciiTheme="minorHAnsi" w:hAnsiTheme="minorHAnsi" w:cstheme="minorHAnsi"/>
                          <w:noProof/>
                        </w:rPr>
                        <w:t xml:space="preserve"> Types of evaluation. </w:t>
                      </w:r>
                      <w:r w:rsidRPr="0067118F">
                        <w:rPr>
                          <w:rFonts w:asciiTheme="minorHAnsi" w:hAnsiTheme="minorHAnsi" w:cstheme="minorHAnsi"/>
                          <w:i/>
                          <w:iCs/>
                          <w:noProof/>
                        </w:rPr>
                        <w:t xml:space="preserve">Program Performance and Evaluation Office (PPEO). </w:t>
                      </w:r>
                      <w:r w:rsidRPr="0067118F">
                        <w:rPr>
                          <w:rFonts w:asciiTheme="minorHAnsi" w:hAnsiTheme="minorHAnsi" w:cstheme="minorHAnsi"/>
                          <w:noProof/>
                        </w:rPr>
                        <w:t>[Online] https://www.cdc.gov/std/program/pupestd/types%20of%20evaluation.pdf.</w:t>
                      </w:r>
                    </w:p>
                    <w:p w14:paraId="6EEA3651"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23. </w:t>
                      </w:r>
                      <w:r w:rsidRPr="0067118F">
                        <w:rPr>
                          <w:rFonts w:asciiTheme="minorHAnsi" w:hAnsiTheme="minorHAnsi" w:cstheme="minorHAnsi"/>
                          <w:b/>
                          <w:bCs/>
                          <w:noProof/>
                        </w:rPr>
                        <w:t>Perceval, Meg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Evaluation of the SCARF Well-Being and Suicide Prevention Program for Rural Australian Communities. </w:t>
                      </w:r>
                      <w:r w:rsidRPr="0067118F">
                        <w:rPr>
                          <w:rFonts w:asciiTheme="minorHAnsi" w:hAnsiTheme="minorHAnsi" w:cstheme="minorHAnsi"/>
                          <w:noProof/>
                        </w:rPr>
                        <w:t>2019.</w:t>
                      </w:r>
                    </w:p>
                    <w:p w14:paraId="2A32B052"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24. </w:t>
                      </w:r>
                      <w:r w:rsidRPr="0067118F">
                        <w:rPr>
                          <w:rFonts w:asciiTheme="minorHAnsi" w:hAnsiTheme="minorHAnsi" w:cstheme="minorHAnsi"/>
                          <w:b/>
                          <w:bCs/>
                          <w:noProof/>
                        </w:rPr>
                        <w:t>Lim, Megan, S. C.,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Reach, engagement, and effectiveness: a systematic review of evaluation methodologies used in health promotion via social networking sites. </w:t>
                      </w:r>
                      <w:r w:rsidRPr="0067118F">
                        <w:rPr>
                          <w:rFonts w:asciiTheme="minorHAnsi" w:hAnsiTheme="minorHAnsi" w:cstheme="minorHAnsi"/>
                          <w:noProof/>
                        </w:rPr>
                        <w:t>s.l. : Health Promotion Journal of Australia, 2016.</w:t>
                      </w:r>
                    </w:p>
                    <w:p w14:paraId="75A30D08"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25. </w:t>
                      </w:r>
                      <w:r w:rsidRPr="0067118F">
                        <w:rPr>
                          <w:rFonts w:asciiTheme="minorHAnsi" w:hAnsiTheme="minorHAnsi" w:cstheme="minorHAnsi"/>
                          <w:b/>
                          <w:bCs/>
                          <w:noProof/>
                        </w:rPr>
                        <w:t>Edwards, Barry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Building research and evaluation capacity in population health: the NSW Health approach. </w:t>
                      </w:r>
                      <w:r w:rsidRPr="0067118F">
                        <w:rPr>
                          <w:rFonts w:asciiTheme="minorHAnsi" w:hAnsiTheme="minorHAnsi" w:cstheme="minorHAnsi"/>
                          <w:noProof/>
                        </w:rPr>
                        <w:t>2016.</w:t>
                      </w:r>
                    </w:p>
                    <w:p w14:paraId="0B37E48B"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26. </w:t>
                      </w:r>
                      <w:r w:rsidRPr="0067118F">
                        <w:rPr>
                          <w:rFonts w:asciiTheme="minorHAnsi" w:hAnsiTheme="minorHAnsi" w:cstheme="minorHAnsi"/>
                          <w:b/>
                          <w:bCs/>
                          <w:noProof/>
                        </w:rPr>
                        <w:t>Rahja, Miia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Some gain for a small investment: An economic evaluation of an exercise program for people living in residential aged care. </w:t>
                      </w:r>
                      <w:r w:rsidRPr="0067118F">
                        <w:rPr>
                          <w:rFonts w:asciiTheme="minorHAnsi" w:hAnsiTheme="minorHAnsi" w:cstheme="minorHAnsi"/>
                          <w:noProof/>
                        </w:rPr>
                        <w:t>2020.</w:t>
                      </w:r>
                    </w:p>
                    <w:p w14:paraId="7A476D0D"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lastRenderedPageBreak/>
                        <w:t xml:space="preserve">27. </w:t>
                      </w:r>
                      <w:r w:rsidRPr="0067118F">
                        <w:rPr>
                          <w:rFonts w:asciiTheme="minorHAnsi" w:hAnsiTheme="minorHAnsi" w:cstheme="minorHAnsi"/>
                          <w:b/>
                          <w:bCs/>
                          <w:noProof/>
                        </w:rPr>
                        <w:t>Lokuge, Kamalini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Indigenous health program evaluation design and methods in Australia: a systematic review of the evidence. </w:t>
                      </w:r>
                      <w:r w:rsidRPr="0067118F">
                        <w:rPr>
                          <w:rFonts w:asciiTheme="minorHAnsi" w:hAnsiTheme="minorHAnsi" w:cstheme="minorHAnsi"/>
                          <w:noProof/>
                        </w:rPr>
                        <w:t>s.l. : Australian and New Zealand Journal of Public Health, 2017.</w:t>
                      </w:r>
                    </w:p>
                    <w:p w14:paraId="212F93A5"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28. </w:t>
                      </w:r>
                      <w:r w:rsidRPr="0067118F">
                        <w:rPr>
                          <w:rFonts w:asciiTheme="minorHAnsi" w:hAnsiTheme="minorHAnsi" w:cstheme="minorHAnsi"/>
                          <w:b/>
                          <w:bCs/>
                          <w:noProof/>
                        </w:rPr>
                        <w:t>NSW Government Department of Premier and Cabinet.</w:t>
                      </w:r>
                      <w:r w:rsidRPr="0067118F">
                        <w:rPr>
                          <w:rFonts w:asciiTheme="minorHAnsi" w:hAnsiTheme="minorHAnsi" w:cstheme="minorHAnsi"/>
                          <w:noProof/>
                        </w:rPr>
                        <w:t xml:space="preserve"> NSW Government Program Evaluation Guidelines. [Online] January 2016. https://www.cveevaluation.nsw.gov.au/__data/assets/pdf_file/0007/771757/nsw-government-program-evaluation-guidelines.pdf.</w:t>
                      </w:r>
                    </w:p>
                    <w:p w14:paraId="393FE79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29. </w:t>
                      </w:r>
                      <w:r w:rsidRPr="0067118F">
                        <w:rPr>
                          <w:rFonts w:asciiTheme="minorHAnsi" w:hAnsiTheme="minorHAnsi" w:cstheme="minorHAnsi"/>
                          <w:b/>
                          <w:bCs/>
                          <w:noProof/>
                        </w:rPr>
                        <w:t>Scott, Theresa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Implementation and evaluation of a driving cessation intervention to improve community mobility and wellbeing outcomes for people living with dementia: study protocol of the 'CarFreeMe' for people with dementia program. </w:t>
                      </w:r>
                      <w:r w:rsidRPr="0067118F">
                        <w:rPr>
                          <w:rFonts w:asciiTheme="minorHAnsi" w:hAnsiTheme="minorHAnsi" w:cstheme="minorHAnsi"/>
                          <w:noProof/>
                        </w:rPr>
                        <w:t>s.l. : BMC Geriatric, 2019.</w:t>
                      </w:r>
                    </w:p>
                    <w:p w14:paraId="63A4BD6F"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30. </w:t>
                      </w:r>
                      <w:r w:rsidRPr="0067118F">
                        <w:rPr>
                          <w:rFonts w:asciiTheme="minorHAnsi" w:hAnsiTheme="minorHAnsi" w:cstheme="minorHAnsi"/>
                          <w:b/>
                          <w:bCs/>
                          <w:noProof/>
                        </w:rPr>
                        <w:t>Newton, Danielle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review of Evidence‐Based Evaluation of Measures for Assessing Social and Emotional Well‐Being in Indigenous Australians. </w:t>
                      </w:r>
                      <w:r w:rsidRPr="0067118F">
                        <w:rPr>
                          <w:rFonts w:asciiTheme="minorHAnsi" w:hAnsiTheme="minorHAnsi" w:cstheme="minorHAnsi"/>
                          <w:noProof/>
                        </w:rPr>
                        <w:t>s.l. : Australian Psychologist, 2020.</w:t>
                      </w:r>
                    </w:p>
                    <w:p w14:paraId="420437E5"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31. </w:t>
                      </w:r>
                      <w:r w:rsidRPr="0067118F">
                        <w:rPr>
                          <w:rFonts w:asciiTheme="minorHAnsi" w:hAnsiTheme="minorHAnsi" w:cstheme="minorHAnsi"/>
                          <w:b/>
                          <w:bCs/>
                          <w:noProof/>
                        </w:rPr>
                        <w:t>NSW Ministry of Health: Centre for Epidemiology and Evidence.</w:t>
                      </w:r>
                      <w:r w:rsidRPr="0067118F">
                        <w:rPr>
                          <w:rFonts w:asciiTheme="minorHAnsi" w:hAnsiTheme="minorHAnsi" w:cstheme="minorHAnsi"/>
                          <w:noProof/>
                        </w:rPr>
                        <w:t xml:space="preserve"> Commissioning Evaluation Services: A Guide. </w:t>
                      </w:r>
                      <w:r w:rsidRPr="0067118F">
                        <w:rPr>
                          <w:rFonts w:asciiTheme="minorHAnsi" w:hAnsiTheme="minorHAnsi" w:cstheme="minorHAnsi"/>
                          <w:i/>
                          <w:iCs/>
                          <w:noProof/>
                        </w:rPr>
                        <w:t xml:space="preserve">NSW Health. </w:t>
                      </w:r>
                      <w:r w:rsidRPr="0067118F">
                        <w:rPr>
                          <w:rFonts w:asciiTheme="minorHAnsi" w:hAnsiTheme="minorHAnsi" w:cstheme="minorHAnsi"/>
                          <w:noProof/>
                        </w:rPr>
                        <w:t>[Online] September 2019. https://www.health.nsw.gov.au/research/Pages/evaluation-guide.aspx.</w:t>
                      </w:r>
                    </w:p>
                    <w:p w14:paraId="36E12D9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32. </w:t>
                      </w:r>
                      <w:r w:rsidRPr="0067118F">
                        <w:rPr>
                          <w:rFonts w:asciiTheme="minorHAnsi" w:hAnsiTheme="minorHAnsi" w:cstheme="minorHAnsi"/>
                          <w:b/>
                          <w:bCs/>
                          <w:noProof/>
                        </w:rPr>
                        <w:t>The George Institute of Global Health, EY, The University of Sydney .</w:t>
                      </w:r>
                      <w:r w:rsidRPr="0067118F">
                        <w:rPr>
                          <w:rFonts w:asciiTheme="minorHAnsi" w:hAnsiTheme="minorHAnsi" w:cstheme="minorHAnsi"/>
                          <w:noProof/>
                        </w:rPr>
                        <w:t xml:space="preserve"> </w:t>
                      </w:r>
                      <w:r w:rsidRPr="0067118F">
                        <w:rPr>
                          <w:rFonts w:asciiTheme="minorHAnsi" w:hAnsiTheme="minorHAnsi" w:cstheme="minorHAnsi"/>
                          <w:i/>
                          <w:iCs/>
                          <w:noProof/>
                        </w:rPr>
                        <w:t xml:space="preserve">Evaluation of the Early Psychosis Youth Services Program. </w:t>
                      </w:r>
                      <w:r w:rsidRPr="0067118F">
                        <w:rPr>
                          <w:rFonts w:asciiTheme="minorHAnsi" w:hAnsiTheme="minorHAnsi" w:cstheme="minorHAnsi"/>
                          <w:noProof/>
                        </w:rPr>
                        <w:t>2020.</w:t>
                      </w:r>
                    </w:p>
                    <w:p w14:paraId="779F2583"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33. </w:t>
                      </w:r>
                      <w:r w:rsidRPr="0067118F">
                        <w:rPr>
                          <w:rFonts w:asciiTheme="minorHAnsi" w:hAnsiTheme="minorHAnsi" w:cstheme="minorHAnsi"/>
                          <w:b/>
                          <w:bCs/>
                          <w:noProof/>
                        </w:rPr>
                        <w:t>Senanayake, Sameera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Impact and outcome evaluation of HealthPathways: a scoping review of published methodologies. </w:t>
                      </w:r>
                      <w:r w:rsidRPr="0067118F">
                        <w:rPr>
                          <w:rFonts w:asciiTheme="minorHAnsi" w:hAnsiTheme="minorHAnsi" w:cstheme="minorHAnsi"/>
                          <w:noProof/>
                        </w:rPr>
                        <w:t>s.l. : The Royal New Zealand College of General Practitioners, 2021.</w:t>
                      </w:r>
                    </w:p>
                    <w:p w14:paraId="2F6F181D"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34. </w:t>
                      </w:r>
                      <w:r w:rsidRPr="0067118F">
                        <w:rPr>
                          <w:rFonts w:asciiTheme="minorHAnsi" w:hAnsiTheme="minorHAnsi" w:cstheme="minorHAnsi"/>
                          <w:b/>
                          <w:bCs/>
                          <w:noProof/>
                        </w:rPr>
                        <w:t>NSW Ministry of Health, Centre for Epidemiology and Evidence.</w:t>
                      </w:r>
                      <w:r w:rsidRPr="0067118F">
                        <w:rPr>
                          <w:rFonts w:asciiTheme="minorHAnsi" w:hAnsiTheme="minorHAnsi" w:cstheme="minorHAnsi"/>
                          <w:noProof/>
                        </w:rPr>
                        <w:t xml:space="preserve"> Study Design for Evaluating Population Health and Health Service Interventions: A Guide. [Online] 2019. https://www.health.nsw.gov.au/research/Publications/study-design-guide.pdf.</w:t>
                      </w:r>
                    </w:p>
                    <w:p w14:paraId="53FCDE62"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35. </w:t>
                      </w:r>
                      <w:r w:rsidRPr="0067118F">
                        <w:rPr>
                          <w:rFonts w:asciiTheme="minorHAnsi" w:hAnsiTheme="minorHAnsi" w:cstheme="minorHAnsi"/>
                          <w:b/>
                          <w:bCs/>
                          <w:noProof/>
                        </w:rPr>
                        <w:t>Tjalaminu, Mia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An Evaluation of the National Empowerement Project Cultural, Social, and Emotional Wellbeing Program. </w:t>
                      </w:r>
                      <w:r w:rsidRPr="0067118F">
                        <w:rPr>
                          <w:rFonts w:asciiTheme="minorHAnsi" w:hAnsiTheme="minorHAnsi" w:cstheme="minorHAnsi"/>
                          <w:noProof/>
                        </w:rPr>
                        <w:t>s.l. : Journal of Indigenous Wellbeing, 2017.</w:t>
                      </w:r>
                    </w:p>
                    <w:p w14:paraId="26EC4B3E"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36. </w:t>
                      </w:r>
                      <w:r w:rsidRPr="0067118F">
                        <w:rPr>
                          <w:rFonts w:asciiTheme="minorHAnsi" w:hAnsiTheme="minorHAnsi" w:cstheme="minorHAnsi"/>
                          <w:b/>
                          <w:bCs/>
                          <w:noProof/>
                        </w:rPr>
                        <w:t>Snijder, Mieke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systematic review of studies evaluating Australian indigenous community development projects: the extent of community participation, their methodological quality and their outcomes. </w:t>
                      </w:r>
                      <w:r w:rsidRPr="0067118F">
                        <w:rPr>
                          <w:rFonts w:asciiTheme="minorHAnsi" w:hAnsiTheme="minorHAnsi" w:cstheme="minorHAnsi"/>
                          <w:noProof/>
                        </w:rPr>
                        <w:t>s.l. : BMC Public Health, 2015.</w:t>
                      </w:r>
                    </w:p>
                    <w:p w14:paraId="520F43BE"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37. </w:t>
                      </w:r>
                      <w:r w:rsidRPr="0067118F">
                        <w:rPr>
                          <w:rFonts w:asciiTheme="minorHAnsi" w:hAnsiTheme="minorHAnsi" w:cstheme="minorHAnsi"/>
                          <w:b/>
                          <w:bCs/>
                          <w:noProof/>
                        </w:rPr>
                        <w:t>Queensland Government Statistician's Office: Queensland Treasury.</w:t>
                      </w:r>
                      <w:r w:rsidRPr="0067118F">
                        <w:rPr>
                          <w:rFonts w:asciiTheme="minorHAnsi" w:hAnsiTheme="minorHAnsi" w:cstheme="minorHAnsi"/>
                          <w:noProof/>
                        </w:rPr>
                        <w:t xml:space="preserve"> Queensland Government Program Evaluation Guidelines, Second Edition. [Online] 2020. </w:t>
                      </w:r>
                    </w:p>
                    <w:p w14:paraId="2EA6AF0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38. </w:t>
                      </w:r>
                      <w:r w:rsidRPr="0067118F">
                        <w:rPr>
                          <w:rFonts w:asciiTheme="minorHAnsi" w:hAnsiTheme="minorHAnsi" w:cstheme="minorHAnsi"/>
                          <w:b/>
                          <w:bCs/>
                          <w:noProof/>
                        </w:rPr>
                        <w:t>Trankle, Steven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The Nepean Blue Mountains Partners in Recovery Evaluation. </w:t>
                      </w:r>
                      <w:r w:rsidRPr="0067118F">
                        <w:rPr>
                          <w:rFonts w:asciiTheme="minorHAnsi" w:hAnsiTheme="minorHAnsi" w:cstheme="minorHAnsi"/>
                          <w:noProof/>
                        </w:rPr>
                        <w:t>2015.</w:t>
                      </w:r>
                    </w:p>
                    <w:p w14:paraId="4B95AC08"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39. </w:t>
                      </w:r>
                      <w:r w:rsidRPr="0067118F">
                        <w:rPr>
                          <w:rFonts w:asciiTheme="minorHAnsi" w:hAnsiTheme="minorHAnsi" w:cstheme="minorHAnsi"/>
                          <w:b/>
                          <w:bCs/>
                          <w:noProof/>
                        </w:rPr>
                        <w:t>New Zealand Government: Social Policy and Research Unit (Superu).</w:t>
                      </w:r>
                      <w:r w:rsidRPr="0067118F">
                        <w:rPr>
                          <w:rFonts w:asciiTheme="minorHAnsi" w:hAnsiTheme="minorHAnsi" w:cstheme="minorHAnsi"/>
                          <w:noProof/>
                        </w:rPr>
                        <w:t xml:space="preserve"> </w:t>
                      </w:r>
                      <w:r w:rsidRPr="0067118F">
                        <w:rPr>
                          <w:rFonts w:asciiTheme="minorHAnsi" w:hAnsiTheme="minorHAnsi" w:cstheme="minorHAnsi"/>
                          <w:i/>
                          <w:iCs/>
                          <w:noProof/>
                        </w:rPr>
                        <w:t xml:space="preserve">Making sense of evaluation: A handbook for everyone. </w:t>
                      </w:r>
                      <w:r w:rsidRPr="0067118F">
                        <w:rPr>
                          <w:rFonts w:asciiTheme="minorHAnsi" w:hAnsiTheme="minorHAnsi" w:cstheme="minorHAnsi"/>
                          <w:noProof/>
                        </w:rPr>
                        <w:t>2017.</w:t>
                      </w:r>
                    </w:p>
                    <w:p w14:paraId="47F59ED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40. </w:t>
                      </w:r>
                      <w:r w:rsidRPr="0067118F">
                        <w:rPr>
                          <w:rFonts w:asciiTheme="minorHAnsi" w:hAnsiTheme="minorHAnsi" w:cstheme="minorHAnsi"/>
                          <w:b/>
                          <w:bCs/>
                          <w:noProof/>
                        </w:rPr>
                        <w:t>University of Queensland.</w:t>
                      </w:r>
                      <w:r w:rsidRPr="0067118F">
                        <w:rPr>
                          <w:rFonts w:asciiTheme="minorHAnsi" w:hAnsiTheme="minorHAnsi" w:cstheme="minorHAnsi"/>
                          <w:noProof/>
                        </w:rPr>
                        <w:t xml:space="preserve"> </w:t>
                      </w:r>
                      <w:r w:rsidRPr="0067118F">
                        <w:rPr>
                          <w:rFonts w:asciiTheme="minorHAnsi" w:hAnsiTheme="minorHAnsi" w:cstheme="minorHAnsi"/>
                          <w:i/>
                          <w:iCs/>
                          <w:noProof/>
                        </w:rPr>
                        <w:t xml:space="preserve">Evaluation of the Pharmaceutical Benefits Scheme Subsidised Take Home Naloxone Pilot. </w:t>
                      </w:r>
                      <w:r w:rsidRPr="0067118F">
                        <w:rPr>
                          <w:rFonts w:asciiTheme="minorHAnsi" w:hAnsiTheme="minorHAnsi" w:cstheme="minorHAnsi"/>
                          <w:noProof/>
                        </w:rPr>
                        <w:t>2022.</w:t>
                      </w:r>
                    </w:p>
                    <w:p w14:paraId="34DBD2E9"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41. </w:t>
                      </w:r>
                      <w:r w:rsidRPr="0067118F">
                        <w:rPr>
                          <w:rFonts w:asciiTheme="minorHAnsi" w:hAnsiTheme="minorHAnsi" w:cstheme="minorHAnsi"/>
                          <w:b/>
                          <w:bCs/>
                          <w:noProof/>
                        </w:rPr>
                        <w:t>UK Evaluation Society.</w:t>
                      </w:r>
                      <w:r w:rsidRPr="0067118F">
                        <w:rPr>
                          <w:rFonts w:asciiTheme="minorHAnsi" w:hAnsiTheme="minorHAnsi" w:cstheme="minorHAnsi"/>
                          <w:noProof/>
                        </w:rPr>
                        <w:t xml:space="preserve"> </w:t>
                      </w:r>
                      <w:r w:rsidRPr="0067118F">
                        <w:rPr>
                          <w:rFonts w:asciiTheme="minorHAnsi" w:hAnsiTheme="minorHAnsi" w:cstheme="minorHAnsi"/>
                          <w:i/>
                          <w:iCs/>
                          <w:noProof/>
                        </w:rPr>
                        <w:t xml:space="preserve">Guidelines for Good Practice in Evaluation . </w:t>
                      </w:r>
                      <w:r w:rsidRPr="0067118F">
                        <w:rPr>
                          <w:rFonts w:asciiTheme="minorHAnsi" w:hAnsiTheme="minorHAnsi" w:cstheme="minorHAnsi"/>
                          <w:noProof/>
                        </w:rPr>
                        <w:t>2018.</w:t>
                      </w:r>
                    </w:p>
                    <w:p w14:paraId="7036F395"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42. </w:t>
                      </w:r>
                      <w:r w:rsidRPr="0067118F">
                        <w:rPr>
                          <w:rFonts w:asciiTheme="minorHAnsi" w:hAnsiTheme="minorHAnsi" w:cstheme="minorHAnsi"/>
                          <w:b/>
                          <w:bCs/>
                          <w:noProof/>
                        </w:rPr>
                        <w:t>University of Melbourne.</w:t>
                      </w:r>
                      <w:r w:rsidRPr="0067118F">
                        <w:rPr>
                          <w:rFonts w:asciiTheme="minorHAnsi" w:hAnsiTheme="minorHAnsi" w:cstheme="minorHAnsi"/>
                          <w:noProof/>
                        </w:rPr>
                        <w:t xml:space="preserve"> </w:t>
                      </w:r>
                      <w:r w:rsidRPr="0067118F">
                        <w:rPr>
                          <w:rFonts w:asciiTheme="minorHAnsi" w:hAnsiTheme="minorHAnsi" w:cstheme="minorHAnsi"/>
                          <w:i/>
                          <w:iCs/>
                          <w:noProof/>
                        </w:rPr>
                        <w:t xml:space="preserve">National Suicide Prevention Trial. </w:t>
                      </w:r>
                      <w:r w:rsidRPr="0067118F">
                        <w:rPr>
                          <w:rFonts w:asciiTheme="minorHAnsi" w:hAnsiTheme="minorHAnsi" w:cstheme="minorHAnsi"/>
                          <w:noProof/>
                        </w:rPr>
                        <w:t>2020.</w:t>
                      </w:r>
                    </w:p>
                    <w:p w14:paraId="072B8B27"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43. </w:t>
                      </w:r>
                      <w:r w:rsidRPr="0067118F">
                        <w:rPr>
                          <w:rFonts w:asciiTheme="minorHAnsi" w:hAnsiTheme="minorHAnsi" w:cstheme="minorHAnsi"/>
                          <w:b/>
                          <w:bCs/>
                          <w:noProof/>
                        </w:rPr>
                        <w:t>Victorian Government Department of Health, Prevention and Population Health Branch.</w:t>
                      </w:r>
                      <w:r w:rsidRPr="0067118F">
                        <w:rPr>
                          <w:rFonts w:asciiTheme="minorHAnsi" w:hAnsiTheme="minorHAnsi" w:cstheme="minorHAnsi"/>
                          <w:noProof/>
                        </w:rPr>
                        <w:t xml:space="preserve"> Evaluation framework for health promotion and disease prevention programs. [Online] 2010. http://www.health.vic.gov.au/healthpromotion/evidence_evaluation/cdp_tools.htm.</w:t>
                      </w:r>
                    </w:p>
                    <w:p w14:paraId="2C85F990"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44. </w:t>
                      </w:r>
                      <w:r w:rsidRPr="0067118F">
                        <w:rPr>
                          <w:rFonts w:asciiTheme="minorHAnsi" w:hAnsiTheme="minorHAnsi" w:cstheme="minorHAnsi"/>
                          <w:b/>
                          <w:bCs/>
                          <w:noProof/>
                        </w:rPr>
                        <w:t>University of Queensland.</w:t>
                      </w:r>
                      <w:r w:rsidRPr="0067118F">
                        <w:rPr>
                          <w:rFonts w:asciiTheme="minorHAnsi" w:hAnsiTheme="minorHAnsi" w:cstheme="minorHAnsi"/>
                          <w:noProof/>
                        </w:rPr>
                        <w:t xml:space="preserve"> </w:t>
                      </w:r>
                      <w:r w:rsidRPr="0067118F">
                        <w:rPr>
                          <w:rFonts w:asciiTheme="minorHAnsi" w:hAnsiTheme="minorHAnsi" w:cstheme="minorHAnsi"/>
                          <w:i/>
                          <w:iCs/>
                          <w:noProof/>
                        </w:rPr>
                        <w:t xml:space="preserve">Final report for the overarching evaluation of the National Support for Child and Youth Mental Health Program. </w:t>
                      </w:r>
                      <w:r w:rsidRPr="0067118F">
                        <w:rPr>
                          <w:rFonts w:asciiTheme="minorHAnsi" w:hAnsiTheme="minorHAnsi" w:cstheme="minorHAnsi"/>
                          <w:noProof/>
                        </w:rPr>
                        <w:t>2021.</w:t>
                      </w:r>
                    </w:p>
                    <w:p w14:paraId="2AC3CB1A" w14:textId="77777777"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45. </w:t>
                      </w:r>
                      <w:r w:rsidRPr="0067118F">
                        <w:rPr>
                          <w:rFonts w:asciiTheme="minorHAnsi" w:hAnsiTheme="minorHAnsi" w:cstheme="minorHAnsi"/>
                          <w:b/>
                          <w:bCs/>
                          <w:noProof/>
                        </w:rPr>
                        <w:t>Volkov, Boris B. et al.</w:t>
                      </w:r>
                      <w:r w:rsidRPr="0067118F">
                        <w:rPr>
                          <w:rFonts w:asciiTheme="minorHAnsi" w:hAnsiTheme="minorHAnsi" w:cstheme="minorHAnsi"/>
                          <w:noProof/>
                        </w:rPr>
                        <w:t xml:space="preserve"> </w:t>
                      </w:r>
                      <w:r w:rsidRPr="0067118F">
                        <w:rPr>
                          <w:rFonts w:asciiTheme="minorHAnsi" w:hAnsiTheme="minorHAnsi" w:cstheme="minorHAnsi"/>
                          <w:i/>
                          <w:iCs/>
                          <w:noProof/>
                        </w:rPr>
                        <w:t xml:space="preserve">A Checklist for Building Organisational Evaluation Capacity. </w:t>
                      </w:r>
                      <w:r w:rsidRPr="0067118F">
                        <w:rPr>
                          <w:rFonts w:asciiTheme="minorHAnsi" w:hAnsiTheme="minorHAnsi" w:cstheme="minorHAnsi"/>
                          <w:noProof/>
                        </w:rPr>
                        <w:t>2007.</w:t>
                      </w:r>
                    </w:p>
                    <w:p w14:paraId="34536A5B" w14:textId="6759B0FB" w:rsidR="00710993" w:rsidRPr="0067118F" w:rsidRDefault="00710993" w:rsidP="00710993">
                      <w:pPr>
                        <w:pStyle w:val="Bibliography"/>
                        <w:rPr>
                          <w:rFonts w:asciiTheme="minorHAnsi" w:hAnsiTheme="minorHAnsi" w:cstheme="minorHAnsi"/>
                          <w:noProof/>
                        </w:rPr>
                      </w:pPr>
                      <w:r w:rsidRPr="0067118F">
                        <w:rPr>
                          <w:rFonts w:asciiTheme="minorHAnsi" w:hAnsiTheme="minorHAnsi" w:cstheme="minorHAnsi"/>
                          <w:noProof/>
                        </w:rPr>
                        <w:t xml:space="preserve">46. </w:t>
                      </w:r>
                      <w:r w:rsidR="00175FC2">
                        <w:rPr>
                          <w:rFonts w:asciiTheme="minorHAnsi" w:hAnsiTheme="minorHAnsi" w:cstheme="minorHAnsi"/>
                          <w:b/>
                          <w:bCs/>
                          <w:noProof/>
                        </w:rPr>
                        <w:t>Australian Government The Treasury</w:t>
                      </w:r>
                      <w:r w:rsidRPr="0067118F">
                        <w:rPr>
                          <w:rFonts w:asciiTheme="minorHAnsi" w:hAnsiTheme="minorHAnsi" w:cstheme="minorHAnsi"/>
                          <w:b/>
                          <w:bCs/>
                          <w:noProof/>
                        </w:rPr>
                        <w:t>.</w:t>
                      </w:r>
                      <w:r w:rsidRPr="0067118F">
                        <w:rPr>
                          <w:rFonts w:asciiTheme="minorHAnsi" w:hAnsiTheme="minorHAnsi" w:cstheme="minorHAnsi"/>
                          <w:noProof/>
                        </w:rPr>
                        <w:t xml:space="preserve"> Evaluation in the Commonwealth (RMG 130). [Online] 23 May 2022. </w:t>
                      </w:r>
                      <w:r w:rsidR="00175FC2" w:rsidRPr="00175FC2">
                        <w:rPr>
                          <w:rFonts w:asciiTheme="minorHAnsi" w:hAnsiTheme="minorHAnsi" w:cstheme="minorHAnsi"/>
                          <w:noProof/>
                        </w:rPr>
                        <w:t>https://evaluation.treasury.gov.au/toolkit/commonwealth-evaluation-toolkit</w:t>
                      </w:r>
                      <w:r w:rsidRPr="0067118F">
                        <w:rPr>
                          <w:rFonts w:asciiTheme="minorHAnsi" w:hAnsiTheme="minorHAnsi" w:cstheme="minorHAnsi"/>
                          <w:noProof/>
                        </w:rPr>
                        <w:t>.</w:t>
                      </w:r>
                    </w:p>
                    <w:p w14:paraId="35B32D41" w14:textId="77777777" w:rsidR="00676ACD" w:rsidRPr="00E54EA6" w:rsidRDefault="00676ACD" w:rsidP="00710993">
                      <w:pPr>
                        <w:rPr>
                          <w:rFonts w:cstheme="minorHAnsi"/>
                        </w:rPr>
                      </w:pPr>
                      <w:r w:rsidRPr="0067118F">
                        <w:rPr>
                          <w:rFonts w:cstheme="minorHAnsi"/>
                          <w:b/>
                          <w:sz w:val="20"/>
                          <w:szCs w:val="20"/>
                        </w:rPr>
                        <w:fldChar w:fldCharType="end"/>
                      </w:r>
                    </w:p>
                  </w:sdtContent>
                </w:sdt>
              </w:sdtContent>
            </w:sdt>
          </w:sdtContent>
        </w:sdt>
      </w:sdtContent>
    </w:sdt>
    <w:p w14:paraId="35DBEB6F" w14:textId="77777777" w:rsidR="00676ACD" w:rsidRDefault="00676ACD" w:rsidP="00676ACD">
      <w:pPr>
        <w:pStyle w:val="DVABodytextwithparaspace"/>
        <w:sectPr w:rsidR="00676ACD" w:rsidSect="00BA720D">
          <w:headerReference w:type="default" r:id="rId31"/>
          <w:pgSz w:w="11909" w:h="16834" w:code="9"/>
          <w:pgMar w:top="2818" w:right="1134" w:bottom="1418" w:left="1134" w:header="595" w:footer="454" w:gutter="0"/>
          <w:cols w:space="720"/>
          <w:docGrid w:linePitch="360"/>
        </w:sectPr>
      </w:pPr>
      <w:r w:rsidRPr="00E72B1E">
        <w:br w:type="page"/>
      </w:r>
    </w:p>
    <w:p w14:paraId="50E3CC7A" w14:textId="77777777" w:rsidR="00676ACD" w:rsidRPr="00E72B1E" w:rsidRDefault="00676ACD" w:rsidP="00676ACD">
      <w:pPr>
        <w:pStyle w:val="DVAAppendix"/>
      </w:pPr>
      <w:bookmarkStart w:id="160" w:name="_Ref105177271"/>
      <w:bookmarkStart w:id="161" w:name="_Ref105177274"/>
      <w:bookmarkStart w:id="162" w:name="_Ref105495321"/>
      <w:bookmarkStart w:id="163" w:name="_Ref105508667"/>
      <w:bookmarkStart w:id="164" w:name="_Ref105508681"/>
      <w:bookmarkStart w:id="165" w:name="_Ref105508701"/>
      <w:bookmarkStart w:id="166" w:name="_Ref105508769"/>
      <w:bookmarkStart w:id="167" w:name="_Ref105508859"/>
      <w:bookmarkStart w:id="168" w:name="_Toc105749451"/>
      <w:bookmarkStart w:id="169" w:name="_Toc107225304"/>
      <w:bookmarkStart w:id="170" w:name="_Toc105758426"/>
      <w:bookmarkStart w:id="171" w:name="_Toc110956301"/>
      <w:r>
        <w:lastRenderedPageBreak/>
        <w:t>Desktop</w:t>
      </w:r>
      <w:r w:rsidRPr="00E72B1E">
        <w:t xml:space="preserve"> literature review</w:t>
      </w:r>
      <w:bookmarkEnd w:id="158"/>
      <w:bookmarkEnd w:id="157"/>
      <w:r>
        <w:t xml:space="preserve"> </w:t>
      </w:r>
      <w:bookmarkEnd w:id="159"/>
      <w:r>
        <w:t>summary</w:t>
      </w:r>
      <w:bookmarkEnd w:id="160"/>
      <w:bookmarkEnd w:id="161"/>
      <w:bookmarkEnd w:id="162"/>
      <w:bookmarkEnd w:id="163"/>
      <w:bookmarkEnd w:id="164"/>
      <w:bookmarkEnd w:id="165"/>
      <w:bookmarkEnd w:id="166"/>
      <w:bookmarkEnd w:id="167"/>
      <w:bookmarkEnd w:id="168"/>
      <w:bookmarkEnd w:id="169"/>
      <w:bookmarkEnd w:id="170"/>
      <w:bookmarkEnd w:id="171"/>
    </w:p>
    <w:p w14:paraId="4E284547" w14:textId="49AF202E" w:rsidR="00676ACD" w:rsidRPr="00607500" w:rsidRDefault="00676ACD" w:rsidP="00676ACD">
      <w:pPr>
        <w:pStyle w:val="Caption"/>
      </w:pPr>
      <w:bookmarkStart w:id="172" w:name="_Ref105508789"/>
      <w:bookmarkStart w:id="173" w:name="_Ref105603809"/>
      <w:bookmarkStart w:id="174" w:name="_Ref105603772"/>
      <w:r>
        <w:t xml:space="preserve">Table </w:t>
      </w:r>
      <w:r>
        <w:fldChar w:fldCharType="begin"/>
      </w:r>
      <w:r>
        <w:instrText xml:space="preserve"> SEQ Table \* ARABIC </w:instrText>
      </w:r>
      <w:r>
        <w:fldChar w:fldCharType="separate"/>
      </w:r>
      <w:r w:rsidR="00812188">
        <w:rPr>
          <w:noProof/>
        </w:rPr>
        <w:t>16</w:t>
      </w:r>
      <w:r>
        <w:fldChar w:fldCharType="end"/>
      </w:r>
      <w:bookmarkEnd w:id="172"/>
      <w:bookmarkEnd w:id="173"/>
      <w:r>
        <w:t>: Evaluation and Policy Documents</w:t>
      </w:r>
      <w:bookmarkEnd w:id="174"/>
      <w:r>
        <w:t xml:space="preserve">  </w:t>
      </w:r>
    </w:p>
    <w:tbl>
      <w:tblPr>
        <w:tblStyle w:val="TableGrid"/>
        <w:tblW w:w="0" w:type="auto"/>
        <w:tblLook w:val="04A0" w:firstRow="1" w:lastRow="0" w:firstColumn="1" w:lastColumn="0" w:noHBand="0" w:noVBand="1"/>
      </w:tblPr>
      <w:tblGrid>
        <w:gridCol w:w="4957"/>
        <w:gridCol w:w="7938"/>
        <w:gridCol w:w="1093"/>
      </w:tblGrid>
      <w:tr w:rsidR="00676ACD" w:rsidRPr="00770B9A" w14:paraId="4781793A" w14:textId="77777777" w:rsidTr="007B5579">
        <w:tc>
          <w:tcPr>
            <w:tcW w:w="4957" w:type="dxa"/>
            <w:shd w:val="clear" w:color="auto" w:fill="1D3567"/>
          </w:tcPr>
          <w:p w14:paraId="79F69047" w14:textId="77777777" w:rsidR="00676ACD" w:rsidRPr="00770B9A" w:rsidRDefault="00676ACD" w:rsidP="007B5579">
            <w:pPr>
              <w:pStyle w:val="EYTableHeadingWhite"/>
              <w:rPr>
                <w:rFonts w:asciiTheme="minorHAnsi" w:hAnsiTheme="minorHAnsi" w:cstheme="minorHAnsi"/>
              </w:rPr>
            </w:pPr>
            <w:r w:rsidRPr="00770B9A">
              <w:rPr>
                <w:rFonts w:asciiTheme="minorHAnsi" w:hAnsiTheme="minorHAnsi" w:cstheme="minorHAnsi"/>
              </w:rPr>
              <w:t>Author/Organisation (reference)</w:t>
            </w:r>
          </w:p>
        </w:tc>
        <w:tc>
          <w:tcPr>
            <w:tcW w:w="7938" w:type="dxa"/>
            <w:shd w:val="clear" w:color="auto" w:fill="1D3567"/>
          </w:tcPr>
          <w:p w14:paraId="0309EBAF" w14:textId="77777777" w:rsidR="00676ACD" w:rsidRPr="00770B9A" w:rsidRDefault="00676ACD" w:rsidP="007B5579">
            <w:pPr>
              <w:pStyle w:val="EYTableHeadingWhite"/>
              <w:rPr>
                <w:rFonts w:asciiTheme="minorHAnsi" w:hAnsiTheme="minorHAnsi" w:cstheme="minorHAnsi"/>
              </w:rPr>
            </w:pPr>
            <w:r w:rsidRPr="00770B9A">
              <w:rPr>
                <w:rFonts w:asciiTheme="minorHAnsi" w:hAnsiTheme="minorHAnsi" w:cstheme="minorHAnsi"/>
              </w:rPr>
              <w:t>Document Title</w:t>
            </w:r>
          </w:p>
        </w:tc>
        <w:tc>
          <w:tcPr>
            <w:tcW w:w="1093" w:type="dxa"/>
            <w:shd w:val="clear" w:color="auto" w:fill="1D3567"/>
          </w:tcPr>
          <w:p w14:paraId="2EA33DAA" w14:textId="77777777" w:rsidR="00676ACD" w:rsidRPr="00770B9A" w:rsidRDefault="00676ACD" w:rsidP="007B5579">
            <w:pPr>
              <w:pStyle w:val="EYTableHeadingWhite"/>
              <w:rPr>
                <w:rFonts w:asciiTheme="minorHAnsi" w:hAnsiTheme="minorHAnsi" w:cstheme="minorHAnsi"/>
              </w:rPr>
            </w:pPr>
            <w:r w:rsidRPr="00770B9A">
              <w:rPr>
                <w:rFonts w:asciiTheme="minorHAnsi" w:hAnsiTheme="minorHAnsi" w:cstheme="minorHAnsi"/>
              </w:rPr>
              <w:t xml:space="preserve">Year </w:t>
            </w:r>
          </w:p>
        </w:tc>
      </w:tr>
      <w:tr w:rsidR="00676ACD" w:rsidRPr="00770B9A" w14:paraId="1C0AE941" w14:textId="77777777" w:rsidTr="007B5579">
        <w:tc>
          <w:tcPr>
            <w:tcW w:w="4957" w:type="dxa"/>
          </w:tcPr>
          <w:p w14:paraId="4D148813" w14:textId="590C9F0C"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Australian Government Department of Finance</w:t>
            </w:r>
            <w:r w:rsidRPr="00770B9A">
              <w:rPr>
                <w:rFonts w:asciiTheme="minorHAnsi" w:hAnsiTheme="minorHAnsi" w:cstheme="minorHAnsi"/>
              </w:rPr>
              <w:fldChar w:fldCharType="begin"/>
            </w:r>
            <w:r w:rsidRPr="00770B9A">
              <w:rPr>
                <w:rFonts w:asciiTheme="minorHAnsi" w:hAnsiTheme="minorHAnsi" w:cstheme="minorHAnsi"/>
              </w:rPr>
              <w:instrText xml:space="preserve"> CITATION Aus21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(2)</w:t>
            </w:r>
            <w:r w:rsidRPr="00770B9A">
              <w:rPr>
                <w:rFonts w:asciiTheme="minorHAnsi" w:hAnsiTheme="minorHAnsi" w:cstheme="minorHAnsi"/>
              </w:rPr>
              <w:fldChar w:fldCharType="end"/>
            </w:r>
          </w:p>
        </w:tc>
        <w:tc>
          <w:tcPr>
            <w:tcW w:w="7938" w:type="dxa"/>
          </w:tcPr>
          <w:p w14:paraId="27B53139"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How to evaluate?</w:t>
            </w:r>
          </w:p>
        </w:tc>
        <w:tc>
          <w:tcPr>
            <w:tcW w:w="1093" w:type="dxa"/>
          </w:tcPr>
          <w:p w14:paraId="6D2E15E5"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2021</w:t>
            </w:r>
          </w:p>
        </w:tc>
      </w:tr>
      <w:tr w:rsidR="00676ACD" w:rsidRPr="00770B9A" w14:paraId="3E908357" w14:textId="77777777" w:rsidTr="007B5579">
        <w:tc>
          <w:tcPr>
            <w:tcW w:w="4957" w:type="dxa"/>
          </w:tcPr>
          <w:p w14:paraId="69A32E37" w14:textId="4834C115"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Australian Government Department of Finance</w:t>
            </w:r>
            <w:r w:rsidRPr="00770B9A">
              <w:rPr>
                <w:rFonts w:asciiTheme="minorHAnsi" w:hAnsiTheme="minorHAnsi" w:cstheme="minorHAnsi"/>
              </w:rPr>
              <w:fldChar w:fldCharType="begin"/>
            </w:r>
            <w:r w:rsidRPr="00770B9A">
              <w:rPr>
                <w:rFonts w:asciiTheme="minorHAnsi" w:hAnsiTheme="minorHAnsi" w:cstheme="minorHAnsi"/>
              </w:rPr>
              <w:instrText xml:space="preserve"> CITATION Aus22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(5)</w:t>
            </w:r>
            <w:r w:rsidRPr="00770B9A">
              <w:rPr>
                <w:rFonts w:asciiTheme="minorHAnsi" w:hAnsiTheme="minorHAnsi" w:cstheme="minorHAnsi"/>
              </w:rPr>
              <w:fldChar w:fldCharType="end"/>
            </w:r>
          </w:p>
        </w:tc>
        <w:tc>
          <w:tcPr>
            <w:tcW w:w="7938" w:type="dxa"/>
          </w:tcPr>
          <w:p w14:paraId="3430D863"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What is evaluation?</w:t>
            </w:r>
          </w:p>
        </w:tc>
        <w:tc>
          <w:tcPr>
            <w:tcW w:w="1093" w:type="dxa"/>
          </w:tcPr>
          <w:p w14:paraId="50EA10BA"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2022</w:t>
            </w:r>
          </w:p>
        </w:tc>
      </w:tr>
      <w:tr w:rsidR="00676ACD" w:rsidRPr="00770B9A" w14:paraId="7C599787" w14:textId="77777777" w:rsidTr="007B5579">
        <w:tc>
          <w:tcPr>
            <w:tcW w:w="4957" w:type="dxa"/>
          </w:tcPr>
          <w:p w14:paraId="490B7D4B" w14:textId="2A1FF5B2"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Australian Government Department of Finance</w:t>
            </w:r>
            <w:r w:rsidRPr="00770B9A">
              <w:rPr>
                <w:rFonts w:asciiTheme="minorHAnsi" w:hAnsiTheme="minorHAnsi" w:cstheme="minorHAnsi"/>
              </w:rPr>
              <w:fldChar w:fldCharType="begin"/>
            </w:r>
            <w:r w:rsidRPr="00770B9A">
              <w:rPr>
                <w:rFonts w:asciiTheme="minorHAnsi" w:hAnsiTheme="minorHAnsi" w:cstheme="minorHAnsi"/>
              </w:rPr>
              <w:instrText xml:space="preserve"> CITATION Aus23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(8)</w:t>
            </w:r>
            <w:r w:rsidRPr="00770B9A">
              <w:rPr>
                <w:rFonts w:asciiTheme="minorHAnsi" w:hAnsiTheme="minorHAnsi" w:cstheme="minorHAnsi"/>
              </w:rPr>
              <w:fldChar w:fldCharType="end"/>
            </w:r>
          </w:p>
        </w:tc>
        <w:tc>
          <w:tcPr>
            <w:tcW w:w="7938" w:type="dxa"/>
          </w:tcPr>
          <w:p w14:paraId="58D2742C"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When to evaluate?</w:t>
            </w:r>
          </w:p>
        </w:tc>
        <w:tc>
          <w:tcPr>
            <w:tcW w:w="1093" w:type="dxa"/>
          </w:tcPr>
          <w:p w14:paraId="1CBF923B"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2021</w:t>
            </w:r>
          </w:p>
        </w:tc>
      </w:tr>
      <w:tr w:rsidR="00676ACD" w:rsidRPr="00770B9A" w14:paraId="70447BB9" w14:textId="77777777" w:rsidTr="007B5579">
        <w:tc>
          <w:tcPr>
            <w:tcW w:w="4957" w:type="dxa"/>
          </w:tcPr>
          <w:p w14:paraId="14171BCB" w14:textId="7429E03C" w:rsidR="00676ACD" w:rsidRPr="00770B9A" w:rsidRDefault="00676ACD" w:rsidP="007B5579">
            <w:pPr>
              <w:pStyle w:val="EYTabletext0"/>
              <w:rPr>
                <w:rFonts w:asciiTheme="minorHAnsi" w:hAnsiTheme="minorHAnsi" w:cstheme="minorHAnsi"/>
              </w:rPr>
            </w:pPr>
            <w:r>
              <w:rPr>
                <w:rFonts w:asciiTheme="minorHAnsi" w:hAnsiTheme="minorHAnsi" w:cstheme="minorHAnsi"/>
              </w:rPr>
              <w:t xml:space="preserve">Australian Government Department of Finance </w:t>
            </w:r>
            <w:sdt>
              <w:sdtPr>
                <w:rPr>
                  <w:rFonts w:asciiTheme="minorHAnsi" w:hAnsiTheme="minorHAnsi" w:cstheme="minorHAnsi"/>
                </w:rPr>
                <w:id w:val="-2055841720"/>
                <w:citation/>
              </w:sdtPr>
              <w:sdtEndPr/>
              <w:sdtContent>
                <w:r>
                  <w:rPr>
                    <w:rFonts w:asciiTheme="minorHAnsi" w:hAnsiTheme="minorHAnsi" w:cstheme="minorHAnsi"/>
                  </w:rPr>
                  <w:fldChar w:fldCharType="begin"/>
                </w:r>
                <w:r>
                  <w:rPr>
                    <w:rFonts w:asciiTheme="minorHAnsi" w:hAnsiTheme="minorHAnsi" w:cstheme="minorHAnsi"/>
                  </w:rPr>
                  <w:instrText xml:space="preserve"> CITATION Aus221 \l 3081 </w:instrText>
                </w:r>
                <w:r>
                  <w:rPr>
                    <w:rFonts w:asciiTheme="minorHAnsi" w:hAnsiTheme="minorHAnsi" w:cstheme="minorHAnsi"/>
                  </w:rPr>
                  <w:fldChar w:fldCharType="separate"/>
                </w:r>
                <w:r w:rsidR="00710993" w:rsidRPr="00710993">
                  <w:rPr>
                    <w:rFonts w:asciiTheme="minorHAnsi" w:hAnsiTheme="minorHAnsi" w:cstheme="minorHAnsi"/>
                    <w:noProof/>
                  </w:rPr>
                  <w:t>(46)</w:t>
                </w:r>
                <w:r>
                  <w:rPr>
                    <w:rFonts w:asciiTheme="minorHAnsi" w:hAnsiTheme="minorHAnsi" w:cstheme="minorHAnsi"/>
                  </w:rPr>
                  <w:fldChar w:fldCharType="end"/>
                </w:r>
              </w:sdtContent>
            </w:sdt>
          </w:p>
        </w:tc>
        <w:tc>
          <w:tcPr>
            <w:tcW w:w="7938" w:type="dxa"/>
          </w:tcPr>
          <w:p w14:paraId="5591F710" w14:textId="77777777" w:rsidR="00676ACD" w:rsidRPr="00770B9A" w:rsidRDefault="00676ACD" w:rsidP="007B5579">
            <w:pPr>
              <w:pStyle w:val="EYTabletext0"/>
              <w:rPr>
                <w:rFonts w:asciiTheme="minorHAnsi" w:hAnsiTheme="minorHAnsi" w:cstheme="minorHAnsi"/>
              </w:rPr>
            </w:pPr>
            <w:r>
              <w:rPr>
                <w:rFonts w:asciiTheme="minorHAnsi" w:hAnsiTheme="minorHAnsi" w:cstheme="minorHAnsi"/>
              </w:rPr>
              <w:t>Evaluation in the Commonwealth (RMG 130)</w:t>
            </w:r>
          </w:p>
        </w:tc>
        <w:tc>
          <w:tcPr>
            <w:tcW w:w="1093" w:type="dxa"/>
          </w:tcPr>
          <w:p w14:paraId="5BC0031E" w14:textId="77777777" w:rsidR="00676ACD" w:rsidRPr="00770B9A" w:rsidRDefault="00676ACD" w:rsidP="007B5579">
            <w:pPr>
              <w:pStyle w:val="EYTabletext0"/>
              <w:rPr>
                <w:rFonts w:asciiTheme="minorHAnsi" w:hAnsiTheme="minorHAnsi" w:cstheme="minorHAnsi"/>
              </w:rPr>
            </w:pPr>
            <w:r>
              <w:rPr>
                <w:rFonts w:asciiTheme="minorHAnsi" w:hAnsiTheme="minorHAnsi" w:cstheme="minorHAnsi"/>
              </w:rPr>
              <w:t>2022</w:t>
            </w:r>
          </w:p>
        </w:tc>
      </w:tr>
      <w:tr w:rsidR="00676ACD" w:rsidRPr="00770B9A" w14:paraId="605C01F8" w14:textId="77777777" w:rsidTr="007B5579">
        <w:tc>
          <w:tcPr>
            <w:tcW w:w="4957" w:type="dxa"/>
          </w:tcPr>
          <w:p w14:paraId="0E4B62A5" w14:textId="61AFFCD4"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 xml:space="preserve">Australian Government Department of Veterans' Affairs </w:t>
            </w:r>
            <w:r w:rsidRPr="00770B9A">
              <w:rPr>
                <w:rFonts w:asciiTheme="minorHAnsi" w:hAnsiTheme="minorHAnsi" w:cstheme="minorHAnsi"/>
              </w:rPr>
              <w:fldChar w:fldCharType="begin"/>
            </w:r>
            <w:r>
              <w:instrText xml:space="preserve"> CITATION Aus18 \l 3081 </w:instrText>
            </w:r>
            <w:r w:rsidRPr="00770B9A">
              <w:rPr>
                <w:rFonts w:asciiTheme="minorHAnsi" w:hAnsiTheme="minorHAnsi" w:cstheme="minorHAnsi"/>
              </w:rPr>
              <w:fldChar w:fldCharType="separate"/>
            </w:r>
            <w:r w:rsidR="00710993">
              <w:rPr>
                <w:noProof/>
              </w:rPr>
              <w:t xml:space="preserve"> (11)</w:t>
            </w:r>
            <w:r w:rsidRPr="00770B9A">
              <w:rPr>
                <w:rFonts w:asciiTheme="minorHAnsi" w:hAnsiTheme="minorHAnsi" w:cstheme="minorHAnsi"/>
              </w:rPr>
              <w:fldChar w:fldCharType="end"/>
            </w:r>
          </w:p>
        </w:tc>
        <w:tc>
          <w:tcPr>
            <w:tcW w:w="7938" w:type="dxa"/>
          </w:tcPr>
          <w:p w14:paraId="7D13FFEC"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Our Wellbeing Landscape</w:t>
            </w:r>
          </w:p>
        </w:tc>
        <w:tc>
          <w:tcPr>
            <w:tcW w:w="1093" w:type="dxa"/>
          </w:tcPr>
          <w:p w14:paraId="034DF27B"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2018</w:t>
            </w:r>
          </w:p>
        </w:tc>
      </w:tr>
      <w:tr w:rsidR="00676ACD" w:rsidRPr="00770B9A" w14:paraId="7EFD4D6B" w14:textId="77777777" w:rsidTr="007B5579">
        <w:tc>
          <w:tcPr>
            <w:tcW w:w="4957" w:type="dxa"/>
          </w:tcPr>
          <w:p w14:paraId="44C46428" w14:textId="34C600B0"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 xml:space="preserve">Australian Government Department of Veterans' Affairs </w:t>
            </w:r>
            <w:r>
              <w:rPr>
                <w:rFonts w:asciiTheme="minorHAnsi" w:hAnsiTheme="minorHAnsi" w:cstheme="minorHAnsi"/>
              </w:rPr>
              <w:fldChar w:fldCharType="begin"/>
            </w:r>
            <w:r>
              <w:rPr>
                <w:rFonts w:asciiTheme="minorHAnsi" w:hAnsiTheme="minorHAnsi" w:cstheme="minorHAnsi"/>
              </w:rPr>
              <w:instrText xml:space="preserve"> CITATION Aus \l 3081 </w:instrText>
            </w:r>
            <w:r>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(1)</w:t>
            </w:r>
            <w:r>
              <w:rPr>
                <w:rFonts w:asciiTheme="minorHAnsi" w:hAnsiTheme="minorHAnsi" w:cstheme="minorHAnsi"/>
              </w:rPr>
              <w:fldChar w:fldCharType="end"/>
            </w:r>
          </w:p>
        </w:tc>
        <w:tc>
          <w:tcPr>
            <w:tcW w:w="7938" w:type="dxa"/>
          </w:tcPr>
          <w:p w14:paraId="3D4333F0"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Additional program information provided by DVA</w:t>
            </w:r>
          </w:p>
        </w:tc>
        <w:tc>
          <w:tcPr>
            <w:tcW w:w="1093" w:type="dxa"/>
          </w:tcPr>
          <w:p w14:paraId="562C5D1F"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2022</w:t>
            </w:r>
          </w:p>
        </w:tc>
      </w:tr>
      <w:tr w:rsidR="00676ACD" w:rsidRPr="00770B9A" w14:paraId="7A40C703" w14:textId="77777777" w:rsidTr="007B5579">
        <w:tc>
          <w:tcPr>
            <w:tcW w:w="4957" w:type="dxa"/>
          </w:tcPr>
          <w:p w14:paraId="568FF5EF" w14:textId="49BB710C"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Australian Government Productivity Commission</w:t>
            </w:r>
            <w:sdt>
              <w:sdtPr>
                <w:rPr>
                  <w:rFonts w:asciiTheme="minorHAnsi" w:hAnsiTheme="minorHAnsi" w:cstheme="minorHAnsi"/>
                </w:rPr>
                <w:id w:val="-1283732534"/>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Com20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(16)</w:t>
                </w:r>
                <w:r w:rsidRPr="00770B9A">
                  <w:rPr>
                    <w:rFonts w:asciiTheme="minorHAnsi" w:hAnsiTheme="minorHAnsi" w:cstheme="minorHAnsi"/>
                  </w:rPr>
                  <w:fldChar w:fldCharType="end"/>
                </w:r>
              </w:sdtContent>
            </w:sdt>
          </w:p>
        </w:tc>
        <w:tc>
          <w:tcPr>
            <w:tcW w:w="7938" w:type="dxa"/>
          </w:tcPr>
          <w:p w14:paraId="6BDAB999" w14:textId="77777777"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A Guide to Evaluation under the Indigenous Evaluation Strategy</w:t>
            </w:r>
          </w:p>
        </w:tc>
        <w:tc>
          <w:tcPr>
            <w:tcW w:w="1093" w:type="dxa"/>
          </w:tcPr>
          <w:p w14:paraId="410F1260" w14:textId="77777777"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2020</w:t>
            </w:r>
          </w:p>
        </w:tc>
      </w:tr>
      <w:tr w:rsidR="00676ACD" w:rsidRPr="00770B9A" w14:paraId="509A5C5B" w14:textId="77777777" w:rsidTr="007B5579">
        <w:tc>
          <w:tcPr>
            <w:tcW w:w="4957" w:type="dxa"/>
          </w:tcPr>
          <w:p w14:paraId="221FABA3" w14:textId="5084A926"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Centers for Disease Control and Prevention</w:t>
            </w:r>
            <w:sdt>
              <w:sdtPr>
                <w:rPr>
                  <w:rFonts w:asciiTheme="minorHAnsi" w:hAnsiTheme="minorHAnsi" w:cstheme="minorHAnsi"/>
                </w:rPr>
                <w:id w:val="-1325663800"/>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Cen22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(19)</w:t>
                </w:r>
                <w:r w:rsidRPr="00770B9A">
                  <w:rPr>
                    <w:rFonts w:asciiTheme="minorHAnsi" w:hAnsiTheme="minorHAnsi" w:cstheme="minorHAnsi"/>
                  </w:rPr>
                  <w:fldChar w:fldCharType="end"/>
                </w:r>
              </w:sdtContent>
            </w:sdt>
          </w:p>
        </w:tc>
        <w:tc>
          <w:tcPr>
            <w:tcW w:w="7938" w:type="dxa"/>
          </w:tcPr>
          <w:p w14:paraId="34085545"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CDC Coffee Break: Evaluative Thinking: Strategies for reflective thinking in your organisation</w:t>
            </w:r>
          </w:p>
        </w:tc>
        <w:tc>
          <w:tcPr>
            <w:tcW w:w="1093" w:type="dxa"/>
          </w:tcPr>
          <w:p w14:paraId="3EBC15BA"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2018</w:t>
            </w:r>
          </w:p>
        </w:tc>
      </w:tr>
      <w:tr w:rsidR="00676ACD" w:rsidRPr="00770B9A" w14:paraId="0EAE3D05" w14:textId="77777777" w:rsidTr="007B5579">
        <w:tc>
          <w:tcPr>
            <w:tcW w:w="4957" w:type="dxa"/>
          </w:tcPr>
          <w:p w14:paraId="4CD5FC74" w14:textId="2F2F70AA"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Centers for Disease Control and Prevention</w:t>
            </w:r>
            <w:sdt>
              <w:sdtPr>
                <w:rPr>
                  <w:rFonts w:asciiTheme="minorHAnsi" w:hAnsiTheme="minorHAnsi" w:cstheme="minorHAnsi"/>
                </w:rPr>
                <w:id w:val="988211094"/>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Pre22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(22)</w:t>
                </w:r>
                <w:r w:rsidRPr="00770B9A">
                  <w:rPr>
                    <w:rFonts w:asciiTheme="minorHAnsi" w:hAnsiTheme="minorHAnsi" w:cstheme="minorHAnsi"/>
                  </w:rPr>
                  <w:fldChar w:fldCharType="end"/>
                </w:r>
              </w:sdtContent>
            </w:sdt>
          </w:p>
        </w:tc>
        <w:tc>
          <w:tcPr>
            <w:tcW w:w="7938" w:type="dxa"/>
          </w:tcPr>
          <w:p w14:paraId="4842CF79" w14:textId="77777777"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Types of evaluation. Program Performance and Evaluation Office (PPEO)</w:t>
            </w:r>
          </w:p>
        </w:tc>
        <w:tc>
          <w:tcPr>
            <w:tcW w:w="1093" w:type="dxa"/>
          </w:tcPr>
          <w:p w14:paraId="461E2CEC" w14:textId="77777777" w:rsidR="00676ACD" w:rsidRPr="00770B9A" w:rsidRDefault="00676ACD" w:rsidP="007B5579">
            <w:pPr>
              <w:pStyle w:val="EYTabletext0"/>
              <w:rPr>
                <w:rFonts w:asciiTheme="minorHAnsi" w:hAnsiTheme="minorHAnsi" w:cstheme="minorHAnsi"/>
                <w:b/>
              </w:rPr>
            </w:pPr>
            <w:r w:rsidRPr="00770B9A">
              <w:rPr>
                <w:rFonts w:asciiTheme="minorHAnsi" w:hAnsiTheme="minorHAnsi" w:cstheme="minorHAnsi"/>
              </w:rPr>
              <w:t>2007</w:t>
            </w:r>
          </w:p>
        </w:tc>
      </w:tr>
      <w:tr w:rsidR="00676ACD" w:rsidRPr="00770B9A" w14:paraId="7A568F33" w14:textId="77777777" w:rsidTr="007B5579">
        <w:tc>
          <w:tcPr>
            <w:tcW w:w="4957" w:type="dxa"/>
          </w:tcPr>
          <w:p w14:paraId="4D678FC7" w14:textId="781971AF"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 xml:space="preserve">Edwards, Barry et al. </w:t>
            </w:r>
            <w:sdt>
              <w:sdtPr>
                <w:rPr>
                  <w:rFonts w:asciiTheme="minorHAnsi" w:hAnsiTheme="minorHAnsi" w:cstheme="minorHAnsi"/>
                </w:rPr>
                <w:id w:val="-293132257"/>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Edw16 \l 3081 </w:instrText>
                </w:r>
                <w:r w:rsidRPr="00770B9A">
                  <w:rPr>
                    <w:rFonts w:asciiTheme="minorHAnsi" w:hAnsiTheme="minorHAnsi" w:cstheme="minorHAnsi"/>
                  </w:rPr>
                  <w:fldChar w:fldCharType="separate"/>
                </w:r>
                <w:r w:rsidR="00710993" w:rsidRPr="00710993">
                  <w:rPr>
                    <w:rFonts w:asciiTheme="minorHAnsi" w:hAnsiTheme="minorHAnsi" w:cstheme="minorHAnsi"/>
                    <w:noProof/>
                  </w:rPr>
                  <w:t>(25)</w:t>
                </w:r>
                <w:r w:rsidRPr="00770B9A">
                  <w:rPr>
                    <w:rFonts w:asciiTheme="minorHAnsi" w:hAnsiTheme="minorHAnsi" w:cstheme="minorHAnsi"/>
                  </w:rPr>
                  <w:fldChar w:fldCharType="end"/>
                </w:r>
              </w:sdtContent>
            </w:sdt>
          </w:p>
        </w:tc>
        <w:tc>
          <w:tcPr>
            <w:tcW w:w="7938" w:type="dxa"/>
          </w:tcPr>
          <w:p w14:paraId="1903B085"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Building research and evaluation capacity in population health: the NSW Health approach</w:t>
            </w:r>
          </w:p>
        </w:tc>
        <w:tc>
          <w:tcPr>
            <w:tcW w:w="1093" w:type="dxa"/>
          </w:tcPr>
          <w:p w14:paraId="3D978F05"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2016</w:t>
            </w:r>
          </w:p>
        </w:tc>
      </w:tr>
      <w:tr w:rsidR="00676ACD" w:rsidRPr="00770B9A" w14:paraId="5DF15666" w14:textId="77777777" w:rsidTr="007B5579">
        <w:tc>
          <w:tcPr>
            <w:tcW w:w="4957" w:type="dxa"/>
          </w:tcPr>
          <w:p w14:paraId="65C0964E" w14:textId="2D538248"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New Zealand Government: Social Policy and Research Unit (Superu)</w:t>
            </w:r>
            <w:sdt>
              <w:sdtPr>
                <w:rPr>
                  <w:rFonts w:asciiTheme="minorHAnsi" w:hAnsiTheme="minorHAnsi" w:cstheme="minorHAnsi"/>
                </w:rPr>
                <w:id w:val="594981902"/>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CITATION Soc17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(39)</w:t>
                </w:r>
                <w:r w:rsidRPr="00770B9A">
                  <w:rPr>
                    <w:rFonts w:asciiTheme="minorHAnsi" w:hAnsiTheme="minorHAnsi" w:cstheme="minorHAnsi"/>
                  </w:rPr>
                  <w:fldChar w:fldCharType="end"/>
                </w:r>
              </w:sdtContent>
            </w:sdt>
          </w:p>
        </w:tc>
        <w:tc>
          <w:tcPr>
            <w:tcW w:w="7938" w:type="dxa"/>
          </w:tcPr>
          <w:p w14:paraId="28531510"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Making sense of evaluation: A handbook for everyone</w:t>
            </w:r>
          </w:p>
        </w:tc>
        <w:tc>
          <w:tcPr>
            <w:tcW w:w="1093" w:type="dxa"/>
          </w:tcPr>
          <w:p w14:paraId="165BE1C7"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2017</w:t>
            </w:r>
          </w:p>
        </w:tc>
      </w:tr>
      <w:tr w:rsidR="00676ACD" w:rsidRPr="00770B9A" w14:paraId="5FE57F35" w14:textId="77777777" w:rsidTr="007B5579">
        <w:tc>
          <w:tcPr>
            <w:tcW w:w="4957" w:type="dxa"/>
          </w:tcPr>
          <w:p w14:paraId="0E8C6F5C" w14:textId="4B7C788D"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NSW Government Department of Premier and Cabinet</w:t>
            </w:r>
            <w:sdt>
              <w:sdtPr>
                <w:rPr>
                  <w:rFonts w:asciiTheme="minorHAnsi" w:hAnsiTheme="minorHAnsi" w:cstheme="minorHAnsi"/>
                </w:rPr>
                <w:id w:val="16743515"/>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NSW2016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(28)</w:t>
                </w:r>
                <w:r w:rsidRPr="00770B9A">
                  <w:rPr>
                    <w:rFonts w:asciiTheme="minorHAnsi" w:hAnsiTheme="minorHAnsi" w:cstheme="minorHAnsi"/>
                  </w:rPr>
                  <w:fldChar w:fldCharType="end"/>
                </w:r>
              </w:sdtContent>
            </w:sdt>
          </w:p>
        </w:tc>
        <w:tc>
          <w:tcPr>
            <w:tcW w:w="7938" w:type="dxa"/>
          </w:tcPr>
          <w:p w14:paraId="3C98C9E7"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NSW Government Program Evaluation Guidelines</w:t>
            </w:r>
          </w:p>
        </w:tc>
        <w:tc>
          <w:tcPr>
            <w:tcW w:w="1093" w:type="dxa"/>
          </w:tcPr>
          <w:p w14:paraId="4C868692"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2016</w:t>
            </w:r>
          </w:p>
        </w:tc>
      </w:tr>
      <w:tr w:rsidR="00676ACD" w:rsidRPr="00770B9A" w14:paraId="13AC405A" w14:textId="77777777" w:rsidTr="007B5579">
        <w:tc>
          <w:tcPr>
            <w:tcW w:w="4957" w:type="dxa"/>
          </w:tcPr>
          <w:p w14:paraId="024DEAE0" w14:textId="14C01803"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NSW Ministry of Health, Centre for Epidemiology and Evidence</w:t>
            </w:r>
            <w:sdt>
              <w:sdtPr>
                <w:rPr>
                  <w:rFonts w:asciiTheme="minorHAnsi" w:hAnsiTheme="minorHAnsi" w:cstheme="minorHAnsi"/>
                </w:rPr>
                <w:id w:val="-2138088797"/>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NSW19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(31)</w:t>
                </w:r>
                <w:r w:rsidRPr="00770B9A">
                  <w:rPr>
                    <w:rFonts w:asciiTheme="minorHAnsi" w:hAnsiTheme="minorHAnsi" w:cstheme="minorHAnsi"/>
                  </w:rPr>
                  <w:fldChar w:fldCharType="end"/>
                </w:r>
              </w:sdtContent>
            </w:sdt>
          </w:p>
        </w:tc>
        <w:tc>
          <w:tcPr>
            <w:tcW w:w="7938" w:type="dxa"/>
          </w:tcPr>
          <w:p w14:paraId="023845F5"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Commissioning Evaluation Services: A Guide</w:t>
            </w:r>
          </w:p>
        </w:tc>
        <w:tc>
          <w:tcPr>
            <w:tcW w:w="1093" w:type="dxa"/>
          </w:tcPr>
          <w:p w14:paraId="43E06C6C"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2019</w:t>
            </w:r>
          </w:p>
        </w:tc>
      </w:tr>
      <w:tr w:rsidR="00676ACD" w:rsidRPr="00770B9A" w14:paraId="6905FB76" w14:textId="77777777" w:rsidTr="007B5579">
        <w:tc>
          <w:tcPr>
            <w:tcW w:w="4957" w:type="dxa"/>
          </w:tcPr>
          <w:p w14:paraId="522D75B7" w14:textId="58C4131C"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NSW Ministry of Health, Centre for Epidemiology and Evidence</w:t>
            </w:r>
            <w:sdt>
              <w:sdtPr>
                <w:rPr>
                  <w:rFonts w:asciiTheme="minorHAnsi" w:hAnsiTheme="minorHAnsi" w:cstheme="minorHAnsi"/>
                </w:rPr>
                <w:id w:val="138465597"/>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NSW191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(34)</w:t>
                </w:r>
                <w:r w:rsidRPr="00770B9A">
                  <w:rPr>
                    <w:rFonts w:asciiTheme="minorHAnsi" w:hAnsiTheme="minorHAnsi" w:cstheme="minorHAnsi"/>
                  </w:rPr>
                  <w:fldChar w:fldCharType="end"/>
                </w:r>
              </w:sdtContent>
            </w:sdt>
          </w:p>
        </w:tc>
        <w:tc>
          <w:tcPr>
            <w:tcW w:w="7938" w:type="dxa"/>
          </w:tcPr>
          <w:p w14:paraId="3509D016"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Study Design for Evaluating Population Health and Health Service Interventions: A Guide</w:t>
            </w:r>
          </w:p>
        </w:tc>
        <w:tc>
          <w:tcPr>
            <w:tcW w:w="1093" w:type="dxa"/>
          </w:tcPr>
          <w:p w14:paraId="5480B754"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2019</w:t>
            </w:r>
          </w:p>
        </w:tc>
      </w:tr>
      <w:tr w:rsidR="00676ACD" w:rsidRPr="00770B9A" w14:paraId="71CFF152" w14:textId="77777777" w:rsidTr="007B5579">
        <w:tc>
          <w:tcPr>
            <w:tcW w:w="4957" w:type="dxa"/>
          </w:tcPr>
          <w:p w14:paraId="258CD7ED" w14:textId="5CF06EF2"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Queensland Government Statistician's Office, Queensland Treasury</w:t>
            </w:r>
            <w:sdt>
              <w:sdtPr>
                <w:rPr>
                  <w:rFonts w:asciiTheme="minorHAnsi" w:hAnsiTheme="minorHAnsi" w:cstheme="minorHAnsi"/>
                </w:rPr>
                <w:id w:val="-1908602194"/>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Que20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(37)</w:t>
                </w:r>
                <w:r w:rsidRPr="00770B9A">
                  <w:rPr>
                    <w:rFonts w:asciiTheme="minorHAnsi" w:hAnsiTheme="minorHAnsi" w:cstheme="minorHAnsi"/>
                  </w:rPr>
                  <w:fldChar w:fldCharType="end"/>
                </w:r>
              </w:sdtContent>
            </w:sdt>
          </w:p>
        </w:tc>
        <w:tc>
          <w:tcPr>
            <w:tcW w:w="7938" w:type="dxa"/>
          </w:tcPr>
          <w:p w14:paraId="274474D1"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Queensland Government Program Evaluation Guidelines, Second Edition</w:t>
            </w:r>
          </w:p>
        </w:tc>
        <w:tc>
          <w:tcPr>
            <w:tcW w:w="1093" w:type="dxa"/>
          </w:tcPr>
          <w:p w14:paraId="084247FA"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2020</w:t>
            </w:r>
          </w:p>
        </w:tc>
      </w:tr>
      <w:tr w:rsidR="00676ACD" w:rsidRPr="00770B9A" w14:paraId="3546F914" w14:textId="77777777" w:rsidTr="007B5579">
        <w:tc>
          <w:tcPr>
            <w:tcW w:w="4957" w:type="dxa"/>
          </w:tcPr>
          <w:p w14:paraId="5169DD22" w14:textId="22AA5CC5"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 xml:space="preserve">UK Evaluation Society </w:t>
            </w:r>
            <w:sdt>
              <w:sdtPr>
                <w:rPr>
                  <w:rFonts w:asciiTheme="minorHAnsi" w:hAnsiTheme="minorHAnsi" w:cstheme="minorHAnsi"/>
                </w:rPr>
                <w:id w:val="1947499655"/>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UKE18 \l 3081 </w:instrText>
                </w:r>
                <w:r w:rsidRPr="00770B9A">
                  <w:rPr>
                    <w:rFonts w:asciiTheme="minorHAnsi" w:hAnsiTheme="minorHAnsi" w:cstheme="minorHAnsi"/>
                  </w:rPr>
                  <w:fldChar w:fldCharType="separate"/>
                </w:r>
                <w:r w:rsidR="00710993" w:rsidRPr="00710993">
                  <w:rPr>
                    <w:rFonts w:asciiTheme="minorHAnsi" w:hAnsiTheme="minorHAnsi" w:cstheme="minorHAnsi"/>
                    <w:noProof/>
                  </w:rPr>
                  <w:t>(41)</w:t>
                </w:r>
                <w:r w:rsidRPr="00770B9A">
                  <w:rPr>
                    <w:rFonts w:asciiTheme="minorHAnsi" w:hAnsiTheme="minorHAnsi" w:cstheme="minorHAnsi"/>
                  </w:rPr>
                  <w:fldChar w:fldCharType="end"/>
                </w:r>
              </w:sdtContent>
            </w:sdt>
          </w:p>
        </w:tc>
        <w:tc>
          <w:tcPr>
            <w:tcW w:w="7938" w:type="dxa"/>
          </w:tcPr>
          <w:p w14:paraId="6555556A"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Guidelines for Good Practice in Evaluation</w:t>
            </w:r>
          </w:p>
        </w:tc>
        <w:tc>
          <w:tcPr>
            <w:tcW w:w="1093" w:type="dxa"/>
          </w:tcPr>
          <w:p w14:paraId="15BAAB36"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2018</w:t>
            </w:r>
          </w:p>
        </w:tc>
      </w:tr>
      <w:tr w:rsidR="00676ACD" w:rsidRPr="00770B9A" w14:paraId="641435F6" w14:textId="77777777" w:rsidTr="007B5579">
        <w:tc>
          <w:tcPr>
            <w:tcW w:w="4957" w:type="dxa"/>
          </w:tcPr>
          <w:p w14:paraId="7ECE5286" w14:textId="787308B2"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Victorian Government Department of Health, Prevention and Population Health Branch</w:t>
            </w:r>
            <w:sdt>
              <w:sdtPr>
                <w:rPr>
                  <w:rFonts w:asciiTheme="minorHAnsi" w:hAnsiTheme="minorHAnsi" w:cstheme="minorHAnsi"/>
                </w:rPr>
                <w:id w:val="-1807162129"/>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Vic10 \l 3081 </w:instrText>
                </w:r>
                <w:r w:rsidRPr="00770B9A">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(43)</w:t>
                </w:r>
                <w:r w:rsidRPr="00770B9A">
                  <w:rPr>
                    <w:rFonts w:asciiTheme="minorHAnsi" w:hAnsiTheme="minorHAnsi" w:cstheme="minorHAnsi"/>
                  </w:rPr>
                  <w:fldChar w:fldCharType="end"/>
                </w:r>
              </w:sdtContent>
            </w:sdt>
          </w:p>
        </w:tc>
        <w:tc>
          <w:tcPr>
            <w:tcW w:w="7938" w:type="dxa"/>
          </w:tcPr>
          <w:p w14:paraId="4C40CBDA"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Evaluation framework for health promotion and disease prevention programs</w:t>
            </w:r>
          </w:p>
        </w:tc>
        <w:tc>
          <w:tcPr>
            <w:tcW w:w="1093" w:type="dxa"/>
          </w:tcPr>
          <w:p w14:paraId="6CD936B2"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2010</w:t>
            </w:r>
          </w:p>
        </w:tc>
      </w:tr>
      <w:tr w:rsidR="00676ACD" w:rsidRPr="00770B9A" w14:paraId="607FC7BB" w14:textId="77777777" w:rsidTr="007B5579">
        <w:tc>
          <w:tcPr>
            <w:tcW w:w="4957" w:type="dxa"/>
          </w:tcPr>
          <w:p w14:paraId="7666FC66" w14:textId="7315AB46"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 xml:space="preserve">Volkov, Boris B. et al. </w:t>
            </w:r>
            <w:sdt>
              <w:sdtPr>
                <w:rPr>
                  <w:rFonts w:asciiTheme="minorHAnsi" w:hAnsiTheme="minorHAnsi" w:cstheme="minorHAnsi"/>
                </w:rPr>
                <w:id w:val="-993872279"/>
                <w:citation/>
              </w:sdtPr>
              <w:sdtEndPr/>
              <w:sdtContent>
                <w:r w:rsidRPr="00770B9A">
                  <w:rPr>
                    <w:rFonts w:asciiTheme="minorHAnsi" w:hAnsiTheme="minorHAnsi" w:cstheme="minorHAnsi"/>
                  </w:rPr>
                  <w:fldChar w:fldCharType="begin"/>
                </w:r>
                <w:r w:rsidRPr="00770B9A">
                  <w:rPr>
                    <w:rFonts w:asciiTheme="minorHAnsi" w:hAnsiTheme="minorHAnsi" w:cstheme="minorHAnsi"/>
                  </w:rPr>
                  <w:instrText xml:space="preserve"> CITATION Vol07 \l 3081 </w:instrText>
                </w:r>
                <w:r w:rsidRPr="00770B9A">
                  <w:rPr>
                    <w:rFonts w:asciiTheme="minorHAnsi" w:hAnsiTheme="minorHAnsi" w:cstheme="minorHAnsi"/>
                  </w:rPr>
                  <w:fldChar w:fldCharType="separate"/>
                </w:r>
                <w:r w:rsidR="00710993" w:rsidRPr="00710993">
                  <w:rPr>
                    <w:rFonts w:asciiTheme="minorHAnsi" w:hAnsiTheme="minorHAnsi" w:cstheme="minorHAnsi"/>
                    <w:noProof/>
                  </w:rPr>
                  <w:t>(45)</w:t>
                </w:r>
                <w:r w:rsidRPr="00770B9A">
                  <w:rPr>
                    <w:rFonts w:asciiTheme="minorHAnsi" w:hAnsiTheme="minorHAnsi" w:cstheme="minorHAnsi"/>
                  </w:rPr>
                  <w:fldChar w:fldCharType="end"/>
                </w:r>
              </w:sdtContent>
            </w:sdt>
          </w:p>
        </w:tc>
        <w:tc>
          <w:tcPr>
            <w:tcW w:w="7938" w:type="dxa"/>
          </w:tcPr>
          <w:p w14:paraId="67EDD3AE"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A Checklist for Building Organisational Evaluation Capacity</w:t>
            </w:r>
          </w:p>
        </w:tc>
        <w:tc>
          <w:tcPr>
            <w:tcW w:w="1093" w:type="dxa"/>
          </w:tcPr>
          <w:p w14:paraId="29DEB984" w14:textId="77777777" w:rsidR="00676ACD" w:rsidRPr="00770B9A" w:rsidRDefault="00676ACD" w:rsidP="007B5579">
            <w:pPr>
              <w:pStyle w:val="EYTabletext0"/>
              <w:rPr>
                <w:rFonts w:asciiTheme="minorHAnsi" w:hAnsiTheme="minorHAnsi" w:cstheme="minorHAnsi"/>
              </w:rPr>
            </w:pPr>
            <w:r w:rsidRPr="00770B9A">
              <w:rPr>
                <w:rFonts w:asciiTheme="minorHAnsi" w:hAnsiTheme="minorHAnsi" w:cstheme="minorHAnsi"/>
              </w:rPr>
              <w:t>2007</w:t>
            </w:r>
          </w:p>
        </w:tc>
      </w:tr>
    </w:tbl>
    <w:p w14:paraId="211E356A" w14:textId="77777777" w:rsidR="00676ACD" w:rsidRPr="005F7FC9" w:rsidRDefault="00676ACD" w:rsidP="00676ACD"/>
    <w:p w14:paraId="1EF3ED3D" w14:textId="1676C36F" w:rsidR="00676ACD" w:rsidRDefault="00676ACD" w:rsidP="00676ACD">
      <w:pPr>
        <w:pStyle w:val="Caption"/>
      </w:pPr>
      <w:r>
        <w:br w:type="column"/>
      </w:r>
      <w:bookmarkStart w:id="175" w:name="_Ref106717976"/>
      <w:r>
        <w:lastRenderedPageBreak/>
        <w:t xml:space="preserve">Table </w:t>
      </w:r>
      <w:r>
        <w:fldChar w:fldCharType="begin"/>
      </w:r>
      <w:r>
        <w:instrText xml:space="preserve"> SEQ Table \* ARABIC </w:instrText>
      </w:r>
      <w:r>
        <w:fldChar w:fldCharType="separate"/>
      </w:r>
      <w:r w:rsidR="00812188">
        <w:rPr>
          <w:noProof/>
        </w:rPr>
        <w:t>17</w:t>
      </w:r>
      <w:r>
        <w:fldChar w:fldCharType="end"/>
      </w:r>
      <w:bookmarkEnd w:id="175"/>
      <w:r>
        <w:t xml:space="preserve">: </w:t>
      </w:r>
      <w:bookmarkStart w:id="176" w:name="_Ref106717963"/>
      <w:r>
        <w:t>Program Evaluations</w:t>
      </w:r>
      <w:bookmarkEnd w:id="176"/>
      <w:r>
        <w:t xml:space="preserve"> </w:t>
      </w:r>
    </w:p>
    <w:tbl>
      <w:tblPr>
        <w:tblStyle w:val="TableGrid"/>
        <w:tblW w:w="0" w:type="auto"/>
        <w:tblLayout w:type="fixed"/>
        <w:tblLook w:val="04A0" w:firstRow="1" w:lastRow="0" w:firstColumn="1" w:lastColumn="0" w:noHBand="0" w:noVBand="1"/>
      </w:tblPr>
      <w:tblGrid>
        <w:gridCol w:w="997"/>
        <w:gridCol w:w="1523"/>
        <w:gridCol w:w="594"/>
        <w:gridCol w:w="1276"/>
        <w:gridCol w:w="2748"/>
        <w:gridCol w:w="992"/>
        <w:gridCol w:w="1221"/>
        <w:gridCol w:w="4449"/>
      </w:tblGrid>
      <w:tr w:rsidR="00676ACD" w14:paraId="42A826EB" w14:textId="77777777" w:rsidTr="007B5579">
        <w:trPr>
          <w:tblHeader/>
        </w:trPr>
        <w:tc>
          <w:tcPr>
            <w:tcW w:w="997" w:type="dxa"/>
            <w:shd w:val="clear" w:color="auto" w:fill="1D3567"/>
          </w:tcPr>
          <w:p w14:paraId="0EE10CD0"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Author</w:t>
            </w:r>
            <w:r>
              <w:rPr>
                <w:rFonts w:cstheme="minorHAnsi"/>
                <w:b/>
                <w:bCs/>
                <w:color w:val="FFFFFF" w:themeColor="background1"/>
                <w:sz w:val="16"/>
                <w:szCs w:val="16"/>
              </w:rPr>
              <w:t xml:space="preserve"> (reference)</w:t>
            </w:r>
          </w:p>
        </w:tc>
        <w:tc>
          <w:tcPr>
            <w:tcW w:w="1523" w:type="dxa"/>
            <w:shd w:val="clear" w:color="auto" w:fill="1D3567"/>
          </w:tcPr>
          <w:p w14:paraId="6AB53E42"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Article Title</w:t>
            </w:r>
          </w:p>
        </w:tc>
        <w:tc>
          <w:tcPr>
            <w:tcW w:w="594" w:type="dxa"/>
            <w:shd w:val="clear" w:color="auto" w:fill="1D3567"/>
          </w:tcPr>
          <w:p w14:paraId="46225ABE"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Year</w:t>
            </w:r>
          </w:p>
        </w:tc>
        <w:tc>
          <w:tcPr>
            <w:tcW w:w="1276" w:type="dxa"/>
            <w:shd w:val="clear" w:color="auto" w:fill="1D3567"/>
          </w:tcPr>
          <w:p w14:paraId="2F001306"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 xml:space="preserve">In-house or commissioned </w:t>
            </w:r>
          </w:p>
        </w:tc>
        <w:tc>
          <w:tcPr>
            <w:tcW w:w="2748" w:type="dxa"/>
            <w:shd w:val="clear" w:color="auto" w:fill="1D3567"/>
          </w:tcPr>
          <w:p w14:paraId="30E6AB84"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Program Description</w:t>
            </w:r>
          </w:p>
        </w:tc>
        <w:tc>
          <w:tcPr>
            <w:tcW w:w="992" w:type="dxa"/>
            <w:shd w:val="clear" w:color="auto" w:fill="1D3567"/>
          </w:tcPr>
          <w:p w14:paraId="1C4EB4BB"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Evaluation approach</w:t>
            </w:r>
          </w:p>
        </w:tc>
        <w:tc>
          <w:tcPr>
            <w:tcW w:w="1221" w:type="dxa"/>
            <w:shd w:val="clear" w:color="auto" w:fill="1D3567"/>
          </w:tcPr>
          <w:p w14:paraId="1278323E"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Relevance to DVA and their programs</w:t>
            </w:r>
          </w:p>
        </w:tc>
        <w:tc>
          <w:tcPr>
            <w:tcW w:w="4449" w:type="dxa"/>
            <w:shd w:val="clear" w:color="auto" w:fill="1D3567"/>
          </w:tcPr>
          <w:p w14:paraId="282C32DE" w14:textId="77777777" w:rsidR="00676ACD" w:rsidRPr="00D6251D" w:rsidRDefault="00676ACD" w:rsidP="007B5579">
            <w:pPr>
              <w:rPr>
                <w:rFonts w:cstheme="minorHAnsi"/>
                <w:b/>
                <w:bCs/>
                <w:color w:val="FFFFFF" w:themeColor="background1"/>
                <w:sz w:val="16"/>
                <w:szCs w:val="16"/>
              </w:rPr>
            </w:pPr>
            <w:r w:rsidRPr="00D6251D">
              <w:rPr>
                <w:rFonts w:cstheme="minorHAnsi"/>
                <w:b/>
                <w:bCs/>
                <w:color w:val="FFFFFF" w:themeColor="background1"/>
                <w:sz w:val="16"/>
                <w:szCs w:val="16"/>
              </w:rPr>
              <w:t xml:space="preserve">Relevant information </w:t>
            </w:r>
          </w:p>
        </w:tc>
      </w:tr>
      <w:tr w:rsidR="00676ACD" w14:paraId="7648D223" w14:textId="77777777" w:rsidTr="007B5579">
        <w:tc>
          <w:tcPr>
            <w:tcW w:w="997" w:type="dxa"/>
          </w:tcPr>
          <w:p w14:paraId="47E9EF05" w14:textId="3498600C"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 xml:space="preserve">Barton, Christian J et al. </w:t>
            </w:r>
            <w:r w:rsidRPr="00B8104C">
              <w:rPr>
                <w:rFonts w:asciiTheme="minorHAnsi" w:hAnsiTheme="minorHAnsi" w:cstheme="minorHAnsi"/>
              </w:rPr>
              <w:fldChar w:fldCharType="begin"/>
            </w:r>
            <w:r w:rsidRPr="00B8104C">
              <w:rPr>
                <w:rFonts w:asciiTheme="minorHAnsi" w:hAnsiTheme="minorHAnsi" w:cstheme="minorHAnsi"/>
              </w:rPr>
              <w:instrText xml:space="preserve">CITATION Bar21 \l 3081 </w:instrText>
            </w:r>
            <w:r w:rsidRPr="00B8104C">
              <w:rPr>
                <w:rFonts w:asciiTheme="minorHAnsi" w:hAnsiTheme="minorHAnsi" w:cstheme="minorHAnsi"/>
              </w:rPr>
              <w:fldChar w:fldCharType="separate"/>
            </w:r>
            <w:r w:rsidR="00710993">
              <w:rPr>
                <w:rFonts w:asciiTheme="minorHAnsi" w:hAnsiTheme="minorHAnsi" w:cstheme="minorHAnsi"/>
                <w:noProof/>
              </w:rPr>
              <w:t xml:space="preserve"> </w:t>
            </w:r>
            <w:r w:rsidR="00710993" w:rsidRPr="00710993">
              <w:rPr>
                <w:rFonts w:asciiTheme="minorHAnsi" w:hAnsiTheme="minorHAnsi" w:cstheme="minorHAnsi"/>
                <w:noProof/>
              </w:rPr>
              <w:t>(3)</w:t>
            </w:r>
            <w:r w:rsidRPr="00B8104C">
              <w:rPr>
                <w:rFonts w:asciiTheme="minorHAnsi" w:hAnsiTheme="minorHAnsi" w:cstheme="minorHAnsi"/>
              </w:rPr>
              <w:fldChar w:fldCharType="end"/>
            </w:r>
          </w:p>
        </w:tc>
        <w:tc>
          <w:tcPr>
            <w:tcW w:w="1523" w:type="dxa"/>
          </w:tcPr>
          <w:p w14:paraId="74837100"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Program evaluation of GLA:D Australia: Physiotherapist training outcomes and effectiveness of implementation for people with knee osteoarthritis</w:t>
            </w:r>
          </w:p>
        </w:tc>
        <w:tc>
          <w:tcPr>
            <w:tcW w:w="594" w:type="dxa"/>
          </w:tcPr>
          <w:p w14:paraId="7192F333"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2021</w:t>
            </w:r>
          </w:p>
        </w:tc>
        <w:tc>
          <w:tcPr>
            <w:tcW w:w="1276" w:type="dxa"/>
          </w:tcPr>
          <w:p w14:paraId="2D88E271"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In-house</w:t>
            </w:r>
          </w:p>
        </w:tc>
        <w:tc>
          <w:tcPr>
            <w:tcW w:w="2748" w:type="dxa"/>
          </w:tcPr>
          <w:p w14:paraId="7763C6B7"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This evaluation assessed the implementation of an education program to support Australian physiotherapists to deliver guideline-based patient education and exercise-therapy to people with hip and knee osteoarthritis</w:t>
            </w:r>
          </w:p>
        </w:tc>
        <w:tc>
          <w:tcPr>
            <w:tcW w:w="992" w:type="dxa"/>
          </w:tcPr>
          <w:p w14:paraId="49CB4720"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Not stated</w:t>
            </w:r>
          </w:p>
        </w:tc>
        <w:tc>
          <w:tcPr>
            <w:tcW w:w="1221" w:type="dxa"/>
          </w:tcPr>
          <w:p w14:paraId="16747F27"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 xml:space="preserve">Community care and support </w:t>
            </w:r>
          </w:p>
          <w:p w14:paraId="0E3EBD8F" w14:textId="77777777" w:rsidR="00676ACD" w:rsidRPr="00B8104C" w:rsidRDefault="00676ACD" w:rsidP="007B5579">
            <w:pPr>
              <w:pStyle w:val="EYTabletext0"/>
              <w:rPr>
                <w:rFonts w:asciiTheme="minorHAnsi" w:hAnsiTheme="minorHAnsi" w:cstheme="minorHAnsi"/>
              </w:rPr>
            </w:pPr>
            <w:r w:rsidRPr="00B8104C">
              <w:rPr>
                <w:rFonts w:asciiTheme="minorHAnsi" w:hAnsiTheme="minorHAnsi" w:cstheme="minorHAnsi"/>
              </w:rPr>
              <w:t>(relevant to Program 2.4)</w:t>
            </w:r>
          </w:p>
        </w:tc>
        <w:tc>
          <w:tcPr>
            <w:tcW w:w="4449" w:type="dxa"/>
          </w:tcPr>
          <w:p w14:paraId="17FAC7E1" w14:textId="77777777" w:rsidR="00676ACD" w:rsidRPr="00B8104C" w:rsidRDefault="00676ACD" w:rsidP="007B5579">
            <w:pPr>
              <w:pStyle w:val="EYTablebullet1"/>
              <w:rPr>
                <w:rFonts w:asciiTheme="minorHAnsi" w:hAnsiTheme="minorHAnsi" w:cstheme="minorHAnsi"/>
              </w:rPr>
            </w:pPr>
            <w:r w:rsidRPr="00B8104C">
              <w:rPr>
                <w:rFonts w:asciiTheme="minorHAnsi" w:hAnsiTheme="minorHAnsi" w:cstheme="minorHAnsi"/>
              </w:rPr>
              <w:t>Evaluation focused on education approaches for healthcare practitioners, rather than a health program working directly with patients</w:t>
            </w:r>
          </w:p>
          <w:p w14:paraId="0AD2CDAC" w14:textId="77777777" w:rsidR="00676ACD" w:rsidRPr="00B8104C" w:rsidRDefault="00676ACD" w:rsidP="007B5579">
            <w:pPr>
              <w:pStyle w:val="EYTablebullet1"/>
              <w:rPr>
                <w:rFonts w:asciiTheme="minorHAnsi" w:hAnsiTheme="minorHAnsi" w:cstheme="minorHAnsi"/>
              </w:rPr>
            </w:pPr>
            <w:r w:rsidRPr="00B8104C">
              <w:rPr>
                <w:rFonts w:asciiTheme="minorHAnsi" w:hAnsiTheme="minorHAnsi" w:cstheme="minorHAnsi"/>
              </w:rPr>
              <w:t>Whilst not stated - hypothesised process &amp; outcomes evaluation due to patient outcomes measures (outcomes) and established baseline data to examine effectiveness of implementation (process)</w:t>
            </w:r>
          </w:p>
          <w:p w14:paraId="5428E52C" w14:textId="77777777" w:rsidR="00676ACD" w:rsidRPr="00B8104C" w:rsidRDefault="00676ACD" w:rsidP="007B5579">
            <w:pPr>
              <w:pStyle w:val="EYTablebullet1"/>
              <w:rPr>
                <w:rFonts w:asciiTheme="minorHAnsi" w:hAnsiTheme="minorHAnsi" w:cstheme="minorHAnsi"/>
              </w:rPr>
            </w:pPr>
            <w:r w:rsidRPr="00B8104C">
              <w:rPr>
                <w:rFonts w:asciiTheme="minorHAnsi" w:hAnsiTheme="minorHAnsi" w:cstheme="minorHAnsi"/>
              </w:rPr>
              <w:t>Survey response rates were low - authors would recommend, for similar programs, considering if mandatory post-training testing of health professionals is appropriate to improve response rates</w:t>
            </w:r>
          </w:p>
          <w:p w14:paraId="3FECB0D6" w14:textId="77777777" w:rsidR="00676ACD" w:rsidRPr="00B8104C" w:rsidRDefault="00676ACD" w:rsidP="007B5579">
            <w:pPr>
              <w:pStyle w:val="EYTablebullet1"/>
              <w:rPr>
                <w:rFonts w:asciiTheme="minorHAnsi" w:hAnsiTheme="minorHAnsi" w:cstheme="minorHAnsi"/>
              </w:rPr>
            </w:pPr>
            <w:r w:rsidRPr="00B8104C">
              <w:rPr>
                <w:rFonts w:asciiTheme="minorHAnsi" w:hAnsiTheme="minorHAnsi" w:cstheme="minorHAnsi"/>
              </w:rPr>
              <w:t>A program logic was developed</w:t>
            </w:r>
          </w:p>
        </w:tc>
      </w:tr>
      <w:tr w:rsidR="00676ACD" w14:paraId="72A941E2" w14:textId="77777777" w:rsidTr="007B5579">
        <w:tc>
          <w:tcPr>
            <w:tcW w:w="997" w:type="dxa"/>
          </w:tcPr>
          <w:p w14:paraId="62B28518" w14:textId="4E828083"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Blignault, Ilse et al.</w:t>
            </w:r>
            <w:r w:rsidRPr="00B8104C">
              <w:rPr>
                <w:rFonts w:asciiTheme="minorHAnsi" w:hAnsiTheme="minorHAnsi" w:cstheme="minorHAnsi"/>
                <w:color w:val="000000"/>
                <w:szCs w:val="16"/>
              </w:rPr>
              <w:fldChar w:fldCharType="begin"/>
            </w:r>
            <w:r w:rsidRPr="00B8104C">
              <w:rPr>
                <w:rFonts w:asciiTheme="minorHAnsi" w:hAnsiTheme="minorHAnsi" w:cstheme="minorHAnsi"/>
                <w:color w:val="000000"/>
                <w:szCs w:val="16"/>
              </w:rPr>
              <w:instrText xml:space="preserve">CITATION Bli15 \l 3081 </w:instrText>
            </w:r>
            <w:r w:rsidRPr="00B8104C">
              <w:rPr>
                <w:rFonts w:asciiTheme="minorHAnsi" w:hAnsiTheme="minorHAnsi" w:cstheme="minorHAnsi"/>
                <w:color w:val="000000"/>
                <w:szCs w:val="16"/>
              </w:rPr>
              <w:fldChar w:fldCharType="separate"/>
            </w:r>
            <w:r w:rsidR="00710993">
              <w:rPr>
                <w:rFonts w:asciiTheme="minorHAnsi" w:hAnsiTheme="minorHAnsi" w:cstheme="minorHAnsi"/>
                <w:noProof/>
                <w:color w:val="000000"/>
                <w:szCs w:val="16"/>
              </w:rPr>
              <w:t xml:space="preserve"> </w:t>
            </w:r>
            <w:r w:rsidR="00710993" w:rsidRPr="00710993">
              <w:rPr>
                <w:rFonts w:asciiTheme="minorHAnsi" w:hAnsiTheme="minorHAnsi" w:cstheme="minorHAnsi"/>
                <w:noProof/>
                <w:color w:val="000000"/>
                <w:szCs w:val="16"/>
              </w:rPr>
              <w:t>(6)</w:t>
            </w:r>
            <w:r w:rsidRPr="00B8104C">
              <w:rPr>
                <w:rFonts w:asciiTheme="minorHAnsi" w:hAnsiTheme="minorHAnsi" w:cstheme="minorHAnsi"/>
                <w:color w:val="000000"/>
                <w:szCs w:val="16"/>
              </w:rPr>
              <w:fldChar w:fldCharType="end"/>
            </w:r>
          </w:p>
        </w:tc>
        <w:tc>
          <w:tcPr>
            <w:tcW w:w="1523" w:type="dxa"/>
          </w:tcPr>
          <w:p w14:paraId="75A8D7A3"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The value of partnerships: lessons from a multi-site evaluation of a national social and emotional wellbeing program for Indigenous youth</w:t>
            </w:r>
          </w:p>
        </w:tc>
        <w:tc>
          <w:tcPr>
            <w:tcW w:w="594" w:type="dxa"/>
          </w:tcPr>
          <w:p w14:paraId="696573F6"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2015</w:t>
            </w:r>
          </w:p>
        </w:tc>
        <w:tc>
          <w:tcPr>
            <w:tcW w:w="1276" w:type="dxa"/>
          </w:tcPr>
          <w:p w14:paraId="741E85FF"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Commissioned</w:t>
            </w:r>
          </w:p>
        </w:tc>
        <w:tc>
          <w:tcPr>
            <w:tcW w:w="2748" w:type="dxa"/>
          </w:tcPr>
          <w:p w14:paraId="52077B7A"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This evaluation assessed the first three years of a national program to improve the social and emotional wellbeing of Aboriginal and Torres Strait Islander young people aged 16-26 with a particular focus on depression, anxiety, violence and alcohol and other drug problems, by engaging young people and strengthening stakeholder and community responses to Aboriginal youth social and emotional wellbeing issues</w:t>
            </w:r>
          </w:p>
        </w:tc>
        <w:tc>
          <w:tcPr>
            <w:tcW w:w="992" w:type="dxa"/>
          </w:tcPr>
          <w:p w14:paraId="0418CA45"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Process &amp; outcomes</w:t>
            </w:r>
          </w:p>
        </w:tc>
        <w:tc>
          <w:tcPr>
            <w:tcW w:w="1221" w:type="dxa"/>
          </w:tcPr>
          <w:p w14:paraId="46146F77" w14:textId="77777777" w:rsidR="00676ACD" w:rsidRPr="00B8104C" w:rsidRDefault="00676ACD" w:rsidP="007B5579">
            <w:pPr>
              <w:pStyle w:val="EYTabletext0"/>
              <w:rPr>
                <w:rFonts w:asciiTheme="minorHAnsi" w:hAnsiTheme="minorHAnsi" w:cstheme="minorHAnsi"/>
                <w:szCs w:val="16"/>
              </w:rPr>
            </w:pPr>
            <w:r w:rsidRPr="00B8104C">
              <w:rPr>
                <w:rFonts w:asciiTheme="minorHAnsi" w:hAnsiTheme="minorHAnsi" w:cstheme="minorHAnsi"/>
                <w:color w:val="000000"/>
                <w:szCs w:val="16"/>
              </w:rPr>
              <w:t>Populations at increased risk (relevant to Mental and Social Health Programs)</w:t>
            </w:r>
          </w:p>
        </w:tc>
        <w:tc>
          <w:tcPr>
            <w:tcW w:w="4449" w:type="dxa"/>
          </w:tcPr>
          <w:p w14:paraId="1904FD20" w14:textId="77777777" w:rsidR="00676ACD" w:rsidRPr="00B8104C" w:rsidRDefault="00676ACD" w:rsidP="007B5579">
            <w:pPr>
              <w:pStyle w:val="EYTablebullet1"/>
              <w:rPr>
                <w:rFonts w:asciiTheme="minorHAnsi" w:hAnsiTheme="minorHAnsi" w:cstheme="minorHAnsi"/>
                <w:color w:val="000000"/>
                <w:szCs w:val="16"/>
              </w:rPr>
            </w:pPr>
            <w:r w:rsidRPr="00B8104C">
              <w:rPr>
                <w:rFonts w:asciiTheme="minorHAnsi" w:hAnsiTheme="minorHAnsi" w:cstheme="minorHAnsi"/>
                <w:color w:val="000000"/>
                <w:szCs w:val="16"/>
              </w:rPr>
              <w:t>Whilst this is a youth-based program, it is relevant as it focuses on supporting children within a vulnerable population (which is a future area of focus for DVA, with Kookaburra Kids)</w:t>
            </w:r>
          </w:p>
          <w:p w14:paraId="6F6F86BE" w14:textId="77777777" w:rsidR="00676ACD" w:rsidRPr="00B8104C" w:rsidRDefault="00676ACD" w:rsidP="007B5579">
            <w:pPr>
              <w:pStyle w:val="EYTablebullet1"/>
              <w:rPr>
                <w:rFonts w:asciiTheme="minorHAnsi" w:hAnsiTheme="minorHAnsi" w:cstheme="minorHAnsi"/>
                <w:color w:val="000000"/>
                <w:szCs w:val="16"/>
              </w:rPr>
            </w:pPr>
            <w:r w:rsidRPr="00B8104C">
              <w:rPr>
                <w:rFonts w:asciiTheme="minorHAnsi" w:hAnsiTheme="minorHAnsi" w:cstheme="minorHAnsi"/>
                <w:color w:val="000000"/>
                <w:szCs w:val="16"/>
              </w:rPr>
              <w:t>Evaluation combined elements of improvement-oriented open inquiry (drawing out lessons from the local communities, as well as through the program funder) and an audit review</w:t>
            </w:r>
          </w:p>
          <w:p w14:paraId="24912A3A" w14:textId="77777777" w:rsidR="00676ACD" w:rsidRPr="00B8104C" w:rsidRDefault="00676ACD" w:rsidP="007B5579">
            <w:pPr>
              <w:pStyle w:val="EYTablebullet1"/>
              <w:rPr>
                <w:rFonts w:asciiTheme="minorHAnsi" w:hAnsiTheme="minorHAnsi" w:cstheme="minorHAnsi"/>
                <w:color w:val="000000"/>
                <w:szCs w:val="16"/>
              </w:rPr>
            </w:pPr>
            <w:r w:rsidRPr="00B8104C">
              <w:rPr>
                <w:rFonts w:asciiTheme="minorHAnsi" w:hAnsiTheme="minorHAnsi" w:cstheme="minorHAnsi"/>
                <w:color w:val="000000"/>
                <w:szCs w:val="16"/>
              </w:rPr>
              <w:t>Culturally appropriate questioning to gather qualitative research was essential and an enabler for success for the evaluation</w:t>
            </w:r>
          </w:p>
          <w:p w14:paraId="700DA8A4" w14:textId="77777777" w:rsidR="00676ACD" w:rsidRPr="00B8104C" w:rsidRDefault="00676ACD" w:rsidP="007B5579">
            <w:pPr>
              <w:pStyle w:val="EYTablebullet1"/>
              <w:rPr>
                <w:rFonts w:asciiTheme="minorHAnsi" w:hAnsiTheme="minorHAnsi" w:cstheme="minorHAnsi"/>
                <w:color w:val="000000"/>
                <w:szCs w:val="16"/>
              </w:rPr>
            </w:pPr>
            <w:r w:rsidRPr="00B8104C">
              <w:rPr>
                <w:rFonts w:asciiTheme="minorHAnsi" w:hAnsiTheme="minorHAnsi" w:cstheme="minorHAnsi"/>
                <w:color w:val="000000"/>
                <w:szCs w:val="16"/>
              </w:rPr>
              <w:t>Authors noted that capturing the impact of community strengthening initiatives is not easy as a long-term view is required, especially in disadvantaged communities where circumstances can change rapidly</w:t>
            </w:r>
          </w:p>
          <w:p w14:paraId="570B96E9" w14:textId="77777777" w:rsidR="00676ACD" w:rsidRPr="00B8104C" w:rsidRDefault="00676ACD" w:rsidP="007B5579">
            <w:pPr>
              <w:pStyle w:val="EYTablebullet1"/>
              <w:rPr>
                <w:rFonts w:asciiTheme="minorHAnsi" w:hAnsiTheme="minorHAnsi" w:cstheme="minorHAnsi"/>
                <w:color w:val="000000"/>
                <w:szCs w:val="16"/>
              </w:rPr>
            </w:pPr>
            <w:r w:rsidRPr="00B8104C">
              <w:rPr>
                <w:rFonts w:asciiTheme="minorHAnsi" w:hAnsiTheme="minorHAnsi" w:cstheme="minorHAnsi"/>
                <w:color w:val="000000"/>
                <w:szCs w:val="16"/>
              </w:rPr>
              <w:t>Program logic developed with input from community and stakeholders</w:t>
            </w:r>
          </w:p>
        </w:tc>
      </w:tr>
      <w:tr w:rsidR="00676ACD" w14:paraId="22783F22" w14:textId="77777777" w:rsidTr="007B5579">
        <w:tc>
          <w:tcPr>
            <w:tcW w:w="997" w:type="dxa"/>
          </w:tcPr>
          <w:p w14:paraId="625161C0" w14:textId="3AE154B0"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Cam</w:t>
            </w:r>
            <w:r>
              <w:rPr>
                <w:rFonts w:asciiTheme="minorHAnsi" w:hAnsiTheme="minorHAnsi" w:cstheme="minorHAnsi"/>
                <w:color w:val="000000"/>
                <w:szCs w:val="16"/>
              </w:rPr>
              <w:t>p</w:t>
            </w:r>
            <w:r w:rsidRPr="00D6251D">
              <w:rPr>
                <w:rFonts w:asciiTheme="minorHAnsi" w:hAnsiTheme="minorHAnsi" w:cstheme="minorHAnsi"/>
                <w:color w:val="000000"/>
                <w:szCs w:val="16"/>
              </w:rPr>
              <w:t>bell, Brayden et al.</w:t>
            </w:r>
            <w:r>
              <w:rPr>
                <w:rFonts w:asciiTheme="minorHAnsi" w:hAnsiTheme="minorHAnsi" w:cstheme="minorHAnsi"/>
                <w:color w:val="000000"/>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CITATION Cam20 \l 3081 </w:instrText>
            </w:r>
            <w:r>
              <w:rPr>
                <w:rFonts w:asciiTheme="minorHAnsi" w:hAnsiTheme="minorHAnsi" w:cstheme="minorHAnsi"/>
                <w:szCs w:val="16"/>
              </w:rPr>
              <w:fldChar w:fldCharType="separate"/>
            </w:r>
            <w:r w:rsidR="00710993">
              <w:rPr>
                <w:rFonts w:asciiTheme="minorHAnsi" w:hAnsiTheme="minorHAnsi" w:cstheme="minorHAnsi"/>
                <w:noProof/>
                <w:szCs w:val="16"/>
              </w:rPr>
              <w:t xml:space="preserve"> </w:t>
            </w:r>
            <w:r w:rsidR="00710993" w:rsidRPr="00710993">
              <w:rPr>
                <w:rFonts w:asciiTheme="minorHAnsi" w:hAnsiTheme="minorHAnsi" w:cstheme="minorHAnsi"/>
                <w:noProof/>
                <w:szCs w:val="16"/>
              </w:rPr>
              <w:t>(9)</w:t>
            </w:r>
            <w:r>
              <w:rPr>
                <w:rFonts w:asciiTheme="minorHAnsi" w:hAnsiTheme="minorHAnsi" w:cstheme="minorHAnsi"/>
                <w:szCs w:val="16"/>
              </w:rPr>
              <w:fldChar w:fldCharType="end"/>
            </w:r>
          </w:p>
        </w:tc>
        <w:tc>
          <w:tcPr>
            <w:tcW w:w="1523" w:type="dxa"/>
          </w:tcPr>
          <w:p w14:paraId="671FFD41"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 xml:space="preserve">A 'joint' approach: design, implementation and preliminary outcomes of an early conservative knee and hip osteoarthritis </w:t>
            </w:r>
            <w:r w:rsidRPr="00D6251D">
              <w:rPr>
                <w:rFonts w:asciiTheme="minorHAnsi" w:hAnsiTheme="minorHAnsi" w:cstheme="minorHAnsi"/>
                <w:color w:val="000000"/>
                <w:szCs w:val="16"/>
              </w:rPr>
              <w:lastRenderedPageBreak/>
              <w:t>service in northern New South Wales, Australia</w:t>
            </w:r>
          </w:p>
        </w:tc>
        <w:tc>
          <w:tcPr>
            <w:tcW w:w="594" w:type="dxa"/>
          </w:tcPr>
          <w:p w14:paraId="5143A62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lastRenderedPageBreak/>
              <w:t>2020</w:t>
            </w:r>
          </w:p>
        </w:tc>
        <w:tc>
          <w:tcPr>
            <w:tcW w:w="1276" w:type="dxa"/>
          </w:tcPr>
          <w:p w14:paraId="2B4992C3"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40901AF5"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health-based conservative OA joint management service in the Tweed Valley</w:t>
            </w:r>
          </w:p>
        </w:tc>
        <w:tc>
          <w:tcPr>
            <w:tcW w:w="992" w:type="dxa"/>
          </w:tcPr>
          <w:p w14:paraId="7366F3DB"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Process &amp; outcomes</w:t>
            </w:r>
          </w:p>
        </w:tc>
        <w:tc>
          <w:tcPr>
            <w:tcW w:w="1221" w:type="dxa"/>
          </w:tcPr>
          <w:p w14:paraId="4FA60401"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Community care and support</w:t>
            </w:r>
          </w:p>
          <w:p w14:paraId="2EF4867C"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(relevant to Program 2.4)</w:t>
            </w:r>
          </w:p>
        </w:tc>
        <w:tc>
          <w:tcPr>
            <w:tcW w:w="4449" w:type="dxa"/>
          </w:tcPr>
          <w:p w14:paraId="75D82101"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Program logic developed by the funders of the program</w:t>
            </w:r>
          </w:p>
          <w:p w14:paraId="7F771B05"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Process evaluation was qualitative and the outcomes evaluation was quantitative</w:t>
            </w:r>
            <w:r w:rsidRPr="00E51CD5">
              <w:rPr>
                <w:rFonts w:asciiTheme="minorHAnsi" w:hAnsiTheme="minorHAnsi" w:cstheme="minorHAnsi"/>
                <w:color w:val="000000"/>
                <w:szCs w:val="16"/>
              </w:rPr>
              <w:t xml:space="preserve"> </w:t>
            </w:r>
          </w:p>
          <w:p w14:paraId="1754922B" w14:textId="77777777" w:rsidR="00676ACD" w:rsidRPr="00390735"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 xml:space="preserve">For further information see </w:t>
            </w:r>
            <w:r w:rsidRPr="00E51CD5">
              <w:rPr>
                <w:rFonts w:asciiTheme="minorHAnsi" w:hAnsiTheme="minorHAnsi" w:cstheme="minorHAnsi"/>
                <w:color w:val="000000"/>
                <w:szCs w:val="16"/>
              </w:rPr>
              <w:t xml:space="preserve">Deloitte Access Economics evaluation: </w:t>
            </w:r>
            <w:hyperlink r:id="rId32" w:history="1">
              <w:r w:rsidRPr="00E51CD5">
                <w:rPr>
                  <w:rStyle w:val="Hyperlink"/>
                  <w:rFonts w:asciiTheme="minorHAnsi" w:hAnsiTheme="minorHAnsi" w:cstheme="minorHAnsi"/>
                  <w:szCs w:val="16"/>
                </w:rPr>
                <w:t>http://eih.health.nsw.gov.au/__data/assets/pdf_file/0008/570869/OACCP-evaluation-feb-2015.pdf</w:t>
              </w:r>
            </w:hyperlink>
          </w:p>
        </w:tc>
      </w:tr>
      <w:tr w:rsidR="00676ACD" w14:paraId="02CDDA39" w14:textId="77777777" w:rsidTr="007B5579">
        <w:tc>
          <w:tcPr>
            <w:tcW w:w="997" w:type="dxa"/>
          </w:tcPr>
          <w:p w14:paraId="7A1AC813" w14:textId="3839CAED"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Doran, Christopher M. et al.</w:t>
            </w:r>
            <w:r>
              <w:rPr>
                <w:rFonts w:asciiTheme="minorHAnsi" w:hAnsiTheme="minorHAnsi" w:cstheme="minorHAnsi"/>
                <w:color w:val="000000"/>
                <w:szCs w:val="16"/>
              </w:rPr>
              <w:t xml:space="preserve"> </w:t>
            </w:r>
            <w:sdt>
              <w:sdtPr>
                <w:rPr>
                  <w:rFonts w:asciiTheme="minorHAnsi" w:hAnsiTheme="minorHAnsi" w:cstheme="minorHAnsi"/>
                  <w:szCs w:val="16"/>
                </w:rPr>
                <w:id w:val="-559949249"/>
                <w:citation/>
              </w:sdtPr>
              <w:sdtEndPr/>
              <w:sdtContent>
                <w:r>
                  <w:rPr>
                    <w:rFonts w:asciiTheme="minorHAnsi" w:hAnsiTheme="minorHAnsi" w:cstheme="minorHAnsi"/>
                    <w:szCs w:val="16"/>
                  </w:rPr>
                  <w:fldChar w:fldCharType="begin"/>
                </w:r>
                <w:r>
                  <w:rPr>
                    <w:rFonts w:asciiTheme="minorHAnsi" w:hAnsiTheme="minorHAnsi" w:cstheme="minorHAnsi"/>
                    <w:szCs w:val="16"/>
                  </w:rPr>
                  <w:instrText xml:space="preserve"> CITATION Dor21 \l 3081 </w:instrText>
                </w:r>
                <w:r>
                  <w:rPr>
                    <w:rFonts w:asciiTheme="minorHAnsi" w:hAnsiTheme="minorHAnsi" w:cstheme="minorHAnsi"/>
                    <w:szCs w:val="16"/>
                  </w:rPr>
                  <w:fldChar w:fldCharType="separate"/>
                </w:r>
                <w:r w:rsidR="00710993" w:rsidRPr="00710993">
                  <w:rPr>
                    <w:rFonts w:asciiTheme="minorHAnsi" w:hAnsiTheme="minorHAnsi" w:cstheme="minorHAnsi"/>
                    <w:noProof/>
                    <w:szCs w:val="16"/>
                  </w:rPr>
                  <w:t>(12)</w:t>
                </w:r>
                <w:r>
                  <w:rPr>
                    <w:rFonts w:asciiTheme="minorHAnsi" w:hAnsiTheme="minorHAnsi" w:cstheme="minorHAnsi"/>
                    <w:szCs w:val="16"/>
                  </w:rPr>
                  <w:fldChar w:fldCharType="end"/>
                </w:r>
              </w:sdtContent>
            </w:sdt>
          </w:p>
        </w:tc>
        <w:tc>
          <w:tcPr>
            <w:tcW w:w="1523" w:type="dxa"/>
          </w:tcPr>
          <w:p w14:paraId="707A811A"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Impact and Return on Investment of the Take Kare Safe Space Program - A Harm Reduction Strategy Implemented in Sydney, Australia</w:t>
            </w:r>
          </w:p>
        </w:tc>
        <w:tc>
          <w:tcPr>
            <w:tcW w:w="594" w:type="dxa"/>
          </w:tcPr>
          <w:p w14:paraId="26B7BA8F"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2021</w:t>
            </w:r>
          </w:p>
        </w:tc>
        <w:tc>
          <w:tcPr>
            <w:tcW w:w="1276" w:type="dxa"/>
          </w:tcPr>
          <w:p w14:paraId="717CBA0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58F922E3"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Evaluation of the Take Kare Space Program - a harm reduction program implemented to address alcohol-related violence and disorder in three locations in Sydney's night-time economy between 2014 - 2019</w:t>
            </w:r>
          </w:p>
        </w:tc>
        <w:tc>
          <w:tcPr>
            <w:tcW w:w="992" w:type="dxa"/>
          </w:tcPr>
          <w:p w14:paraId="68BC4CFB"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Process, outcomes &amp; economic</w:t>
            </w:r>
          </w:p>
        </w:tc>
        <w:tc>
          <w:tcPr>
            <w:tcW w:w="1221" w:type="dxa"/>
          </w:tcPr>
          <w:p w14:paraId="1AE23651"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Populations with mild - moderate needs (relevant to Mental and Social Health Programs)</w:t>
            </w:r>
          </w:p>
        </w:tc>
        <w:tc>
          <w:tcPr>
            <w:tcW w:w="4449" w:type="dxa"/>
          </w:tcPr>
          <w:p w14:paraId="734A81F0"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Process, outcomes and economic indicators were examined</w:t>
            </w:r>
          </w:p>
          <w:p w14:paraId="0C67BD17"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A mixed-methods approach was embedded into the evaluation framework, combining both qualitative and quantitative methods</w:t>
            </w:r>
          </w:p>
        </w:tc>
      </w:tr>
      <w:tr w:rsidR="00676ACD" w14:paraId="4A624F28" w14:textId="77777777" w:rsidTr="007B5579">
        <w:tc>
          <w:tcPr>
            <w:tcW w:w="997" w:type="dxa"/>
          </w:tcPr>
          <w:p w14:paraId="2E397F65" w14:textId="4B54B39B"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KPMG</w:t>
            </w:r>
            <w:r>
              <w:rPr>
                <w:rFonts w:asciiTheme="minorHAnsi" w:hAnsiTheme="minorHAnsi" w:cstheme="minorHAnsi"/>
                <w:szCs w:val="16"/>
              </w:rPr>
              <w:t xml:space="preserve"> </w:t>
            </w:r>
            <w:sdt>
              <w:sdtPr>
                <w:rPr>
                  <w:rFonts w:asciiTheme="minorHAnsi" w:hAnsiTheme="minorHAnsi" w:cstheme="minorHAnsi"/>
                  <w:color w:val="000000"/>
                  <w:szCs w:val="16"/>
                </w:rPr>
                <w:id w:val="-1612663435"/>
                <w:citation/>
              </w:sdtPr>
              <w:sdtEndPr/>
              <w:sdtContent>
                <w:r>
                  <w:rPr>
                    <w:rFonts w:asciiTheme="minorHAnsi" w:hAnsiTheme="minorHAnsi" w:cstheme="minorHAnsi"/>
                    <w:color w:val="000000"/>
                    <w:szCs w:val="16"/>
                  </w:rPr>
                  <w:fldChar w:fldCharType="begin"/>
                </w:r>
                <w:r>
                  <w:rPr>
                    <w:rFonts w:asciiTheme="minorHAnsi" w:hAnsiTheme="minorHAnsi" w:cstheme="minorHAnsi"/>
                    <w:szCs w:val="16"/>
                  </w:rPr>
                  <w:instrText xml:space="preserve"> CITATION KPM21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(14)</w:t>
                </w:r>
                <w:r>
                  <w:rPr>
                    <w:rFonts w:asciiTheme="minorHAnsi" w:hAnsiTheme="minorHAnsi" w:cstheme="minorHAnsi"/>
                    <w:color w:val="000000"/>
                    <w:szCs w:val="16"/>
                  </w:rPr>
                  <w:fldChar w:fldCharType="end"/>
                </w:r>
              </w:sdtContent>
            </w:sdt>
          </w:p>
        </w:tc>
        <w:tc>
          <w:tcPr>
            <w:tcW w:w="1523" w:type="dxa"/>
          </w:tcPr>
          <w:p w14:paraId="6ED9127E"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Evaluation and review of the National Suicide Prevention Leadership and Support Program</w:t>
            </w:r>
          </w:p>
        </w:tc>
        <w:tc>
          <w:tcPr>
            <w:tcW w:w="594" w:type="dxa"/>
          </w:tcPr>
          <w:p w14:paraId="18A76396"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2021</w:t>
            </w:r>
          </w:p>
        </w:tc>
        <w:tc>
          <w:tcPr>
            <w:tcW w:w="1276" w:type="dxa"/>
          </w:tcPr>
          <w:p w14:paraId="68A4360D"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Commissioned</w:t>
            </w:r>
          </w:p>
        </w:tc>
        <w:tc>
          <w:tcPr>
            <w:tcW w:w="2748" w:type="dxa"/>
          </w:tcPr>
          <w:p w14:paraId="7EBA7247"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This program funds a range of activities designed to reduce deaths by suicide nationally</w:t>
            </w:r>
          </w:p>
        </w:tc>
        <w:tc>
          <w:tcPr>
            <w:tcW w:w="992" w:type="dxa"/>
          </w:tcPr>
          <w:p w14:paraId="51BEFAAA"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Process</w:t>
            </w:r>
          </w:p>
        </w:tc>
        <w:tc>
          <w:tcPr>
            <w:tcW w:w="1221" w:type="dxa"/>
          </w:tcPr>
          <w:p w14:paraId="26A322C0"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Populations at increased risk (relevant to Mental and Social Health Programs)</w:t>
            </w:r>
          </w:p>
        </w:tc>
        <w:tc>
          <w:tcPr>
            <w:tcW w:w="4449" w:type="dxa"/>
          </w:tcPr>
          <w:p w14:paraId="5B78F52B" w14:textId="77777777" w:rsidR="00676ACD" w:rsidRPr="00D6251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This evaluation included m</w:t>
            </w:r>
            <w:r w:rsidRPr="00D6251D">
              <w:rPr>
                <w:rFonts w:asciiTheme="minorHAnsi" w:hAnsiTheme="minorHAnsi" w:cstheme="minorHAnsi"/>
                <w:color w:val="000000"/>
                <w:szCs w:val="16"/>
              </w:rPr>
              <w:t xml:space="preserve">ixed methods approach, data analysis of financial and performance data, income statement budgets, work plans, audited financial statements; semi-structured interviews, </w:t>
            </w:r>
            <w:r>
              <w:rPr>
                <w:rFonts w:asciiTheme="minorHAnsi" w:hAnsiTheme="minorHAnsi" w:cstheme="minorHAnsi"/>
                <w:color w:val="000000"/>
                <w:szCs w:val="16"/>
              </w:rPr>
              <w:t xml:space="preserve">and </w:t>
            </w:r>
            <w:r w:rsidRPr="00D6251D">
              <w:rPr>
                <w:rFonts w:asciiTheme="minorHAnsi" w:hAnsiTheme="minorHAnsi" w:cstheme="minorHAnsi"/>
                <w:color w:val="000000"/>
                <w:szCs w:val="16"/>
              </w:rPr>
              <w:t>documentation review (other documents provided by partners)</w:t>
            </w:r>
          </w:p>
        </w:tc>
      </w:tr>
      <w:tr w:rsidR="00676ACD" w14:paraId="3234FC2B" w14:textId="77777777" w:rsidTr="007B5579">
        <w:tc>
          <w:tcPr>
            <w:tcW w:w="997" w:type="dxa"/>
          </w:tcPr>
          <w:p w14:paraId="388397E2" w14:textId="1D55BC08"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Marsden, Elisabeth et al.</w:t>
            </w:r>
            <w:r>
              <w:rPr>
                <w:rFonts w:asciiTheme="minorHAnsi" w:hAnsiTheme="minorHAnsi" w:cstheme="minorHAnsi"/>
                <w:color w:val="000000"/>
                <w:szCs w:val="16"/>
              </w:rPr>
              <w:t xml:space="preserve"> </w:t>
            </w:r>
            <w:sdt>
              <w:sdtPr>
                <w:rPr>
                  <w:rFonts w:asciiTheme="minorHAnsi" w:hAnsiTheme="minorHAnsi" w:cstheme="minorHAnsi"/>
                  <w:szCs w:val="16"/>
                </w:rPr>
                <w:id w:val="-245345800"/>
                <w:citation/>
              </w:sdtPr>
              <w:sdtEndPr/>
              <w:sdtContent>
                <w:r>
                  <w:rPr>
                    <w:rFonts w:asciiTheme="minorHAnsi" w:hAnsiTheme="minorHAnsi" w:cstheme="minorHAnsi"/>
                    <w:szCs w:val="16"/>
                  </w:rPr>
                  <w:fldChar w:fldCharType="begin"/>
                </w:r>
                <w:r>
                  <w:rPr>
                    <w:rFonts w:asciiTheme="minorHAnsi" w:hAnsiTheme="minorHAnsi" w:cstheme="minorHAnsi"/>
                    <w:szCs w:val="16"/>
                  </w:rPr>
                  <w:instrText xml:space="preserve"> CITATION Mar21 \l 3081 </w:instrText>
                </w:r>
                <w:r>
                  <w:rPr>
                    <w:rFonts w:asciiTheme="minorHAnsi" w:hAnsiTheme="minorHAnsi" w:cstheme="minorHAnsi"/>
                    <w:szCs w:val="16"/>
                  </w:rPr>
                  <w:fldChar w:fldCharType="separate"/>
                </w:r>
                <w:r w:rsidR="00710993" w:rsidRPr="00710993">
                  <w:rPr>
                    <w:rFonts w:asciiTheme="minorHAnsi" w:hAnsiTheme="minorHAnsi" w:cstheme="minorHAnsi"/>
                    <w:noProof/>
                    <w:szCs w:val="16"/>
                  </w:rPr>
                  <w:t>(17)</w:t>
                </w:r>
                <w:r>
                  <w:rPr>
                    <w:rFonts w:asciiTheme="minorHAnsi" w:hAnsiTheme="minorHAnsi" w:cstheme="minorHAnsi"/>
                    <w:szCs w:val="16"/>
                  </w:rPr>
                  <w:fldChar w:fldCharType="end"/>
                </w:r>
              </w:sdtContent>
            </w:sdt>
          </w:p>
        </w:tc>
        <w:tc>
          <w:tcPr>
            <w:tcW w:w="1523" w:type="dxa"/>
          </w:tcPr>
          <w:p w14:paraId="2B669796"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A structure and process evaluation of the Geriatric Emergency Department Intervention model</w:t>
            </w:r>
          </w:p>
        </w:tc>
        <w:tc>
          <w:tcPr>
            <w:tcW w:w="594" w:type="dxa"/>
          </w:tcPr>
          <w:p w14:paraId="19D23135"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2021</w:t>
            </w:r>
          </w:p>
        </w:tc>
        <w:tc>
          <w:tcPr>
            <w:tcW w:w="1276" w:type="dxa"/>
          </w:tcPr>
          <w:p w14:paraId="2FB67E52"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0718CEE2"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The Geriatric Emergency Department Intervention (GEDI) is a nurse-led, physician-championed innovative model that aims to streamline service delivery by maximising the provision of care for frail older adults during their ED journey. GEDI nurses were based in ED, and worked as a supplementary sub-specialty team in ED facilitating the primary ED nurse and physician</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care. They helped identi</w:t>
            </w:r>
            <w:r>
              <w:rPr>
                <w:rFonts w:asciiTheme="minorHAnsi" w:hAnsiTheme="minorHAnsi" w:cstheme="minorHAnsi"/>
                <w:color w:val="000000"/>
                <w:szCs w:val="16"/>
              </w:rPr>
              <w:t>fy</w:t>
            </w:r>
            <w:r w:rsidRPr="00D6251D">
              <w:rPr>
                <w:rFonts w:asciiTheme="minorHAnsi" w:hAnsiTheme="minorHAnsi" w:cstheme="minorHAnsi"/>
                <w:color w:val="000000"/>
                <w:szCs w:val="16"/>
              </w:rPr>
              <w:t xml:space="preserve"> patients on arrival in ED and they performed rapid patient-centred, focussed comprehensive geriatric assessments and fast-tracked</w:t>
            </w:r>
            <w:r w:rsidRPr="00D6251D">
              <w:rPr>
                <w:rFonts w:asciiTheme="minorHAnsi" w:hAnsiTheme="minorHAnsi" w:cstheme="minorHAnsi"/>
                <w:color w:val="000000"/>
                <w:szCs w:val="16"/>
              </w:rPr>
              <w:br/>
              <w:t>diagnostic processes and referrals</w:t>
            </w:r>
          </w:p>
        </w:tc>
        <w:tc>
          <w:tcPr>
            <w:tcW w:w="992" w:type="dxa"/>
          </w:tcPr>
          <w:p w14:paraId="5DC5655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Process</w:t>
            </w:r>
          </w:p>
        </w:tc>
        <w:tc>
          <w:tcPr>
            <w:tcW w:w="1221" w:type="dxa"/>
          </w:tcPr>
          <w:p w14:paraId="78CD2E50"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Hospital services (relevant to Program 2.2)</w:t>
            </w:r>
          </w:p>
        </w:tc>
        <w:tc>
          <w:tcPr>
            <w:tcW w:w="4449" w:type="dxa"/>
          </w:tcPr>
          <w:p w14:paraId="7276BB5B"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Evaluated service structures and organisational structures</w:t>
            </w:r>
            <w:r>
              <w:rPr>
                <w:rFonts w:asciiTheme="minorHAnsi" w:hAnsiTheme="minorHAnsi" w:cstheme="minorHAnsi"/>
                <w:color w:val="000000"/>
                <w:szCs w:val="16"/>
              </w:rPr>
              <w:t>;</w:t>
            </w:r>
            <w:r w:rsidRPr="00D6251D">
              <w:rPr>
                <w:rFonts w:asciiTheme="minorHAnsi" w:hAnsiTheme="minorHAnsi" w:cstheme="minorHAnsi"/>
                <w:color w:val="000000"/>
                <w:szCs w:val="16"/>
              </w:rPr>
              <w:br/>
              <w:t>aim was to describe and evaluate the key structures (e.g. staff, funding, resources) and processes (e.g. communication skills, holistic care) required to achieve the favourable outcomes of the model</w:t>
            </w:r>
          </w:p>
          <w:p w14:paraId="4FFE7B7B"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Recognises the need to identify the structures and processes necessary for transferability of this model i</w:t>
            </w:r>
            <w:r>
              <w:rPr>
                <w:rFonts w:asciiTheme="minorHAnsi" w:hAnsiTheme="minorHAnsi" w:cstheme="minorHAnsi"/>
                <w:color w:val="000000"/>
                <w:szCs w:val="16"/>
              </w:rPr>
              <w:t>n</w:t>
            </w:r>
            <w:r w:rsidRPr="00D6251D">
              <w:rPr>
                <w:rFonts w:asciiTheme="minorHAnsi" w:hAnsiTheme="minorHAnsi" w:cstheme="minorHAnsi"/>
                <w:color w:val="000000"/>
                <w:szCs w:val="16"/>
              </w:rPr>
              <w:t>to other health services</w:t>
            </w:r>
          </w:p>
          <w:p w14:paraId="70D40D66"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Descriptive qualitative study utilising Donabedian’s framework for evaluating health services</w:t>
            </w:r>
            <w:r>
              <w:rPr>
                <w:rFonts w:asciiTheme="minorHAnsi" w:hAnsiTheme="minorHAnsi" w:cstheme="minorHAnsi"/>
                <w:color w:val="000000"/>
                <w:szCs w:val="16"/>
              </w:rPr>
              <w:t>,</w:t>
            </w:r>
            <w:r w:rsidRPr="00D6251D">
              <w:rPr>
                <w:rFonts w:asciiTheme="minorHAnsi" w:hAnsiTheme="minorHAnsi" w:cstheme="minorHAnsi"/>
                <w:color w:val="000000"/>
                <w:szCs w:val="16"/>
              </w:rPr>
              <w:t xml:space="preserve"> 24 semi-structured interviews were done</w:t>
            </w:r>
          </w:p>
          <w:p w14:paraId="1212FB97"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An a priori framework guided interview questions and analysis</w:t>
            </w:r>
          </w:p>
          <w:p w14:paraId="7D4A9B4E"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Two analytical frameworks used: Firstly, Donabedian’s differentiation of structures and processes and secondly, Irvine et al.’s Nursing Role Effectiveness Model (NREM) which conceptualises nurses’ contributions to healthcare</w:t>
            </w:r>
          </w:p>
        </w:tc>
      </w:tr>
      <w:tr w:rsidR="00676ACD" w14:paraId="3C374AE8" w14:textId="77777777" w:rsidTr="007B5579">
        <w:tc>
          <w:tcPr>
            <w:tcW w:w="997" w:type="dxa"/>
          </w:tcPr>
          <w:p w14:paraId="35BAC8C6" w14:textId="1ECFCF09" w:rsidR="00676AC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Moreton, Sam et al.</w:t>
            </w:r>
            <w:r>
              <w:rPr>
                <w:rFonts w:asciiTheme="minorHAnsi" w:hAnsiTheme="minorHAnsi" w:cstheme="minorHAnsi"/>
                <w:color w:val="000000"/>
                <w:szCs w:val="16"/>
              </w:rPr>
              <w:t xml:space="preserve"> </w:t>
            </w:r>
            <w:sdt>
              <w:sdtPr>
                <w:rPr>
                  <w:rFonts w:asciiTheme="minorHAnsi" w:hAnsiTheme="minorHAnsi" w:cstheme="minorHAnsi"/>
                  <w:color w:val="000000"/>
                  <w:szCs w:val="16"/>
                </w:rPr>
                <w:id w:val="1286773524"/>
                <w:citation/>
              </w:sdtPr>
              <w:sdtEndPr/>
              <w:sdtContent>
                <w:r>
                  <w:rPr>
                    <w:rFonts w:asciiTheme="minorHAnsi" w:hAnsiTheme="minorHAnsi" w:cstheme="minorHAnsi"/>
                    <w:color w:val="000000"/>
                    <w:szCs w:val="16"/>
                  </w:rPr>
                  <w:fldChar w:fldCharType="begin"/>
                </w:r>
                <w:r>
                  <w:rPr>
                    <w:rFonts w:asciiTheme="minorHAnsi" w:hAnsiTheme="minorHAnsi" w:cstheme="minorHAnsi"/>
                    <w:color w:val="000000"/>
                    <w:szCs w:val="16"/>
                  </w:rPr>
                  <w:instrText xml:space="preserve"> CITATION Mor20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(20)</w:t>
                </w:r>
                <w:r>
                  <w:rPr>
                    <w:rFonts w:asciiTheme="minorHAnsi" w:hAnsiTheme="minorHAnsi" w:cstheme="minorHAnsi"/>
                    <w:color w:val="000000"/>
                    <w:szCs w:val="16"/>
                  </w:rPr>
                  <w:fldChar w:fldCharType="end"/>
                </w:r>
              </w:sdtContent>
            </w:sdt>
          </w:p>
          <w:p w14:paraId="59B534E3" w14:textId="77777777" w:rsidR="00676ACD" w:rsidRPr="00D6251D" w:rsidRDefault="00676ACD" w:rsidP="007B5579">
            <w:pPr>
              <w:pStyle w:val="EYTabletext0"/>
              <w:rPr>
                <w:rFonts w:asciiTheme="minorHAnsi" w:hAnsiTheme="minorHAnsi" w:cstheme="minorHAnsi"/>
                <w:szCs w:val="16"/>
              </w:rPr>
            </w:pPr>
          </w:p>
        </w:tc>
        <w:tc>
          <w:tcPr>
            <w:tcW w:w="1523" w:type="dxa"/>
          </w:tcPr>
          <w:p w14:paraId="17BAC3F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 xml:space="preserve">Economic and clinical outcomes of the nurse practitioner-led Sydney Adventist </w:t>
            </w:r>
            <w:r w:rsidRPr="00D6251D">
              <w:rPr>
                <w:rFonts w:asciiTheme="minorHAnsi" w:hAnsiTheme="minorHAnsi" w:cstheme="minorHAnsi"/>
                <w:color w:val="000000"/>
                <w:szCs w:val="16"/>
              </w:rPr>
              <w:lastRenderedPageBreak/>
              <w:t>Hospital Community Palliative Care Service</w:t>
            </w:r>
          </w:p>
        </w:tc>
        <w:tc>
          <w:tcPr>
            <w:tcW w:w="594" w:type="dxa"/>
          </w:tcPr>
          <w:p w14:paraId="72FC3929"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lastRenderedPageBreak/>
              <w:t>2020</w:t>
            </w:r>
          </w:p>
        </w:tc>
        <w:tc>
          <w:tcPr>
            <w:tcW w:w="1276" w:type="dxa"/>
          </w:tcPr>
          <w:p w14:paraId="5129CBB6"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4B78DBA9"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This program is a nurse practitioner led Sydney Adventist Hospital Community Palliative Care Service (SanCPCS)</w:t>
            </w:r>
          </w:p>
        </w:tc>
        <w:tc>
          <w:tcPr>
            <w:tcW w:w="992" w:type="dxa"/>
          </w:tcPr>
          <w:p w14:paraId="768FB45D"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Outcomes evaluation</w:t>
            </w:r>
          </w:p>
        </w:tc>
        <w:tc>
          <w:tcPr>
            <w:tcW w:w="1221" w:type="dxa"/>
          </w:tcPr>
          <w:p w14:paraId="0207490D"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6C8A3589"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 xml:space="preserve">This article does include the economic impact of this program, including the change in patient costs before and after service expansion, as well and changes in hospital admissions </w:t>
            </w:r>
          </w:p>
          <w:p w14:paraId="0D34C35C"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lastRenderedPageBreak/>
              <w:t>To calculate estimated cost, the number of hospital admissions, LOS and type of admission were assessed for each patient. The Australian Refined Diagnosis Related Groups (AR-DRGs) system was used to estimate day-specific acute care hospital costs</w:t>
            </w:r>
          </w:p>
        </w:tc>
      </w:tr>
      <w:tr w:rsidR="00676ACD" w14:paraId="7BBADC1E" w14:textId="77777777" w:rsidTr="007B5579">
        <w:tc>
          <w:tcPr>
            <w:tcW w:w="997" w:type="dxa"/>
          </w:tcPr>
          <w:p w14:paraId="30417FBF" w14:textId="7B7A3E70"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lastRenderedPageBreak/>
              <w:t xml:space="preserve">Perceval, Meg et al. </w:t>
            </w:r>
            <w:r>
              <w:rPr>
                <w:rFonts w:asciiTheme="minorHAnsi" w:hAnsiTheme="minorHAnsi" w:cstheme="minorHAnsi"/>
                <w:color w:val="000000"/>
                <w:szCs w:val="16"/>
              </w:rPr>
              <w:t xml:space="preserve"> </w:t>
            </w:r>
            <w:sdt>
              <w:sdtPr>
                <w:rPr>
                  <w:rFonts w:asciiTheme="minorHAnsi" w:hAnsiTheme="minorHAnsi" w:cstheme="minorHAnsi"/>
                  <w:szCs w:val="16"/>
                </w:rPr>
                <w:id w:val="-189687626"/>
                <w:citation/>
              </w:sdtPr>
              <w:sdtEndPr/>
              <w:sdtContent>
                <w:r>
                  <w:rPr>
                    <w:rFonts w:asciiTheme="minorHAnsi" w:hAnsiTheme="minorHAnsi" w:cstheme="minorHAnsi"/>
                    <w:szCs w:val="16"/>
                  </w:rPr>
                  <w:fldChar w:fldCharType="begin"/>
                </w:r>
                <w:r>
                  <w:rPr>
                    <w:rFonts w:asciiTheme="minorHAnsi" w:hAnsiTheme="minorHAnsi" w:cstheme="minorHAnsi"/>
                    <w:color w:val="000000"/>
                    <w:szCs w:val="16"/>
                  </w:rPr>
                  <w:instrText xml:space="preserve"> CITATION Per19 \l 3081 </w:instrText>
                </w:r>
                <w:r>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(23)</w:t>
                </w:r>
                <w:r>
                  <w:rPr>
                    <w:rFonts w:asciiTheme="minorHAnsi" w:hAnsiTheme="minorHAnsi" w:cstheme="minorHAnsi"/>
                    <w:szCs w:val="16"/>
                  </w:rPr>
                  <w:fldChar w:fldCharType="end"/>
                </w:r>
              </w:sdtContent>
            </w:sdt>
          </w:p>
        </w:tc>
        <w:tc>
          <w:tcPr>
            <w:tcW w:w="1523" w:type="dxa"/>
          </w:tcPr>
          <w:p w14:paraId="5BCE979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Evaluation of the SCARF Well-Being and Suicide Prevention Program for Rural Australian Communities</w:t>
            </w:r>
          </w:p>
        </w:tc>
        <w:tc>
          <w:tcPr>
            <w:tcW w:w="594" w:type="dxa"/>
          </w:tcPr>
          <w:p w14:paraId="1F99F6C3"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2019</w:t>
            </w:r>
          </w:p>
        </w:tc>
        <w:tc>
          <w:tcPr>
            <w:tcW w:w="1276" w:type="dxa"/>
          </w:tcPr>
          <w:p w14:paraId="709C6330"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3A962C29"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This program is a well-being and suicide prevention education workshop, SCARF (Suspect, Connect, Ask, Refer, Follow-Up) developed for Australian farming and rural communities</w:t>
            </w:r>
          </w:p>
        </w:tc>
        <w:tc>
          <w:tcPr>
            <w:tcW w:w="992" w:type="dxa"/>
          </w:tcPr>
          <w:p w14:paraId="2E290753"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Not stated</w:t>
            </w:r>
          </w:p>
        </w:tc>
        <w:tc>
          <w:tcPr>
            <w:tcW w:w="1221" w:type="dxa"/>
          </w:tcPr>
          <w:p w14:paraId="770ABA3D"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7197B41D"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The Literacy of Suicide Scale (LOSS), Stigma of Suicide Scale (SOS), and items assessing confidence to assist others were administered immediately before and after the workshop, and at 3-month follow-up [to capture both short- and longer-term changes in suicide literacy and stigma]. The Warwick Edinburgh Mental Wellbeing Scale was given immediately before and at 3-month follow-up</w:t>
            </w:r>
          </w:p>
          <w:p w14:paraId="63E5A369"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Data were analysed using linear mixed-effects regression</w:t>
            </w:r>
          </w:p>
        </w:tc>
      </w:tr>
      <w:tr w:rsidR="00676ACD" w14:paraId="20749B02" w14:textId="77777777" w:rsidTr="007B5579">
        <w:tc>
          <w:tcPr>
            <w:tcW w:w="997" w:type="dxa"/>
          </w:tcPr>
          <w:p w14:paraId="4A9B5718" w14:textId="7C5DBB11"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 xml:space="preserve">Rahja, Miia et al. </w:t>
            </w:r>
            <w:sdt>
              <w:sdtPr>
                <w:rPr>
                  <w:rFonts w:asciiTheme="minorHAnsi" w:hAnsiTheme="minorHAnsi" w:cstheme="minorHAnsi"/>
                  <w:szCs w:val="16"/>
                </w:rPr>
                <w:id w:val="2009244487"/>
                <w:citation/>
              </w:sdtPr>
              <w:sdtEndPr/>
              <w:sdtContent>
                <w:r>
                  <w:rPr>
                    <w:rFonts w:asciiTheme="minorHAnsi" w:hAnsiTheme="minorHAnsi" w:cstheme="minorHAnsi"/>
                    <w:szCs w:val="16"/>
                  </w:rPr>
                  <w:fldChar w:fldCharType="begin"/>
                </w:r>
                <w:r>
                  <w:rPr>
                    <w:rFonts w:asciiTheme="minorHAnsi" w:hAnsiTheme="minorHAnsi" w:cstheme="minorHAnsi"/>
                    <w:color w:val="000000"/>
                    <w:szCs w:val="16"/>
                  </w:rPr>
                  <w:instrText xml:space="preserve"> CITATION Rah20 \l 3081 </w:instrText>
                </w:r>
                <w:r>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(26)</w:t>
                </w:r>
                <w:r>
                  <w:rPr>
                    <w:rFonts w:asciiTheme="minorHAnsi" w:hAnsiTheme="minorHAnsi" w:cstheme="minorHAnsi"/>
                    <w:szCs w:val="16"/>
                  </w:rPr>
                  <w:fldChar w:fldCharType="end"/>
                </w:r>
              </w:sdtContent>
            </w:sdt>
          </w:p>
        </w:tc>
        <w:tc>
          <w:tcPr>
            <w:tcW w:w="1523" w:type="dxa"/>
          </w:tcPr>
          <w:p w14:paraId="446918A6"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Some gain for a small investment: An economic evaluation of an exercise program for people living in residential aged care</w:t>
            </w:r>
          </w:p>
        </w:tc>
        <w:tc>
          <w:tcPr>
            <w:tcW w:w="594" w:type="dxa"/>
          </w:tcPr>
          <w:p w14:paraId="0EE3657C"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2020</w:t>
            </w:r>
          </w:p>
        </w:tc>
        <w:tc>
          <w:tcPr>
            <w:tcW w:w="1276" w:type="dxa"/>
          </w:tcPr>
          <w:p w14:paraId="44B8FCF8"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In-house</w:t>
            </w:r>
          </w:p>
        </w:tc>
        <w:tc>
          <w:tcPr>
            <w:tcW w:w="2748" w:type="dxa"/>
          </w:tcPr>
          <w:p w14:paraId="07CD9568"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This 12 week exercise physiology (EP) program was delivered by an accredited exercise physiologist (AEP) and designed for frail older people with cognitive impairment living in RACF in South Australia</w:t>
            </w:r>
          </w:p>
        </w:tc>
        <w:tc>
          <w:tcPr>
            <w:tcW w:w="992" w:type="dxa"/>
          </w:tcPr>
          <w:p w14:paraId="74E96C0D"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Cost utility analysis (economic analysis)</w:t>
            </w:r>
          </w:p>
        </w:tc>
        <w:tc>
          <w:tcPr>
            <w:tcW w:w="1221" w:type="dxa"/>
          </w:tcPr>
          <w:p w14:paraId="39E3348C"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5C63A238"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Evaluated the outcome of quality-adjusted</w:t>
            </w:r>
            <w:r w:rsidRPr="00D6251D">
              <w:rPr>
                <w:rFonts w:asciiTheme="minorHAnsi" w:hAnsiTheme="minorHAnsi" w:cstheme="minorHAnsi"/>
                <w:color w:val="000000"/>
                <w:szCs w:val="16"/>
              </w:rPr>
              <w:br/>
              <w:t>life years (QALY) gained</w:t>
            </w:r>
          </w:p>
          <w:p w14:paraId="7553237E"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Conducted a preliminary analysis of cost and quality</w:t>
            </w:r>
            <w:r w:rsidRPr="00D6251D">
              <w:rPr>
                <w:rFonts w:asciiTheme="minorHAnsi" w:hAnsiTheme="minorHAnsi" w:cstheme="minorHAnsi"/>
                <w:color w:val="000000"/>
                <w:szCs w:val="16"/>
              </w:rPr>
              <w:br/>
              <w:t>of life (QoL) outcomes of the program. The outcomes were</w:t>
            </w:r>
            <w:r w:rsidRPr="00D6251D">
              <w:rPr>
                <w:rFonts w:asciiTheme="minorHAnsi" w:hAnsiTheme="minorHAnsi" w:cstheme="minorHAnsi"/>
                <w:color w:val="000000"/>
                <w:szCs w:val="16"/>
              </w:rPr>
              <w:br/>
              <w:t>then converted to utilities and expressed as cost per QALY</w:t>
            </w:r>
            <w:r w:rsidRPr="00D6251D">
              <w:rPr>
                <w:rFonts w:asciiTheme="minorHAnsi" w:hAnsiTheme="minorHAnsi" w:cstheme="minorHAnsi"/>
                <w:color w:val="000000"/>
                <w:szCs w:val="16"/>
              </w:rPr>
              <w:br/>
              <w:t>gained</w:t>
            </w:r>
          </w:p>
          <w:p w14:paraId="1185A139"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Analysis was completed from a health service</w:t>
            </w:r>
            <w:r w:rsidRPr="00D6251D">
              <w:rPr>
                <w:rFonts w:asciiTheme="minorHAnsi" w:hAnsiTheme="minorHAnsi" w:cstheme="minorHAnsi"/>
                <w:color w:val="000000"/>
                <w:szCs w:val="16"/>
              </w:rPr>
              <w:br/>
              <w:t>provider perspective, meaning only costs directly related to</w:t>
            </w:r>
            <w:r w:rsidRPr="00D6251D">
              <w:rPr>
                <w:rFonts w:asciiTheme="minorHAnsi" w:hAnsiTheme="minorHAnsi" w:cstheme="minorHAnsi"/>
                <w:color w:val="000000"/>
                <w:szCs w:val="16"/>
              </w:rPr>
              <w:br/>
              <w:t>service providers delivering the program were included</w:t>
            </w:r>
          </w:p>
          <w:p w14:paraId="4E86B257"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Given short timeline of program, expected costs/benefits to occur simultaneously (no discounting applied)</w:t>
            </w:r>
          </w:p>
        </w:tc>
      </w:tr>
      <w:tr w:rsidR="00676ACD" w14:paraId="7557E1CF" w14:textId="77777777" w:rsidTr="007B5579">
        <w:tc>
          <w:tcPr>
            <w:tcW w:w="997" w:type="dxa"/>
          </w:tcPr>
          <w:p w14:paraId="346B68AE" w14:textId="2C33A79C"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 xml:space="preserve">Scott, Theresa et al. </w:t>
            </w:r>
            <w:sdt>
              <w:sdtPr>
                <w:rPr>
                  <w:rFonts w:asciiTheme="minorHAnsi" w:hAnsiTheme="minorHAnsi" w:cstheme="minorHAnsi"/>
                  <w:szCs w:val="16"/>
                </w:rPr>
                <w:id w:val="-888803772"/>
                <w:citation/>
              </w:sdtPr>
              <w:sdtEndPr/>
              <w:sdtContent>
                <w:r>
                  <w:rPr>
                    <w:rFonts w:asciiTheme="minorHAnsi" w:hAnsiTheme="minorHAnsi" w:cstheme="minorHAnsi"/>
                    <w:szCs w:val="16"/>
                  </w:rPr>
                  <w:fldChar w:fldCharType="begin"/>
                </w:r>
                <w:r>
                  <w:rPr>
                    <w:rFonts w:asciiTheme="minorHAnsi" w:hAnsiTheme="minorHAnsi" w:cstheme="minorHAnsi"/>
                    <w:color w:val="000000"/>
                    <w:szCs w:val="16"/>
                  </w:rPr>
                  <w:instrText xml:space="preserve"> CITATION Sco19 \l 3081 </w:instrText>
                </w:r>
                <w:r>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(29)</w:t>
                </w:r>
                <w:r>
                  <w:rPr>
                    <w:rFonts w:asciiTheme="minorHAnsi" w:hAnsiTheme="minorHAnsi" w:cstheme="minorHAnsi"/>
                    <w:szCs w:val="16"/>
                  </w:rPr>
                  <w:fldChar w:fldCharType="end"/>
                </w:r>
              </w:sdtContent>
            </w:sdt>
          </w:p>
        </w:tc>
        <w:tc>
          <w:tcPr>
            <w:tcW w:w="1523" w:type="dxa"/>
          </w:tcPr>
          <w:p w14:paraId="179BA398"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Implementation and evaluation of a driving</w:t>
            </w:r>
            <w:r w:rsidRPr="00D6251D">
              <w:rPr>
                <w:rFonts w:asciiTheme="minorHAnsi" w:hAnsiTheme="minorHAnsi" w:cstheme="minorHAnsi"/>
                <w:color w:val="000000"/>
                <w:szCs w:val="16"/>
              </w:rPr>
              <w:br/>
              <w:t>cessation intervention to improve</w:t>
            </w:r>
            <w:r w:rsidRPr="00D6251D">
              <w:rPr>
                <w:rFonts w:asciiTheme="minorHAnsi" w:hAnsiTheme="minorHAnsi" w:cstheme="minorHAnsi"/>
                <w:color w:val="000000"/>
                <w:szCs w:val="16"/>
              </w:rPr>
              <w:br/>
              <w:t>community mobility and wellbeing</w:t>
            </w:r>
            <w:r w:rsidRPr="00D6251D">
              <w:rPr>
                <w:rFonts w:asciiTheme="minorHAnsi" w:hAnsiTheme="minorHAnsi" w:cstheme="minorHAnsi"/>
                <w:color w:val="000000"/>
                <w:szCs w:val="16"/>
              </w:rPr>
              <w:br/>
              <w:t>outcomes for people living with dementia:</w:t>
            </w:r>
            <w:r w:rsidRPr="00D6251D">
              <w:rPr>
                <w:rFonts w:asciiTheme="minorHAnsi" w:hAnsiTheme="minorHAnsi" w:cstheme="minorHAnsi"/>
                <w:color w:val="000000"/>
                <w:szCs w:val="16"/>
              </w:rPr>
              <w:br/>
              <w:t>study protocol of the ‘CarFreeMe’ for</w:t>
            </w:r>
            <w:r w:rsidRPr="00D6251D">
              <w:rPr>
                <w:rFonts w:asciiTheme="minorHAnsi" w:hAnsiTheme="minorHAnsi" w:cstheme="minorHAnsi"/>
                <w:color w:val="000000"/>
                <w:szCs w:val="16"/>
              </w:rPr>
              <w:br/>
            </w:r>
            <w:r w:rsidRPr="00D6251D">
              <w:rPr>
                <w:rFonts w:asciiTheme="minorHAnsi" w:hAnsiTheme="minorHAnsi" w:cstheme="minorHAnsi"/>
                <w:color w:val="000000"/>
                <w:szCs w:val="16"/>
              </w:rPr>
              <w:lastRenderedPageBreak/>
              <w:t>people with dementia program</w:t>
            </w:r>
          </w:p>
        </w:tc>
        <w:tc>
          <w:tcPr>
            <w:tcW w:w="594" w:type="dxa"/>
          </w:tcPr>
          <w:p w14:paraId="48DFC387"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lastRenderedPageBreak/>
              <w:t>2019</w:t>
            </w:r>
          </w:p>
        </w:tc>
        <w:tc>
          <w:tcPr>
            <w:tcW w:w="1276" w:type="dxa"/>
          </w:tcPr>
          <w:p w14:paraId="4B5CEC8E"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In-house</w:t>
            </w:r>
          </w:p>
        </w:tc>
        <w:tc>
          <w:tcPr>
            <w:tcW w:w="2748" w:type="dxa"/>
          </w:tcPr>
          <w:p w14:paraId="46EBED9C"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CarFreeMe is an intensive program delivered by a trained health professional that</w:t>
            </w:r>
            <w:r w:rsidRPr="00D6251D">
              <w:rPr>
                <w:rFonts w:asciiTheme="minorHAnsi" w:hAnsiTheme="minorHAnsi" w:cstheme="minorHAnsi"/>
                <w:color w:val="000000"/>
                <w:szCs w:val="16"/>
              </w:rPr>
              <w:br/>
              <w:t>addresses practical and emotional needs relevant to driving cessation. It is a support- and education-based intervention targeted at people living with dementia and their care partners who are managing driving cessation.</w:t>
            </w:r>
          </w:p>
        </w:tc>
        <w:tc>
          <w:tcPr>
            <w:tcW w:w="992" w:type="dxa"/>
          </w:tcPr>
          <w:p w14:paraId="64075455"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Process</w:t>
            </w:r>
          </w:p>
        </w:tc>
        <w:tc>
          <w:tcPr>
            <w:tcW w:w="1221" w:type="dxa"/>
          </w:tcPr>
          <w:p w14:paraId="083B38D8"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63006286"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 xml:space="preserve">A cluster randomized controlled trial </w:t>
            </w:r>
            <w:r>
              <w:rPr>
                <w:rFonts w:asciiTheme="minorHAnsi" w:hAnsiTheme="minorHAnsi" w:cstheme="minorHAnsi"/>
                <w:color w:val="000000"/>
                <w:szCs w:val="16"/>
              </w:rPr>
              <w:t>was done to</w:t>
            </w:r>
            <w:r w:rsidRPr="00D6251D">
              <w:rPr>
                <w:rFonts w:asciiTheme="minorHAnsi" w:hAnsiTheme="minorHAnsi" w:cstheme="minorHAnsi"/>
                <w:color w:val="000000"/>
                <w:szCs w:val="16"/>
              </w:rPr>
              <w:t xml:space="preserve"> evaluate the effectiveness of the program. Evaluation </w:t>
            </w:r>
            <w:r>
              <w:rPr>
                <w:rFonts w:asciiTheme="minorHAnsi" w:hAnsiTheme="minorHAnsi" w:cstheme="minorHAnsi"/>
                <w:color w:val="000000"/>
                <w:szCs w:val="16"/>
              </w:rPr>
              <w:t>took</w:t>
            </w:r>
            <w:r w:rsidRPr="00D6251D">
              <w:rPr>
                <w:rFonts w:asciiTheme="minorHAnsi" w:hAnsiTheme="minorHAnsi" w:cstheme="minorHAnsi"/>
                <w:color w:val="000000"/>
                <w:szCs w:val="16"/>
              </w:rPr>
              <w:t xml:space="preserve"> place pre-intervention, immediately following, and three months post-intervention. Clusters </w:t>
            </w:r>
            <w:r>
              <w:rPr>
                <w:rFonts w:asciiTheme="minorHAnsi" w:hAnsiTheme="minorHAnsi" w:cstheme="minorHAnsi"/>
                <w:color w:val="000000"/>
                <w:szCs w:val="16"/>
              </w:rPr>
              <w:t>were</w:t>
            </w:r>
            <w:r w:rsidRPr="00D6251D">
              <w:rPr>
                <w:rFonts w:asciiTheme="minorHAnsi" w:hAnsiTheme="minorHAnsi" w:cstheme="minorHAnsi"/>
                <w:color w:val="000000"/>
                <w:szCs w:val="16"/>
              </w:rPr>
              <w:t xml:space="preserve"> randomized to either intervention or usual treatment </w:t>
            </w:r>
          </w:p>
          <w:p w14:paraId="20D0A764"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Data was analysed using random effects models with maximum likelihood estimation. All analyses were conducted at the individual and aggregated cluster levels using generalized estimating equations to adjust for clustering effects within geographical location, and adjusting for intra-cluster correlations between individuals, and according to intention to treat principles.</w:t>
            </w:r>
          </w:p>
          <w:p w14:paraId="7FB272B4"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 xml:space="preserve">Qualitative analyses will include analysis of the semi-structured interviews with participants. Coding will be conducted and verified by minimum three members of the </w:t>
            </w:r>
            <w:r w:rsidRPr="00D6251D">
              <w:rPr>
                <w:rFonts w:asciiTheme="minorHAnsi" w:hAnsiTheme="minorHAnsi" w:cstheme="minorHAnsi"/>
                <w:color w:val="000000"/>
                <w:szCs w:val="16"/>
              </w:rPr>
              <w:lastRenderedPageBreak/>
              <w:t>research team. The group will convene to review themes until consensus is reached.</w:t>
            </w:r>
          </w:p>
          <w:p w14:paraId="7BE75940"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A process evaluation will explore the implementation, receipt, and setting of the intervention and help in the interpretation of the outcome results. In trials, where the “same” intervention may be implemented and received in different ways, process evaluations can provide greater explanatory power and understanding of the generalisability of the intervention</w:t>
            </w:r>
            <w:r w:rsidRPr="00D6251D">
              <w:rPr>
                <w:rFonts w:asciiTheme="minorHAnsi" w:hAnsiTheme="minorHAnsi" w:cstheme="minorHAnsi"/>
                <w:color w:val="000000"/>
                <w:szCs w:val="16"/>
              </w:rPr>
              <w:br/>
              <w:t>It will contribute valuable information to understanding optimal processes, for example timing and number of sessions, in determining a feasible translation strategy</w:t>
            </w:r>
          </w:p>
        </w:tc>
      </w:tr>
      <w:tr w:rsidR="00676ACD" w14:paraId="41C2B5F7" w14:textId="77777777" w:rsidTr="007B5579">
        <w:tc>
          <w:tcPr>
            <w:tcW w:w="997" w:type="dxa"/>
          </w:tcPr>
          <w:p w14:paraId="477EC240" w14:textId="796E07CE"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lastRenderedPageBreak/>
              <w:t>The George Institute of Global Health, EY, University of Sydney</w:t>
            </w:r>
            <w:r>
              <w:rPr>
                <w:rFonts w:asciiTheme="minorHAnsi" w:hAnsiTheme="minorHAnsi" w:cstheme="minorHAnsi"/>
                <w:color w:val="000000"/>
                <w:szCs w:val="16"/>
              </w:rPr>
              <w:t xml:space="preserve"> </w:t>
            </w:r>
            <w:sdt>
              <w:sdtPr>
                <w:rPr>
                  <w:rFonts w:asciiTheme="minorHAnsi" w:hAnsiTheme="minorHAnsi" w:cstheme="minorHAnsi"/>
                  <w:color w:val="000000"/>
                  <w:szCs w:val="16"/>
                </w:rPr>
                <w:id w:val="1977955753"/>
                <w:citation/>
              </w:sdtPr>
              <w:sdtEndPr/>
              <w:sdtContent>
                <w:r>
                  <w:rPr>
                    <w:rFonts w:asciiTheme="minorHAnsi" w:hAnsiTheme="minorHAnsi" w:cstheme="minorHAnsi"/>
                    <w:color w:val="000000"/>
                    <w:szCs w:val="16"/>
                  </w:rPr>
                  <w:fldChar w:fldCharType="begin"/>
                </w:r>
                <w:r>
                  <w:rPr>
                    <w:rFonts w:asciiTheme="minorHAnsi" w:hAnsiTheme="minorHAnsi" w:cstheme="minorHAnsi"/>
                    <w:color w:val="000000"/>
                    <w:szCs w:val="16"/>
                  </w:rPr>
                  <w:instrText xml:space="preserve"> CITATION The20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(32)</w:t>
                </w:r>
                <w:r>
                  <w:rPr>
                    <w:rFonts w:asciiTheme="minorHAnsi" w:hAnsiTheme="minorHAnsi" w:cstheme="minorHAnsi"/>
                    <w:color w:val="000000"/>
                    <w:szCs w:val="16"/>
                  </w:rPr>
                  <w:fldChar w:fldCharType="end"/>
                </w:r>
              </w:sdtContent>
            </w:sdt>
          </w:p>
        </w:tc>
        <w:tc>
          <w:tcPr>
            <w:tcW w:w="1523" w:type="dxa"/>
          </w:tcPr>
          <w:p w14:paraId="64EEFB6C"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Evaluation of the Early Psychosis Youth Services Program</w:t>
            </w:r>
          </w:p>
        </w:tc>
        <w:tc>
          <w:tcPr>
            <w:tcW w:w="594" w:type="dxa"/>
          </w:tcPr>
          <w:p w14:paraId="3F3046D6"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2020</w:t>
            </w:r>
          </w:p>
        </w:tc>
        <w:tc>
          <w:tcPr>
            <w:tcW w:w="1276" w:type="dxa"/>
          </w:tcPr>
          <w:p w14:paraId="3A1A4919"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Commissioned</w:t>
            </w:r>
          </w:p>
        </w:tc>
        <w:tc>
          <w:tcPr>
            <w:tcW w:w="2748" w:type="dxa"/>
          </w:tcPr>
          <w:p w14:paraId="1D731741"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The Early Psychosis Youth Services Program provided integrated early intervention treatment for young people aged 12-25yrs at risk or experiencing psychosis</w:t>
            </w:r>
          </w:p>
        </w:tc>
        <w:tc>
          <w:tcPr>
            <w:tcW w:w="992" w:type="dxa"/>
          </w:tcPr>
          <w:p w14:paraId="634FE3EA"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Process, Outcome, Economic</w:t>
            </w:r>
          </w:p>
        </w:tc>
        <w:tc>
          <w:tcPr>
            <w:tcW w:w="1221" w:type="dxa"/>
          </w:tcPr>
          <w:p w14:paraId="0AE776E8"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Populations at increased risk (relevant to Mental and Social Health Programs)</w:t>
            </w:r>
          </w:p>
        </w:tc>
        <w:tc>
          <w:tcPr>
            <w:tcW w:w="4449" w:type="dxa"/>
          </w:tcPr>
          <w:p w14:paraId="6CC94F29" w14:textId="77777777" w:rsidR="00676ACD" w:rsidRPr="00D6251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M</w:t>
            </w:r>
            <w:r w:rsidRPr="00D6251D">
              <w:rPr>
                <w:rFonts w:asciiTheme="minorHAnsi" w:hAnsiTheme="minorHAnsi" w:cstheme="minorHAnsi"/>
                <w:color w:val="000000"/>
                <w:szCs w:val="16"/>
              </w:rPr>
              <w:t xml:space="preserve">ixed method design </w:t>
            </w:r>
            <w:r>
              <w:rPr>
                <w:rFonts w:asciiTheme="minorHAnsi" w:hAnsiTheme="minorHAnsi" w:cstheme="minorHAnsi"/>
                <w:color w:val="000000"/>
                <w:szCs w:val="16"/>
              </w:rPr>
              <w:t xml:space="preserve">was used </w:t>
            </w:r>
            <w:r w:rsidRPr="00D6251D">
              <w:rPr>
                <w:rFonts w:asciiTheme="minorHAnsi" w:hAnsiTheme="minorHAnsi" w:cstheme="minorHAnsi"/>
                <w:color w:val="000000"/>
                <w:szCs w:val="16"/>
              </w:rPr>
              <w:t xml:space="preserve">which enabled a multi-pronged, methodological approach to help answer objectives. The sources of data included: consultation with local stakeholders with direct experience of the EPYS Program; client and family interviews; a family and carer survey; program specific data including the headspace Application Platform Interface (hAPI) Minimum Data Set (MDS) and workforce and financial data; case studies of usual care; comparative data including: (1) a like-service control comparison using the comparative service cohort; and (2) an ecological counterfactual using NSW Health and WA Health data;1 and relevant literature and </w:t>
            </w:r>
            <w:r w:rsidRPr="00D460B1">
              <w:rPr>
                <w:rFonts w:asciiTheme="minorHAnsi" w:hAnsiTheme="minorHAnsi" w:cstheme="minorHAnsi"/>
                <w:color w:val="000000"/>
                <w:szCs w:val="16"/>
              </w:rPr>
              <w:t>pr</w:t>
            </w:r>
            <w:r w:rsidRPr="00D6251D">
              <w:rPr>
                <w:rFonts w:asciiTheme="minorHAnsi" w:hAnsiTheme="minorHAnsi" w:cstheme="minorHAnsi"/>
                <w:color w:val="000000"/>
                <w:szCs w:val="16"/>
              </w:rPr>
              <w:t>ogram documents</w:t>
            </w:r>
          </w:p>
          <w:p w14:paraId="01EED089" w14:textId="77777777" w:rsidR="00676ACD" w:rsidRPr="00D6251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A</w:t>
            </w:r>
            <w:r w:rsidRPr="00D6251D">
              <w:rPr>
                <w:rFonts w:asciiTheme="minorHAnsi" w:hAnsiTheme="minorHAnsi" w:cstheme="minorHAnsi"/>
                <w:color w:val="000000"/>
                <w:szCs w:val="16"/>
              </w:rPr>
              <w:t xml:space="preserve"> </w:t>
            </w:r>
            <w:r>
              <w:rPr>
                <w:rFonts w:asciiTheme="minorHAnsi" w:hAnsiTheme="minorHAnsi" w:cstheme="minorHAnsi"/>
                <w:color w:val="000000"/>
                <w:szCs w:val="16"/>
              </w:rPr>
              <w:t>p</w:t>
            </w:r>
            <w:r w:rsidRPr="00D6251D">
              <w:rPr>
                <w:rFonts w:asciiTheme="minorHAnsi" w:hAnsiTheme="minorHAnsi" w:cstheme="minorHAnsi"/>
                <w:color w:val="000000"/>
                <w:szCs w:val="16"/>
              </w:rPr>
              <w:t>rogram logic</w:t>
            </w:r>
            <w:r>
              <w:rPr>
                <w:rFonts w:asciiTheme="minorHAnsi" w:hAnsiTheme="minorHAnsi" w:cstheme="minorHAnsi"/>
                <w:color w:val="000000"/>
                <w:szCs w:val="16"/>
              </w:rPr>
              <w:t xml:space="preserve"> was</w:t>
            </w:r>
            <w:r w:rsidRPr="00D6251D">
              <w:rPr>
                <w:rFonts w:asciiTheme="minorHAnsi" w:hAnsiTheme="minorHAnsi" w:cstheme="minorHAnsi"/>
                <w:color w:val="000000"/>
                <w:szCs w:val="16"/>
              </w:rPr>
              <w:t xml:space="preserve"> included</w:t>
            </w:r>
          </w:p>
        </w:tc>
      </w:tr>
      <w:tr w:rsidR="00676ACD" w14:paraId="2F9B074F" w14:textId="77777777" w:rsidTr="007B5579">
        <w:tc>
          <w:tcPr>
            <w:tcW w:w="997" w:type="dxa"/>
          </w:tcPr>
          <w:p w14:paraId="65CBA64A" w14:textId="38CBE595"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Tjalaminu, Mia et al.</w:t>
            </w:r>
            <w:r>
              <w:rPr>
                <w:rFonts w:asciiTheme="minorHAnsi" w:hAnsiTheme="minorHAnsi" w:cstheme="minorHAnsi"/>
                <w:color w:val="000000"/>
                <w:szCs w:val="16"/>
              </w:rPr>
              <w:t xml:space="preserve"> </w:t>
            </w:r>
            <w:sdt>
              <w:sdtPr>
                <w:rPr>
                  <w:rFonts w:asciiTheme="minorHAnsi" w:hAnsiTheme="minorHAnsi" w:cstheme="minorHAnsi"/>
                  <w:szCs w:val="16"/>
                </w:rPr>
                <w:id w:val="-1737312985"/>
                <w:citation/>
              </w:sdtPr>
              <w:sdtEndPr/>
              <w:sdtContent>
                <w:r>
                  <w:rPr>
                    <w:rFonts w:asciiTheme="minorHAnsi" w:hAnsiTheme="minorHAnsi" w:cstheme="minorHAnsi"/>
                    <w:szCs w:val="16"/>
                  </w:rPr>
                  <w:fldChar w:fldCharType="begin"/>
                </w:r>
                <w:r>
                  <w:rPr>
                    <w:rFonts w:asciiTheme="minorHAnsi" w:hAnsiTheme="minorHAnsi" w:cstheme="minorHAnsi"/>
                    <w:color w:val="000000"/>
                    <w:szCs w:val="16"/>
                  </w:rPr>
                  <w:instrText xml:space="preserve"> CITATION Tja17 \l 3081 </w:instrText>
                </w:r>
                <w:r>
                  <w:rPr>
                    <w:rFonts w:asciiTheme="minorHAnsi" w:hAnsiTheme="minorHAnsi" w:cstheme="minorHAnsi"/>
                    <w:szCs w:val="16"/>
                  </w:rPr>
                  <w:fldChar w:fldCharType="separate"/>
                </w:r>
                <w:r w:rsidR="00710993" w:rsidRPr="00710993">
                  <w:rPr>
                    <w:rFonts w:asciiTheme="minorHAnsi" w:hAnsiTheme="minorHAnsi" w:cstheme="minorHAnsi"/>
                    <w:noProof/>
                    <w:color w:val="000000"/>
                    <w:szCs w:val="16"/>
                  </w:rPr>
                  <w:t>(35)</w:t>
                </w:r>
                <w:r>
                  <w:rPr>
                    <w:rFonts w:asciiTheme="minorHAnsi" w:hAnsiTheme="minorHAnsi" w:cstheme="minorHAnsi"/>
                    <w:szCs w:val="16"/>
                  </w:rPr>
                  <w:fldChar w:fldCharType="end"/>
                </w:r>
              </w:sdtContent>
            </w:sdt>
          </w:p>
        </w:tc>
        <w:tc>
          <w:tcPr>
            <w:tcW w:w="1523" w:type="dxa"/>
          </w:tcPr>
          <w:p w14:paraId="50B74265"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An Evaluation of the National Empowerment Project Cultural, Social, and Emotional Wellbeing Program (CSEWP)</w:t>
            </w:r>
          </w:p>
        </w:tc>
        <w:tc>
          <w:tcPr>
            <w:tcW w:w="594" w:type="dxa"/>
          </w:tcPr>
          <w:p w14:paraId="217AEA8B"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2017</w:t>
            </w:r>
          </w:p>
        </w:tc>
        <w:tc>
          <w:tcPr>
            <w:tcW w:w="1276" w:type="dxa"/>
          </w:tcPr>
          <w:p w14:paraId="0384A5C6"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12D85727"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This evaluation assessed from participant interviews and Stories of Most Significant</w:t>
            </w:r>
            <w:r w:rsidRPr="00D6251D">
              <w:rPr>
                <w:rFonts w:asciiTheme="minorHAnsi" w:hAnsiTheme="minorHAnsi" w:cstheme="minorHAnsi"/>
                <w:color w:val="000000"/>
                <w:szCs w:val="16"/>
              </w:rPr>
              <w:br/>
              <w:t xml:space="preserve">Change (SMSC) if, and how, the   CSEWB program in Indigenous communities of Queensland contributed to strengthening the cultural, social, and emotional wellbeing of participants, their families and communities. The 6-week program focused on strengthening the different domains of cultural, social, and emotional wellbeing (of individuals, families, and the community) and involves a number of </w:t>
            </w:r>
            <w:r w:rsidRPr="00D6251D">
              <w:rPr>
                <w:rFonts w:asciiTheme="minorHAnsi" w:hAnsiTheme="minorHAnsi" w:cstheme="minorHAnsi"/>
                <w:color w:val="000000"/>
                <w:szCs w:val="16"/>
              </w:rPr>
              <w:lastRenderedPageBreak/>
              <w:t>activities that have a community-wide focus.</w:t>
            </w:r>
          </w:p>
        </w:tc>
        <w:tc>
          <w:tcPr>
            <w:tcW w:w="992" w:type="dxa"/>
          </w:tcPr>
          <w:p w14:paraId="10942BD1"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lastRenderedPageBreak/>
              <w:t>Stories of most significant change</w:t>
            </w:r>
          </w:p>
        </w:tc>
        <w:tc>
          <w:tcPr>
            <w:tcW w:w="1221" w:type="dxa"/>
          </w:tcPr>
          <w:p w14:paraId="1F61B0B1"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01C43FE2"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This qualitative post program evaluation identified the</w:t>
            </w:r>
            <w:r w:rsidRPr="00D6251D">
              <w:rPr>
                <w:rFonts w:asciiTheme="minorHAnsi" w:hAnsiTheme="minorHAnsi" w:cstheme="minorHAnsi"/>
                <w:color w:val="000000"/>
                <w:szCs w:val="16"/>
              </w:rPr>
              <w:br/>
              <w:t>perceived benefits of the program for individual participants, their families, and communities.</w:t>
            </w:r>
          </w:p>
          <w:p w14:paraId="60D382D0"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Stories of most significant change (SMSC) and interviews (with open ended questions) were collected. The interviews informed case studies</w:t>
            </w:r>
          </w:p>
          <w:p w14:paraId="2D4E4ADF"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 xml:space="preserve">SMSC </w:t>
            </w:r>
            <w:r>
              <w:rPr>
                <w:rFonts w:asciiTheme="minorHAnsi" w:hAnsiTheme="minorHAnsi" w:cstheme="minorHAnsi"/>
                <w:color w:val="000000"/>
                <w:szCs w:val="16"/>
              </w:rPr>
              <w:t xml:space="preserve">are </w:t>
            </w:r>
            <w:r w:rsidRPr="00D6251D">
              <w:rPr>
                <w:rFonts w:asciiTheme="minorHAnsi" w:hAnsiTheme="minorHAnsi" w:cstheme="minorHAnsi"/>
                <w:color w:val="000000"/>
                <w:szCs w:val="16"/>
              </w:rPr>
              <w:t>valuable in measuring outcomes of social change</w:t>
            </w:r>
            <w:r w:rsidRPr="00D6251D">
              <w:rPr>
                <w:rFonts w:asciiTheme="minorHAnsi" w:hAnsiTheme="minorHAnsi" w:cstheme="minorHAnsi"/>
                <w:color w:val="000000"/>
                <w:szCs w:val="16"/>
              </w:rPr>
              <w:br/>
              <w:t>programs; suitable for researchers who have regular contact with</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participants, who wish to collect data on impact rather than outputs</w:t>
            </w:r>
          </w:p>
        </w:tc>
      </w:tr>
      <w:tr w:rsidR="00676ACD" w14:paraId="05015F42" w14:textId="77777777" w:rsidTr="007B5579">
        <w:tc>
          <w:tcPr>
            <w:tcW w:w="997" w:type="dxa"/>
          </w:tcPr>
          <w:p w14:paraId="69742150" w14:textId="0EA94060"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Trankle, Steven et al.</w:t>
            </w:r>
            <w:r>
              <w:rPr>
                <w:rFonts w:asciiTheme="minorHAnsi" w:hAnsiTheme="minorHAnsi" w:cstheme="minorHAnsi"/>
                <w:color w:val="000000"/>
                <w:szCs w:val="16"/>
              </w:rPr>
              <w:t xml:space="preserve"> </w:t>
            </w:r>
            <w:sdt>
              <w:sdtPr>
                <w:rPr>
                  <w:rFonts w:asciiTheme="minorHAnsi" w:hAnsiTheme="minorHAnsi" w:cstheme="minorHAnsi"/>
                  <w:color w:val="000000"/>
                  <w:szCs w:val="16"/>
                </w:rPr>
                <w:id w:val="1100303810"/>
                <w:citation/>
              </w:sdtPr>
              <w:sdtEndPr/>
              <w:sdtContent>
                <w:r>
                  <w:rPr>
                    <w:rFonts w:asciiTheme="minorHAnsi" w:hAnsiTheme="minorHAnsi" w:cstheme="minorHAnsi"/>
                    <w:color w:val="000000"/>
                    <w:szCs w:val="16"/>
                  </w:rPr>
                  <w:fldChar w:fldCharType="begin"/>
                </w:r>
                <w:r>
                  <w:rPr>
                    <w:rFonts w:asciiTheme="minorHAnsi" w:hAnsiTheme="minorHAnsi" w:cstheme="minorHAnsi"/>
                    <w:color w:val="000000"/>
                    <w:szCs w:val="16"/>
                  </w:rPr>
                  <w:instrText xml:space="preserve"> CITATION Tra15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color w:val="000000"/>
                    <w:szCs w:val="16"/>
                  </w:rPr>
                  <w:t>(38)</w:t>
                </w:r>
                <w:r>
                  <w:rPr>
                    <w:rFonts w:asciiTheme="minorHAnsi" w:hAnsiTheme="minorHAnsi" w:cstheme="minorHAnsi"/>
                    <w:color w:val="000000"/>
                    <w:szCs w:val="16"/>
                  </w:rPr>
                  <w:fldChar w:fldCharType="end"/>
                </w:r>
              </w:sdtContent>
            </w:sdt>
          </w:p>
        </w:tc>
        <w:tc>
          <w:tcPr>
            <w:tcW w:w="1523" w:type="dxa"/>
          </w:tcPr>
          <w:p w14:paraId="272EDC12"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 xml:space="preserve">The Nepean Blue Mountains Partners in </w:t>
            </w:r>
            <w:r w:rsidRPr="00D6251D">
              <w:rPr>
                <w:rFonts w:asciiTheme="minorHAnsi" w:hAnsiTheme="minorHAnsi" w:cstheme="minorHAnsi"/>
                <w:color w:val="000000"/>
                <w:szCs w:val="16"/>
              </w:rPr>
              <w:br/>
              <w:t>Recovery Evaluation</w:t>
            </w:r>
          </w:p>
        </w:tc>
        <w:tc>
          <w:tcPr>
            <w:tcW w:w="594" w:type="dxa"/>
          </w:tcPr>
          <w:p w14:paraId="4BBD687E"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2015</w:t>
            </w:r>
          </w:p>
        </w:tc>
        <w:tc>
          <w:tcPr>
            <w:tcW w:w="1276" w:type="dxa"/>
          </w:tcPr>
          <w:p w14:paraId="3C5E8E54"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Commissioned</w:t>
            </w:r>
          </w:p>
        </w:tc>
        <w:tc>
          <w:tcPr>
            <w:tcW w:w="2748" w:type="dxa"/>
          </w:tcPr>
          <w:p w14:paraId="1286FD37"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This evaluation assessed the implementation of the 'Partners in Recovery' program whose goal is to better support people with mental illness and their carers across the country. A problem logic model has been developed, and progress measured using mixed method research</w:t>
            </w:r>
          </w:p>
        </w:tc>
        <w:tc>
          <w:tcPr>
            <w:tcW w:w="992" w:type="dxa"/>
          </w:tcPr>
          <w:p w14:paraId="5FACF282"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Not stated</w:t>
            </w:r>
          </w:p>
        </w:tc>
        <w:tc>
          <w:tcPr>
            <w:tcW w:w="1221" w:type="dxa"/>
          </w:tcPr>
          <w:p w14:paraId="08E042AA" w14:textId="77777777" w:rsidR="00676ACD" w:rsidRPr="00D6251D" w:rsidRDefault="00676ACD" w:rsidP="007B5579">
            <w:pPr>
              <w:pStyle w:val="EYTabletext0"/>
              <w:rPr>
                <w:rFonts w:asciiTheme="minorHAnsi" w:hAnsiTheme="minorHAnsi" w:cstheme="minorHAnsi"/>
                <w:szCs w:val="16"/>
              </w:rPr>
            </w:pPr>
            <w:r w:rsidRPr="00D6251D">
              <w:rPr>
                <w:rFonts w:asciiTheme="minorHAnsi" w:hAnsiTheme="minorHAnsi" w:cstheme="minorHAnsi"/>
                <w:color w:val="000000"/>
                <w:szCs w:val="16"/>
              </w:rPr>
              <w:t>Community care and support</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(relevant to Program 2.4)</w:t>
            </w:r>
          </w:p>
        </w:tc>
        <w:tc>
          <w:tcPr>
            <w:tcW w:w="4449" w:type="dxa"/>
          </w:tcPr>
          <w:p w14:paraId="1E6A3AA4"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This program looked at improving care through coordination and integration of services and support across sectors</w:t>
            </w:r>
          </w:p>
          <w:p w14:paraId="6C5878F9"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Impacts envisaged as a result of this program includ</w:t>
            </w:r>
            <w:r>
              <w:rPr>
                <w:rFonts w:asciiTheme="minorHAnsi" w:hAnsiTheme="minorHAnsi" w:cstheme="minorHAnsi"/>
                <w:color w:val="000000"/>
                <w:szCs w:val="16"/>
              </w:rPr>
              <w:t>ed</w:t>
            </w:r>
            <w:r w:rsidRPr="00D6251D">
              <w:rPr>
                <w:rFonts w:asciiTheme="minorHAnsi" w:hAnsiTheme="minorHAnsi" w:cstheme="minorHAnsi"/>
                <w:color w:val="000000"/>
                <w:szCs w:val="16"/>
              </w:rPr>
              <w:t xml:space="preserve"> enhanced local community health and wellbeing, and </w:t>
            </w:r>
            <w:r w:rsidRPr="00D6251D">
              <w:rPr>
                <w:rFonts w:asciiTheme="minorHAnsi" w:hAnsiTheme="minorHAnsi" w:cstheme="minorHAnsi"/>
                <w:color w:val="000000"/>
                <w:szCs w:val="16"/>
              </w:rPr>
              <w:br/>
              <w:t xml:space="preserve">integrated and co-ordinated health services </w:t>
            </w:r>
          </w:p>
          <w:p w14:paraId="1925C8AB"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Program Logic Model described intended inputs, activities, outputs, outcomes and impacts of program; indicators were assigned to each, and progress measured towards each indicator measured with mixed methods approach</w:t>
            </w:r>
          </w:p>
          <w:p w14:paraId="5990044A" w14:textId="77777777" w:rsidR="00676ACD" w:rsidRPr="00D6251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Mixed methods included collection and analysis of Australian and international literature; program policy, operational and reporting docs; quantitative and qualitative survey data</w:t>
            </w:r>
          </w:p>
        </w:tc>
      </w:tr>
      <w:tr w:rsidR="00676ACD" w14:paraId="23137AB5" w14:textId="77777777" w:rsidTr="007B5579">
        <w:tc>
          <w:tcPr>
            <w:tcW w:w="997" w:type="dxa"/>
          </w:tcPr>
          <w:p w14:paraId="20B00852" w14:textId="5B66E098"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University of Queensland</w:t>
            </w:r>
            <w:r>
              <w:rPr>
                <w:rFonts w:asciiTheme="minorHAnsi" w:hAnsiTheme="minorHAnsi" w:cstheme="minorHAnsi"/>
                <w:szCs w:val="16"/>
              </w:rPr>
              <w:t xml:space="preserve"> </w:t>
            </w:r>
            <w:sdt>
              <w:sdtPr>
                <w:rPr>
                  <w:rFonts w:asciiTheme="minorHAnsi" w:hAnsiTheme="minorHAnsi" w:cstheme="minorHAnsi"/>
                  <w:color w:val="000000"/>
                  <w:szCs w:val="16"/>
                </w:rPr>
                <w:id w:val="183644430"/>
                <w:citation/>
              </w:sdtPr>
              <w:sdtEndPr/>
              <w:sdtContent>
                <w:r>
                  <w:rPr>
                    <w:rFonts w:asciiTheme="minorHAnsi" w:hAnsiTheme="minorHAnsi" w:cstheme="minorHAnsi"/>
                    <w:color w:val="000000"/>
                    <w:szCs w:val="16"/>
                  </w:rPr>
                  <w:fldChar w:fldCharType="begin"/>
                </w:r>
                <w:r>
                  <w:rPr>
                    <w:rFonts w:asciiTheme="minorHAnsi" w:hAnsiTheme="minorHAnsi" w:cstheme="minorHAnsi"/>
                    <w:szCs w:val="16"/>
                  </w:rPr>
                  <w:instrText xml:space="preserve"> CITATION Uni22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(40)</w:t>
                </w:r>
                <w:r>
                  <w:rPr>
                    <w:rFonts w:asciiTheme="minorHAnsi" w:hAnsiTheme="minorHAnsi" w:cstheme="minorHAnsi"/>
                    <w:color w:val="000000"/>
                    <w:szCs w:val="16"/>
                  </w:rPr>
                  <w:fldChar w:fldCharType="end"/>
                </w:r>
              </w:sdtContent>
            </w:sdt>
          </w:p>
        </w:tc>
        <w:tc>
          <w:tcPr>
            <w:tcW w:w="1523" w:type="dxa"/>
          </w:tcPr>
          <w:p w14:paraId="1C3C051D"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Evaluation of the Pharmaceutical Benefits Scheme Subsidised Take Home Naloxone Pilot</w:t>
            </w:r>
          </w:p>
        </w:tc>
        <w:tc>
          <w:tcPr>
            <w:tcW w:w="594" w:type="dxa"/>
          </w:tcPr>
          <w:p w14:paraId="459CDC69"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2022</w:t>
            </w:r>
          </w:p>
        </w:tc>
        <w:tc>
          <w:tcPr>
            <w:tcW w:w="1276" w:type="dxa"/>
          </w:tcPr>
          <w:p w14:paraId="2DC08ECC"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Commissioned</w:t>
            </w:r>
          </w:p>
        </w:tc>
        <w:tc>
          <w:tcPr>
            <w:tcW w:w="2748" w:type="dxa"/>
          </w:tcPr>
          <w:p w14:paraId="4F32FC1A"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The Australian Government funded a Take Home Naloxone (THN) Pilot as part of the Pharmaceutical Benefits Scheme (PBS), allowing people at risk of experiencing or likely to witness an opioid overdose to access naloxone without a prescription, at no cost to themselves, and from a range of pharmacies and other approved sites in New South Wales, South Australia and Western Australia.</w:t>
            </w:r>
          </w:p>
        </w:tc>
        <w:tc>
          <w:tcPr>
            <w:tcW w:w="992" w:type="dxa"/>
          </w:tcPr>
          <w:p w14:paraId="71FE6309"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Outcome</w:t>
            </w:r>
          </w:p>
        </w:tc>
        <w:tc>
          <w:tcPr>
            <w:tcW w:w="1221" w:type="dxa"/>
          </w:tcPr>
          <w:p w14:paraId="472A3832"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Medicines use or PBS utilisation (relevant to program 2.3)</w:t>
            </w:r>
          </w:p>
        </w:tc>
        <w:tc>
          <w:tcPr>
            <w:tcW w:w="4449" w:type="dxa"/>
          </w:tcPr>
          <w:p w14:paraId="39BAAD9B" w14:textId="77777777" w:rsidR="00676ACD" w:rsidRPr="000F281C"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 xml:space="preserve">The Evaluation used a mix of primary data collection activities to address the key evaluation questions </w:t>
            </w:r>
          </w:p>
          <w:p w14:paraId="49A2EC2C" w14:textId="77777777" w:rsidR="00676ACD" w:rsidRPr="000F281C"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Both quantitative and qualitative data were collected from people who participated in the Pilot as consumers (recipients of THN) and front-line staff of sites where naloxone was provided (access site staff</w:t>
            </w:r>
            <w:r>
              <w:rPr>
                <w:rFonts w:asciiTheme="minorHAnsi" w:hAnsiTheme="minorHAnsi" w:cstheme="minorHAnsi"/>
                <w:color w:val="000000"/>
                <w:szCs w:val="16"/>
              </w:rPr>
              <w:t>)</w:t>
            </w:r>
          </w:p>
          <w:p w14:paraId="0A4B3E29" w14:textId="77777777" w:rsidR="00676ACD" w:rsidRPr="000F281C"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Structured consultations with sector representatives and systematic analyses of Pilot documentation were also undertaken</w:t>
            </w:r>
          </w:p>
          <w:p w14:paraId="039C6D23"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Analyses of administrative and research data relating to the supply and use of opioids and naloxone were also conducted</w:t>
            </w:r>
          </w:p>
        </w:tc>
      </w:tr>
      <w:tr w:rsidR="00676ACD" w14:paraId="24ECF911" w14:textId="77777777" w:rsidTr="007B5579">
        <w:tc>
          <w:tcPr>
            <w:tcW w:w="997" w:type="dxa"/>
          </w:tcPr>
          <w:p w14:paraId="3D5744ED" w14:textId="2A21702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University of Melbourne</w:t>
            </w:r>
            <w:r>
              <w:rPr>
                <w:rFonts w:asciiTheme="minorHAnsi" w:hAnsiTheme="minorHAnsi" w:cstheme="minorHAnsi"/>
                <w:szCs w:val="16"/>
              </w:rPr>
              <w:t xml:space="preserve"> </w:t>
            </w:r>
            <w:sdt>
              <w:sdtPr>
                <w:rPr>
                  <w:rFonts w:asciiTheme="minorHAnsi" w:hAnsiTheme="minorHAnsi" w:cstheme="minorHAnsi"/>
                  <w:color w:val="000000"/>
                  <w:szCs w:val="16"/>
                </w:rPr>
                <w:id w:val="-1668632349"/>
                <w:citation/>
              </w:sdtPr>
              <w:sdtEndPr/>
              <w:sdtContent>
                <w:r>
                  <w:rPr>
                    <w:rFonts w:asciiTheme="minorHAnsi" w:hAnsiTheme="minorHAnsi" w:cstheme="minorHAnsi"/>
                    <w:color w:val="000000"/>
                    <w:szCs w:val="16"/>
                  </w:rPr>
                  <w:fldChar w:fldCharType="begin"/>
                </w:r>
                <w:r>
                  <w:rPr>
                    <w:rFonts w:asciiTheme="minorHAnsi" w:hAnsiTheme="minorHAnsi" w:cstheme="minorHAnsi"/>
                    <w:szCs w:val="16"/>
                  </w:rPr>
                  <w:instrText xml:space="preserve"> CITATION Uni20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(42)</w:t>
                </w:r>
                <w:r>
                  <w:rPr>
                    <w:rFonts w:asciiTheme="minorHAnsi" w:hAnsiTheme="minorHAnsi" w:cstheme="minorHAnsi"/>
                    <w:color w:val="000000"/>
                    <w:szCs w:val="16"/>
                  </w:rPr>
                  <w:fldChar w:fldCharType="end"/>
                </w:r>
              </w:sdtContent>
            </w:sdt>
          </w:p>
        </w:tc>
        <w:tc>
          <w:tcPr>
            <w:tcW w:w="1523" w:type="dxa"/>
          </w:tcPr>
          <w:p w14:paraId="57FC0366"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National Suicide Prevention Trial</w:t>
            </w:r>
          </w:p>
        </w:tc>
        <w:tc>
          <w:tcPr>
            <w:tcW w:w="594" w:type="dxa"/>
          </w:tcPr>
          <w:p w14:paraId="7A1B4EF2"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2020</w:t>
            </w:r>
          </w:p>
        </w:tc>
        <w:tc>
          <w:tcPr>
            <w:tcW w:w="1276" w:type="dxa"/>
          </w:tcPr>
          <w:p w14:paraId="04B09387"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Commissioned</w:t>
            </w:r>
          </w:p>
        </w:tc>
        <w:tc>
          <w:tcPr>
            <w:tcW w:w="2748" w:type="dxa"/>
          </w:tcPr>
          <w:p w14:paraId="05184E08"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The National Suicide Prevention Trial was announced by the Australian Government in 2016 and aimed to gather evidence and further understanding of what strategies are most effective in preventing suicide at a local level and in at-risk populations. Twelve trial sites commissioned a range of evidence based and innovative interventions guided by multi-component models.</w:t>
            </w:r>
          </w:p>
        </w:tc>
        <w:tc>
          <w:tcPr>
            <w:tcW w:w="992" w:type="dxa"/>
          </w:tcPr>
          <w:p w14:paraId="10762DED"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Process and outcome</w:t>
            </w:r>
          </w:p>
        </w:tc>
        <w:tc>
          <w:tcPr>
            <w:tcW w:w="1221" w:type="dxa"/>
          </w:tcPr>
          <w:p w14:paraId="20CC863C"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Populations at increased risk (relevant to Mental and Social Health Programs)</w:t>
            </w:r>
          </w:p>
        </w:tc>
        <w:tc>
          <w:tcPr>
            <w:tcW w:w="4449" w:type="dxa"/>
          </w:tcPr>
          <w:p w14:paraId="61467AEB" w14:textId="77777777" w:rsidR="00676ACD" w:rsidRPr="000A3452"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The evaluation used a mixed-methods design drawing on quantitative and qualitative data from a range of sources</w:t>
            </w:r>
          </w:p>
          <w:p w14:paraId="67E68261" w14:textId="77777777" w:rsidR="00676ACD" w:rsidRDefault="00676ACD" w:rsidP="00676ACD">
            <w:pPr>
              <w:pStyle w:val="EYTablebullet2"/>
              <w:numPr>
                <w:ilvl w:val="1"/>
                <w:numId w:val="34"/>
              </w:numPr>
              <w:rPr>
                <w:rFonts w:asciiTheme="minorHAnsi" w:hAnsiTheme="minorHAnsi" w:cstheme="minorHAnsi"/>
              </w:rPr>
            </w:pPr>
            <w:r w:rsidRPr="000A3452">
              <w:rPr>
                <w:rFonts w:asciiTheme="minorHAnsi" w:hAnsiTheme="minorHAnsi" w:cstheme="minorHAnsi"/>
              </w:rPr>
              <w:t>review of key documents</w:t>
            </w:r>
          </w:p>
          <w:p w14:paraId="1124AA7E" w14:textId="77777777" w:rsidR="00676ACD" w:rsidRDefault="00676ACD" w:rsidP="00676ACD">
            <w:pPr>
              <w:pStyle w:val="EYTablebullet2"/>
              <w:numPr>
                <w:ilvl w:val="1"/>
                <w:numId w:val="34"/>
              </w:numPr>
              <w:rPr>
                <w:rFonts w:asciiTheme="minorHAnsi" w:hAnsiTheme="minorHAnsi" w:cstheme="minorHAnsi"/>
              </w:rPr>
            </w:pPr>
            <w:r w:rsidRPr="000A3452">
              <w:rPr>
                <w:rFonts w:asciiTheme="minorHAnsi" w:hAnsiTheme="minorHAnsi" w:cstheme="minorHAnsi"/>
              </w:rPr>
              <w:t>stakeholder consultations</w:t>
            </w:r>
          </w:p>
          <w:p w14:paraId="46AD62CA" w14:textId="77777777" w:rsidR="00676ACD" w:rsidRDefault="00676ACD" w:rsidP="00676ACD">
            <w:pPr>
              <w:pStyle w:val="EYTablebullet2"/>
              <w:numPr>
                <w:ilvl w:val="1"/>
                <w:numId w:val="34"/>
              </w:numPr>
              <w:rPr>
                <w:rFonts w:asciiTheme="minorHAnsi" w:hAnsiTheme="minorHAnsi" w:cstheme="minorHAnsi"/>
              </w:rPr>
            </w:pPr>
            <w:r>
              <w:rPr>
                <w:rFonts w:asciiTheme="minorHAnsi" w:hAnsiTheme="minorHAnsi" w:cstheme="minorHAnsi"/>
              </w:rPr>
              <w:t>o</w:t>
            </w:r>
            <w:r w:rsidRPr="000A3452">
              <w:rPr>
                <w:rFonts w:asciiTheme="minorHAnsi" w:hAnsiTheme="minorHAnsi" w:cstheme="minorHAnsi"/>
              </w:rPr>
              <w:t>bservational / participatory data</w:t>
            </w:r>
          </w:p>
          <w:p w14:paraId="04B3B002" w14:textId="77777777" w:rsidR="00676ACD" w:rsidRPr="000A3452" w:rsidRDefault="00676ACD" w:rsidP="00676ACD">
            <w:pPr>
              <w:pStyle w:val="EYTablebullet2"/>
              <w:numPr>
                <w:ilvl w:val="1"/>
                <w:numId w:val="34"/>
              </w:numPr>
              <w:rPr>
                <w:rFonts w:asciiTheme="minorHAnsi" w:hAnsiTheme="minorHAnsi" w:cstheme="minorHAnsi"/>
              </w:rPr>
            </w:pPr>
            <w:r w:rsidRPr="000A3452">
              <w:rPr>
                <w:rFonts w:asciiTheme="minorHAnsi" w:hAnsiTheme="minorHAnsi" w:cstheme="minorHAnsi"/>
              </w:rPr>
              <w:t>aftercare service user data</w:t>
            </w:r>
          </w:p>
          <w:p w14:paraId="7C740148" w14:textId="77777777" w:rsidR="00676ACD" w:rsidRPr="000F281C" w:rsidRDefault="00676ACD" w:rsidP="00676ACD">
            <w:pPr>
              <w:pStyle w:val="EYTablebullet2"/>
              <w:numPr>
                <w:ilvl w:val="1"/>
                <w:numId w:val="34"/>
              </w:numPr>
              <w:rPr>
                <w:rFonts w:asciiTheme="minorHAnsi" w:hAnsiTheme="minorHAnsi" w:cstheme="minorHAnsi"/>
                <w:szCs w:val="16"/>
              </w:rPr>
            </w:pPr>
            <w:r w:rsidRPr="000A3452">
              <w:rPr>
                <w:rFonts w:asciiTheme="minorHAnsi" w:hAnsiTheme="minorHAnsi" w:cstheme="minorHAnsi"/>
              </w:rPr>
              <w:t>community based activities data</w:t>
            </w:r>
          </w:p>
          <w:p w14:paraId="09622F14" w14:textId="77777777" w:rsidR="00676AC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Eval</w:t>
            </w:r>
            <w:r>
              <w:rPr>
                <w:rFonts w:asciiTheme="minorHAnsi" w:hAnsiTheme="minorHAnsi" w:cstheme="minorHAnsi"/>
                <w:color w:val="000000"/>
                <w:szCs w:val="16"/>
              </w:rPr>
              <w:t>uation</w:t>
            </w:r>
            <w:r w:rsidRPr="00D6251D">
              <w:rPr>
                <w:rFonts w:asciiTheme="minorHAnsi" w:hAnsiTheme="minorHAnsi" w:cstheme="minorHAnsi"/>
                <w:color w:val="000000"/>
                <w:szCs w:val="16"/>
              </w:rPr>
              <w:t xml:space="preserve"> framework provided by </w:t>
            </w:r>
            <w:r>
              <w:rPr>
                <w:rFonts w:asciiTheme="minorHAnsi" w:hAnsiTheme="minorHAnsi" w:cstheme="minorHAnsi"/>
                <w:color w:val="000000"/>
                <w:szCs w:val="16"/>
              </w:rPr>
              <w:t>Department of Health</w:t>
            </w:r>
            <w:r w:rsidRPr="00D6251D">
              <w:rPr>
                <w:rFonts w:asciiTheme="minorHAnsi" w:hAnsiTheme="minorHAnsi" w:cstheme="minorHAnsi"/>
                <w:color w:val="000000"/>
                <w:szCs w:val="16"/>
              </w:rPr>
              <w:t>, program logic included</w:t>
            </w:r>
            <w:r w:rsidRPr="00D6251D">
              <w:rPr>
                <w:rFonts w:asciiTheme="minorHAnsi" w:hAnsiTheme="minorHAnsi" w:cstheme="minorHAnsi"/>
                <w:color w:val="000000"/>
                <w:szCs w:val="16"/>
              </w:rPr>
              <w:br/>
            </w:r>
          </w:p>
          <w:p w14:paraId="16B4D8ED" w14:textId="77777777" w:rsidR="00676ACD" w:rsidRPr="00AB7DCA" w:rsidRDefault="00676ACD" w:rsidP="00676ACD">
            <w:pPr>
              <w:pStyle w:val="EYTablebullet2"/>
              <w:numPr>
                <w:ilvl w:val="1"/>
                <w:numId w:val="34"/>
              </w:numPr>
              <w:rPr>
                <w:rFonts w:asciiTheme="minorHAnsi" w:hAnsiTheme="minorHAnsi" w:cstheme="minorHAnsi"/>
              </w:rPr>
            </w:pPr>
            <w:r w:rsidRPr="00AB7DCA">
              <w:rPr>
                <w:rFonts w:asciiTheme="minorHAnsi" w:hAnsiTheme="minorHAnsi" w:cstheme="minorHAnsi"/>
              </w:rPr>
              <w:lastRenderedPageBreak/>
              <w:t>national epidemiological and service use datasets</w:t>
            </w:r>
          </w:p>
          <w:p w14:paraId="32F2BA97" w14:textId="77777777" w:rsidR="00676ACD" w:rsidRPr="00D6251D" w:rsidRDefault="00676ACD" w:rsidP="00676ACD">
            <w:pPr>
              <w:pStyle w:val="EYTablebullet2"/>
              <w:numPr>
                <w:ilvl w:val="1"/>
                <w:numId w:val="34"/>
              </w:numPr>
              <w:rPr>
                <w:rFonts w:asciiTheme="minorHAnsi" w:hAnsiTheme="minorHAnsi" w:cstheme="minorHAnsi"/>
                <w:szCs w:val="16"/>
              </w:rPr>
            </w:pPr>
            <w:r w:rsidRPr="00AB7DCA">
              <w:rPr>
                <w:rFonts w:asciiTheme="minorHAnsi" w:hAnsiTheme="minorHAnsi" w:cstheme="minorHAnsi"/>
              </w:rPr>
              <w:t>systems modelling and simulation</w:t>
            </w:r>
          </w:p>
        </w:tc>
      </w:tr>
      <w:tr w:rsidR="00676ACD" w14:paraId="3BAA88AC" w14:textId="77777777" w:rsidTr="007B5579">
        <w:tc>
          <w:tcPr>
            <w:tcW w:w="997" w:type="dxa"/>
          </w:tcPr>
          <w:p w14:paraId="321BBC38" w14:textId="625A8CA1"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lastRenderedPageBreak/>
              <w:t>University of Queensland</w:t>
            </w:r>
            <w:r>
              <w:rPr>
                <w:rFonts w:asciiTheme="minorHAnsi" w:hAnsiTheme="minorHAnsi" w:cstheme="minorHAnsi"/>
                <w:szCs w:val="16"/>
              </w:rPr>
              <w:t xml:space="preserve"> </w:t>
            </w:r>
            <w:sdt>
              <w:sdtPr>
                <w:rPr>
                  <w:rFonts w:asciiTheme="minorHAnsi" w:hAnsiTheme="minorHAnsi" w:cstheme="minorHAnsi"/>
                  <w:color w:val="000000"/>
                  <w:szCs w:val="16"/>
                </w:rPr>
                <w:id w:val="536706182"/>
                <w:citation/>
              </w:sdtPr>
              <w:sdtEndPr/>
              <w:sdtContent>
                <w:r>
                  <w:rPr>
                    <w:rFonts w:asciiTheme="minorHAnsi" w:hAnsiTheme="minorHAnsi" w:cstheme="minorHAnsi"/>
                    <w:color w:val="000000"/>
                    <w:szCs w:val="16"/>
                  </w:rPr>
                  <w:fldChar w:fldCharType="begin"/>
                </w:r>
                <w:r>
                  <w:rPr>
                    <w:rFonts w:asciiTheme="minorHAnsi" w:hAnsiTheme="minorHAnsi" w:cstheme="minorHAnsi"/>
                    <w:szCs w:val="16"/>
                  </w:rPr>
                  <w:instrText xml:space="preserve"> CITATION Uni21 \l 3081 </w:instrText>
                </w:r>
                <w:r>
                  <w:rPr>
                    <w:rFonts w:asciiTheme="minorHAnsi" w:hAnsiTheme="minorHAnsi" w:cstheme="minorHAnsi"/>
                    <w:color w:val="000000"/>
                    <w:szCs w:val="16"/>
                  </w:rPr>
                  <w:fldChar w:fldCharType="separate"/>
                </w:r>
                <w:r w:rsidR="00710993" w:rsidRPr="00710993">
                  <w:rPr>
                    <w:rFonts w:asciiTheme="minorHAnsi" w:hAnsiTheme="minorHAnsi" w:cstheme="minorHAnsi"/>
                    <w:noProof/>
                    <w:szCs w:val="16"/>
                  </w:rPr>
                  <w:t>(44)</w:t>
                </w:r>
                <w:r>
                  <w:rPr>
                    <w:rFonts w:asciiTheme="minorHAnsi" w:hAnsiTheme="minorHAnsi" w:cstheme="minorHAnsi"/>
                    <w:color w:val="000000"/>
                    <w:szCs w:val="16"/>
                  </w:rPr>
                  <w:fldChar w:fldCharType="end"/>
                </w:r>
              </w:sdtContent>
            </w:sdt>
          </w:p>
        </w:tc>
        <w:tc>
          <w:tcPr>
            <w:tcW w:w="1523" w:type="dxa"/>
          </w:tcPr>
          <w:p w14:paraId="6D108F47"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Final report for the overarching evaluation of the National Support for Child and Youth Mental Health Program</w:t>
            </w:r>
          </w:p>
        </w:tc>
        <w:tc>
          <w:tcPr>
            <w:tcW w:w="594" w:type="dxa"/>
          </w:tcPr>
          <w:p w14:paraId="2F5575F4"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2021</w:t>
            </w:r>
          </w:p>
        </w:tc>
        <w:tc>
          <w:tcPr>
            <w:tcW w:w="1276" w:type="dxa"/>
          </w:tcPr>
          <w:p w14:paraId="7C9ADF7D"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Commissioned</w:t>
            </w:r>
          </w:p>
        </w:tc>
        <w:tc>
          <w:tcPr>
            <w:tcW w:w="2748" w:type="dxa"/>
          </w:tcPr>
          <w:p w14:paraId="5C7CB40C"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The National Support for Child and Youth Mental Health Program (the Program) aims to improve mental health outcomes for children and young people, commencing with the early years and going through to adolescence, by providing targeted grants for workforce and education activities that will build capabilities aligned to the Program objectives</w:t>
            </w:r>
          </w:p>
        </w:tc>
        <w:tc>
          <w:tcPr>
            <w:tcW w:w="992" w:type="dxa"/>
          </w:tcPr>
          <w:p w14:paraId="37141118"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szCs w:val="16"/>
              </w:rPr>
              <w:t>Process, Outcome, Economic</w:t>
            </w:r>
          </w:p>
        </w:tc>
        <w:tc>
          <w:tcPr>
            <w:tcW w:w="1221" w:type="dxa"/>
          </w:tcPr>
          <w:p w14:paraId="17E08C4E" w14:textId="77777777" w:rsidR="00676ACD" w:rsidRPr="00D6251D" w:rsidRDefault="00676ACD" w:rsidP="007B5579">
            <w:pPr>
              <w:pStyle w:val="EYTabletext0"/>
              <w:rPr>
                <w:rFonts w:asciiTheme="minorHAnsi" w:hAnsiTheme="minorHAnsi" w:cstheme="minorHAnsi"/>
                <w:color w:val="000000"/>
                <w:szCs w:val="16"/>
              </w:rPr>
            </w:pPr>
            <w:r w:rsidRPr="00D6251D">
              <w:rPr>
                <w:rFonts w:asciiTheme="minorHAnsi" w:hAnsiTheme="minorHAnsi" w:cstheme="minorHAnsi"/>
                <w:color w:val="000000"/>
                <w:szCs w:val="16"/>
              </w:rPr>
              <w:t>Populations at increased risk (relevant to Mental and Social Health Programs)</w:t>
            </w:r>
          </w:p>
        </w:tc>
        <w:tc>
          <w:tcPr>
            <w:tcW w:w="4449" w:type="dxa"/>
          </w:tcPr>
          <w:p w14:paraId="1C7343DC"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 xml:space="preserve">This Overarching Evaluation used a suite of complementary qualitative and quantitative research activities to address the Evaluation Questions. The main research methods used included:  </w:t>
            </w:r>
          </w:p>
          <w:p w14:paraId="0CFF1941" w14:textId="77777777" w:rsidR="00676AC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D</w:t>
            </w:r>
            <w:r w:rsidRPr="00D6251D">
              <w:rPr>
                <w:rFonts w:asciiTheme="minorHAnsi" w:hAnsiTheme="minorHAnsi" w:cstheme="minorHAnsi"/>
                <w:color w:val="000000"/>
                <w:szCs w:val="16"/>
              </w:rPr>
              <w:t xml:space="preserve">esign and administration of the National Support Network Survey: a national survey of Educators and Practitioners as the key target audiences for Be You and Emerging Minds, respectively </w:t>
            </w:r>
          </w:p>
          <w:p w14:paraId="31788D49" w14:textId="77777777" w:rsidR="00676ACD" w:rsidRPr="0093154A" w:rsidRDefault="00676ACD" w:rsidP="00676ACD">
            <w:pPr>
              <w:pStyle w:val="EYTablebullet2"/>
              <w:numPr>
                <w:ilvl w:val="1"/>
                <w:numId w:val="34"/>
              </w:numPr>
              <w:rPr>
                <w:rFonts w:asciiTheme="minorHAnsi" w:hAnsiTheme="minorHAnsi" w:cstheme="minorHAnsi"/>
              </w:rPr>
            </w:pPr>
            <w:r w:rsidRPr="0093154A">
              <w:rPr>
                <w:rFonts w:asciiTheme="minorHAnsi" w:hAnsiTheme="minorHAnsi" w:cstheme="minorHAnsi"/>
              </w:rPr>
              <w:t>An Integrated Data Analysis: a secondary analysis of multiple existing datasets appropriate to child and youth mental health</w:t>
            </w:r>
          </w:p>
          <w:p w14:paraId="78D0E59C" w14:textId="77777777" w:rsidR="00676ACD" w:rsidRPr="0093154A" w:rsidRDefault="00676ACD" w:rsidP="00676ACD">
            <w:pPr>
              <w:pStyle w:val="EYTablebullet2"/>
              <w:numPr>
                <w:ilvl w:val="1"/>
                <w:numId w:val="34"/>
              </w:numPr>
              <w:rPr>
                <w:rFonts w:asciiTheme="minorHAnsi" w:hAnsiTheme="minorHAnsi" w:cstheme="minorHAnsi"/>
              </w:rPr>
            </w:pPr>
            <w:r w:rsidRPr="0093154A">
              <w:rPr>
                <w:rFonts w:asciiTheme="minorHAnsi" w:hAnsiTheme="minorHAnsi" w:cstheme="minorHAnsi"/>
              </w:rPr>
              <w:t xml:space="preserve">A Value for Money assessment, including estimates of funding inputs from the Commonwealth Government and alternative scenarios generated from qualitative survey and interview data  </w:t>
            </w:r>
          </w:p>
          <w:p w14:paraId="01058571" w14:textId="77777777" w:rsidR="00676ACD" w:rsidRPr="0093154A" w:rsidRDefault="00676ACD" w:rsidP="00676ACD">
            <w:pPr>
              <w:pStyle w:val="EYTablebullet2"/>
              <w:numPr>
                <w:ilvl w:val="1"/>
                <w:numId w:val="34"/>
              </w:numPr>
              <w:rPr>
                <w:rFonts w:asciiTheme="minorHAnsi" w:hAnsiTheme="minorHAnsi" w:cstheme="minorHAnsi"/>
              </w:rPr>
            </w:pPr>
            <w:r w:rsidRPr="0093154A">
              <w:rPr>
                <w:rFonts w:asciiTheme="minorHAnsi" w:hAnsiTheme="minorHAnsi" w:cstheme="minorHAnsi"/>
              </w:rPr>
              <w:t xml:space="preserve">Community Case Studies: interviews and focus groups conducted with key stakeholder groups in four communities in Queensland and Western Australia, including Educators, Practitioners (clinical and non-clinical), and parents/carers of young people </w:t>
            </w:r>
          </w:p>
          <w:p w14:paraId="4BDCE597" w14:textId="77777777" w:rsidR="00676ACD" w:rsidRPr="0093154A" w:rsidRDefault="00676ACD" w:rsidP="00676ACD">
            <w:pPr>
              <w:pStyle w:val="EYTablebullet2"/>
              <w:numPr>
                <w:ilvl w:val="1"/>
                <w:numId w:val="34"/>
              </w:numPr>
              <w:rPr>
                <w:rFonts w:asciiTheme="minorHAnsi" w:hAnsiTheme="minorHAnsi" w:cstheme="minorHAnsi"/>
              </w:rPr>
            </w:pPr>
            <w:r w:rsidRPr="0093154A">
              <w:rPr>
                <w:rFonts w:asciiTheme="minorHAnsi" w:hAnsiTheme="minorHAnsi" w:cstheme="minorHAnsi"/>
              </w:rPr>
              <w:t xml:space="preserve">Document analysis of evaluation reports from the two Program initiatives: Be You and Emerging Minds </w:t>
            </w:r>
          </w:p>
          <w:p w14:paraId="7460ABC5" w14:textId="77777777" w:rsidR="00676ACD" w:rsidRPr="00D6251D" w:rsidRDefault="00676ACD" w:rsidP="00676ACD">
            <w:pPr>
              <w:pStyle w:val="EYTablebullet2"/>
              <w:numPr>
                <w:ilvl w:val="1"/>
                <w:numId w:val="34"/>
              </w:numPr>
            </w:pPr>
            <w:r w:rsidRPr="0093154A">
              <w:rPr>
                <w:rFonts w:asciiTheme="minorHAnsi" w:hAnsiTheme="minorHAnsi" w:cstheme="minorHAnsi"/>
              </w:rPr>
              <w:t>Key Program Informant Interviews with Be You and Emerging Minds staff</w:t>
            </w:r>
          </w:p>
        </w:tc>
      </w:tr>
    </w:tbl>
    <w:p w14:paraId="1849FBBD" w14:textId="77777777" w:rsidR="00676ACD" w:rsidRDefault="00676ACD" w:rsidP="00676ACD">
      <w:pPr>
        <w:pStyle w:val="DVABodytextwithparaspace"/>
      </w:pPr>
      <w:r>
        <w:br w:type="page"/>
      </w:r>
    </w:p>
    <w:p w14:paraId="694B3F8C" w14:textId="1DBA9106" w:rsidR="00676ACD" w:rsidRDefault="00676ACD" w:rsidP="00676ACD">
      <w:pPr>
        <w:pStyle w:val="Caption"/>
      </w:pPr>
      <w:bookmarkStart w:id="177" w:name="_Ref105508901"/>
      <w:bookmarkStart w:id="178" w:name="_Ref105508875"/>
      <w:r>
        <w:lastRenderedPageBreak/>
        <w:t xml:space="preserve">Table </w:t>
      </w:r>
      <w:r>
        <w:fldChar w:fldCharType="begin"/>
      </w:r>
      <w:r>
        <w:instrText xml:space="preserve"> SEQ Table \* ARABIC </w:instrText>
      </w:r>
      <w:r>
        <w:fldChar w:fldCharType="separate"/>
      </w:r>
      <w:r w:rsidR="00812188">
        <w:rPr>
          <w:noProof/>
        </w:rPr>
        <w:t>18</w:t>
      </w:r>
      <w:r>
        <w:fldChar w:fldCharType="end"/>
      </w:r>
      <w:bookmarkEnd w:id="177"/>
      <w:r>
        <w:t>: Systematic Reviews</w:t>
      </w:r>
      <w:bookmarkEnd w:id="178"/>
    </w:p>
    <w:tbl>
      <w:tblPr>
        <w:tblStyle w:val="TableGrid"/>
        <w:tblW w:w="5000" w:type="pct"/>
        <w:tblLook w:val="04A0" w:firstRow="1" w:lastRow="0" w:firstColumn="1" w:lastColumn="0" w:noHBand="0" w:noVBand="1"/>
      </w:tblPr>
      <w:tblGrid>
        <w:gridCol w:w="1032"/>
        <w:gridCol w:w="1939"/>
        <w:gridCol w:w="568"/>
        <w:gridCol w:w="8538"/>
        <w:gridCol w:w="1911"/>
      </w:tblGrid>
      <w:tr w:rsidR="00676ACD" w:rsidRPr="00D6251D" w14:paraId="62CAFE35" w14:textId="77777777" w:rsidTr="007B5579">
        <w:trPr>
          <w:tblHeader/>
        </w:trPr>
        <w:tc>
          <w:tcPr>
            <w:tcW w:w="369" w:type="pct"/>
            <w:shd w:val="clear" w:color="auto" w:fill="1D3567"/>
          </w:tcPr>
          <w:p w14:paraId="06D1DF6A" w14:textId="77777777" w:rsidR="00676ACD" w:rsidRPr="00674C24" w:rsidRDefault="00676ACD" w:rsidP="007B5579">
            <w:pPr>
              <w:rPr>
                <w:rFonts w:cstheme="minorHAnsi"/>
                <w:b/>
                <w:bCs/>
                <w:color w:val="FFFFFF" w:themeColor="background1"/>
                <w:sz w:val="16"/>
                <w:szCs w:val="16"/>
              </w:rPr>
            </w:pPr>
            <w:r w:rsidRPr="00674C24">
              <w:rPr>
                <w:rFonts w:cstheme="minorHAnsi"/>
                <w:b/>
                <w:bCs/>
                <w:color w:val="FFFFFF" w:themeColor="background1"/>
                <w:sz w:val="16"/>
                <w:szCs w:val="16"/>
              </w:rPr>
              <w:t>Author</w:t>
            </w:r>
          </w:p>
        </w:tc>
        <w:tc>
          <w:tcPr>
            <w:tcW w:w="693" w:type="pct"/>
            <w:shd w:val="clear" w:color="auto" w:fill="1D3567"/>
          </w:tcPr>
          <w:p w14:paraId="3C749B28" w14:textId="77777777" w:rsidR="00676ACD" w:rsidRPr="00674C24" w:rsidRDefault="00676ACD" w:rsidP="007B5579">
            <w:pPr>
              <w:rPr>
                <w:rFonts w:cstheme="minorHAnsi"/>
                <w:b/>
                <w:bCs/>
                <w:color w:val="FFFFFF" w:themeColor="background1"/>
                <w:sz w:val="16"/>
                <w:szCs w:val="16"/>
              </w:rPr>
            </w:pPr>
            <w:r w:rsidRPr="00674C24">
              <w:rPr>
                <w:rFonts w:cstheme="minorHAnsi"/>
                <w:b/>
                <w:bCs/>
                <w:color w:val="FFFFFF" w:themeColor="background1"/>
                <w:sz w:val="16"/>
                <w:szCs w:val="16"/>
              </w:rPr>
              <w:t xml:space="preserve">Article Title </w:t>
            </w:r>
          </w:p>
        </w:tc>
        <w:tc>
          <w:tcPr>
            <w:tcW w:w="203" w:type="pct"/>
            <w:shd w:val="clear" w:color="auto" w:fill="1D3567"/>
          </w:tcPr>
          <w:p w14:paraId="60712977" w14:textId="77777777" w:rsidR="00676ACD" w:rsidRPr="00674C24" w:rsidRDefault="00676ACD" w:rsidP="007B5579">
            <w:pPr>
              <w:rPr>
                <w:rFonts w:cstheme="minorHAnsi"/>
                <w:b/>
                <w:bCs/>
                <w:color w:val="FFFFFF" w:themeColor="background1"/>
                <w:sz w:val="16"/>
                <w:szCs w:val="16"/>
              </w:rPr>
            </w:pPr>
            <w:r w:rsidRPr="00674C24">
              <w:rPr>
                <w:rFonts w:cstheme="minorHAnsi"/>
                <w:b/>
                <w:bCs/>
                <w:color w:val="FFFFFF" w:themeColor="background1"/>
                <w:sz w:val="16"/>
                <w:szCs w:val="16"/>
              </w:rPr>
              <w:t>Year</w:t>
            </w:r>
          </w:p>
        </w:tc>
        <w:tc>
          <w:tcPr>
            <w:tcW w:w="3052" w:type="pct"/>
            <w:shd w:val="clear" w:color="auto" w:fill="1D3567"/>
          </w:tcPr>
          <w:p w14:paraId="7050B58F" w14:textId="77777777" w:rsidR="00676ACD" w:rsidRPr="00674C24" w:rsidRDefault="00676ACD" w:rsidP="007B5579">
            <w:pPr>
              <w:rPr>
                <w:rFonts w:cstheme="minorHAnsi"/>
                <w:b/>
                <w:bCs/>
                <w:color w:val="FFFFFF" w:themeColor="background1"/>
                <w:sz w:val="16"/>
                <w:szCs w:val="16"/>
              </w:rPr>
            </w:pPr>
            <w:r w:rsidRPr="00674C24">
              <w:rPr>
                <w:rFonts w:cstheme="minorHAnsi"/>
                <w:b/>
                <w:bCs/>
                <w:color w:val="FFFFFF" w:themeColor="background1"/>
                <w:sz w:val="16"/>
                <w:szCs w:val="16"/>
              </w:rPr>
              <w:t xml:space="preserve">Key Findings </w:t>
            </w:r>
          </w:p>
        </w:tc>
        <w:tc>
          <w:tcPr>
            <w:tcW w:w="683" w:type="pct"/>
            <w:shd w:val="clear" w:color="auto" w:fill="1D3567"/>
          </w:tcPr>
          <w:p w14:paraId="63522E67" w14:textId="77777777" w:rsidR="00676ACD" w:rsidRPr="00674C24" w:rsidRDefault="00676ACD" w:rsidP="007B5579">
            <w:pPr>
              <w:rPr>
                <w:rFonts w:cstheme="minorHAnsi"/>
                <w:b/>
                <w:bCs/>
                <w:color w:val="FFFFFF" w:themeColor="background1"/>
                <w:sz w:val="16"/>
                <w:szCs w:val="16"/>
              </w:rPr>
            </w:pPr>
            <w:r w:rsidRPr="00674C24">
              <w:rPr>
                <w:rFonts w:cstheme="minorHAnsi"/>
                <w:b/>
                <w:bCs/>
                <w:color w:val="FFFFFF" w:themeColor="background1"/>
                <w:sz w:val="16"/>
                <w:szCs w:val="16"/>
              </w:rPr>
              <w:t>Relevance to DVA and their programs</w:t>
            </w:r>
          </w:p>
        </w:tc>
      </w:tr>
      <w:tr w:rsidR="00676ACD" w:rsidRPr="00D6251D" w14:paraId="71B4E54B" w14:textId="77777777" w:rsidTr="007B5579">
        <w:tc>
          <w:tcPr>
            <w:tcW w:w="369" w:type="pct"/>
          </w:tcPr>
          <w:p w14:paraId="20871A76" w14:textId="77777777" w:rsidR="00676ACD" w:rsidRDefault="00676ACD" w:rsidP="007B5579">
            <w:pPr>
              <w:rPr>
                <w:rFonts w:cstheme="minorHAnsi"/>
                <w:sz w:val="16"/>
                <w:szCs w:val="16"/>
              </w:rPr>
            </w:pPr>
            <w:r w:rsidRPr="00D6251D">
              <w:rPr>
                <w:rFonts w:cstheme="minorHAnsi"/>
                <w:sz w:val="16"/>
                <w:szCs w:val="16"/>
              </w:rPr>
              <w:t>Barclay, Linda et al.</w:t>
            </w:r>
          </w:p>
          <w:p w14:paraId="7A0EE739" w14:textId="3B7D2380" w:rsidR="00676ACD" w:rsidRDefault="00676ACD" w:rsidP="007B5579">
            <w:pPr>
              <w:rPr>
                <w:rFonts w:cstheme="minorHAnsi"/>
                <w:sz w:val="16"/>
                <w:szCs w:val="16"/>
              </w:rPr>
            </w:pPr>
            <w:r>
              <w:rPr>
                <w:rFonts w:cstheme="minorHAnsi"/>
                <w:sz w:val="16"/>
                <w:szCs w:val="16"/>
              </w:rPr>
              <w:fldChar w:fldCharType="begin"/>
            </w:r>
            <w:r>
              <w:rPr>
                <w:rFonts w:cstheme="minorHAnsi"/>
                <w:sz w:val="16"/>
                <w:szCs w:val="16"/>
              </w:rPr>
              <w:instrText xml:space="preserve"> CITATION Bar20 \l 3081 </w:instrText>
            </w:r>
            <w:r>
              <w:rPr>
                <w:rFonts w:cstheme="minorHAnsi"/>
                <w:sz w:val="16"/>
                <w:szCs w:val="16"/>
              </w:rPr>
              <w:fldChar w:fldCharType="separate"/>
            </w:r>
            <w:r w:rsidR="00710993">
              <w:rPr>
                <w:rFonts w:cstheme="minorHAnsi"/>
                <w:noProof/>
                <w:sz w:val="16"/>
                <w:szCs w:val="16"/>
              </w:rPr>
              <w:t xml:space="preserve"> </w:t>
            </w:r>
            <w:r w:rsidR="00710993" w:rsidRPr="00710993">
              <w:rPr>
                <w:rFonts w:cstheme="minorHAnsi"/>
                <w:noProof/>
                <w:sz w:val="16"/>
                <w:szCs w:val="16"/>
              </w:rPr>
              <w:t>(4)</w:t>
            </w:r>
            <w:r>
              <w:rPr>
                <w:rFonts w:cstheme="minorHAnsi"/>
                <w:sz w:val="16"/>
                <w:szCs w:val="16"/>
              </w:rPr>
              <w:fldChar w:fldCharType="end"/>
            </w:r>
          </w:p>
          <w:p w14:paraId="28C9650D" w14:textId="77777777" w:rsidR="00676ACD" w:rsidRPr="00D6251D" w:rsidRDefault="00676ACD" w:rsidP="007B5579">
            <w:pPr>
              <w:rPr>
                <w:rFonts w:cstheme="minorHAnsi"/>
                <w:sz w:val="16"/>
                <w:szCs w:val="16"/>
              </w:rPr>
            </w:pPr>
          </w:p>
        </w:tc>
        <w:tc>
          <w:tcPr>
            <w:tcW w:w="693" w:type="pct"/>
          </w:tcPr>
          <w:p w14:paraId="51367A90" w14:textId="77777777" w:rsidR="00676ACD" w:rsidRPr="00D6251D" w:rsidRDefault="00676ACD" w:rsidP="007B5579">
            <w:pPr>
              <w:rPr>
                <w:rFonts w:cstheme="minorHAnsi"/>
                <w:sz w:val="16"/>
                <w:szCs w:val="16"/>
              </w:rPr>
            </w:pPr>
            <w:r w:rsidRPr="00D6251D">
              <w:rPr>
                <w:rFonts w:cstheme="minorHAnsi"/>
                <w:sz w:val="16"/>
                <w:szCs w:val="16"/>
              </w:rPr>
              <w:t>Community integration programs and interventions for people with spinal cord injury: a scoping review</w:t>
            </w:r>
          </w:p>
        </w:tc>
        <w:tc>
          <w:tcPr>
            <w:tcW w:w="203" w:type="pct"/>
          </w:tcPr>
          <w:p w14:paraId="3208D429" w14:textId="77777777" w:rsidR="00676ACD" w:rsidRPr="00D6251D" w:rsidRDefault="00676ACD" w:rsidP="007B5579">
            <w:pPr>
              <w:rPr>
                <w:rFonts w:cstheme="minorHAnsi"/>
                <w:sz w:val="16"/>
                <w:szCs w:val="16"/>
              </w:rPr>
            </w:pPr>
            <w:r w:rsidRPr="00D6251D">
              <w:rPr>
                <w:rFonts w:cstheme="minorHAnsi"/>
                <w:sz w:val="16"/>
                <w:szCs w:val="16"/>
              </w:rPr>
              <w:t>2020</w:t>
            </w:r>
          </w:p>
        </w:tc>
        <w:tc>
          <w:tcPr>
            <w:tcW w:w="3052" w:type="pct"/>
          </w:tcPr>
          <w:p w14:paraId="17BFE750" w14:textId="77777777" w:rsidR="00676ACD" w:rsidRPr="00D6251D" w:rsidRDefault="00676ACD" w:rsidP="007B5579">
            <w:pPr>
              <w:pStyle w:val="EYTablebullet1"/>
              <w:rPr>
                <w:rFonts w:asciiTheme="minorHAnsi" w:hAnsiTheme="minorHAnsi" w:cstheme="minorHAnsi"/>
                <w:szCs w:val="16"/>
              </w:rPr>
            </w:pPr>
            <w:r w:rsidRPr="00EC31EB">
              <w:rPr>
                <w:rFonts w:asciiTheme="minorHAnsi" w:hAnsiTheme="minorHAnsi" w:cstheme="minorHAnsi"/>
                <w:color w:val="000000"/>
                <w:szCs w:val="16"/>
              </w:rPr>
              <w:t>O</w:t>
            </w:r>
            <w:r w:rsidRPr="00D6251D">
              <w:rPr>
                <w:rFonts w:asciiTheme="minorHAnsi" w:hAnsiTheme="minorHAnsi" w:cstheme="minorHAnsi"/>
                <w:szCs w:val="16"/>
              </w:rPr>
              <w:t>f the evaluations reviewed, there was great variation in the study designs and methods used, including pilot studies (n=2), mixed methods evaluation (n=2), single-site randomised controlled trials (n=3), and randomised single-arm study design (n=1)</w:t>
            </w:r>
          </w:p>
          <w:p w14:paraId="3819A74E" w14:textId="77777777" w:rsidR="00676ACD" w:rsidRPr="00D6251D" w:rsidRDefault="00676ACD" w:rsidP="007B5579">
            <w:pPr>
              <w:pStyle w:val="EYTablebullet1"/>
              <w:rPr>
                <w:rFonts w:asciiTheme="minorHAnsi" w:hAnsiTheme="minorHAnsi" w:cstheme="minorHAnsi"/>
                <w:szCs w:val="16"/>
              </w:rPr>
            </w:pPr>
            <w:r w:rsidRPr="00EC31EB">
              <w:rPr>
                <w:rFonts w:asciiTheme="minorHAnsi" w:hAnsiTheme="minorHAnsi" w:cstheme="minorHAnsi"/>
                <w:color w:val="000000"/>
                <w:szCs w:val="16"/>
              </w:rPr>
              <w:t>Evaluating multi-disc</w:t>
            </w:r>
            <w:r w:rsidRPr="00D6251D">
              <w:rPr>
                <w:rFonts w:asciiTheme="minorHAnsi" w:hAnsiTheme="minorHAnsi" w:cstheme="minorHAnsi"/>
                <w:szCs w:val="16"/>
              </w:rPr>
              <w:t>iplinary programs that deliver a range of interventions is challenging, as such programs need to be personalised to meet the needs of individual patients</w:t>
            </w:r>
          </w:p>
          <w:p w14:paraId="4B341A80" w14:textId="77777777" w:rsidR="00676ACD" w:rsidRPr="00C01DEF" w:rsidRDefault="00676ACD" w:rsidP="007B5579">
            <w:pPr>
              <w:pStyle w:val="EYTablebullet1"/>
            </w:pPr>
            <w:r w:rsidRPr="00EC31EB">
              <w:rPr>
                <w:rFonts w:asciiTheme="minorHAnsi" w:hAnsiTheme="minorHAnsi" w:cstheme="minorHAnsi"/>
                <w:color w:val="000000"/>
                <w:szCs w:val="16"/>
              </w:rPr>
              <w:t>Some studies reviewed highlighted that qualitative feedback was able to gauge patient and family satisfaction, however, no significant change was identified in quantitative outcomes in one of the randomised control trials</w:t>
            </w:r>
          </w:p>
          <w:p w14:paraId="28E97F10" w14:textId="77777777" w:rsidR="00676ACD" w:rsidRPr="00EC31EB" w:rsidRDefault="00676ACD" w:rsidP="007B5579">
            <w:pPr>
              <w:pStyle w:val="EYTablebullet1"/>
            </w:pPr>
            <w:r>
              <w:rPr>
                <w:rFonts w:asciiTheme="minorHAnsi" w:hAnsiTheme="minorHAnsi" w:cstheme="minorHAnsi"/>
                <w:color w:val="000000"/>
                <w:szCs w:val="16"/>
              </w:rPr>
              <w:t>A</w:t>
            </w:r>
            <w:r w:rsidRPr="00D6251D">
              <w:rPr>
                <w:rFonts w:asciiTheme="minorHAnsi" w:hAnsiTheme="minorHAnsi" w:cstheme="minorHAnsi"/>
                <w:color w:val="000000"/>
                <w:szCs w:val="16"/>
              </w:rPr>
              <w:t>cknowledgement by the authors that scoping reviews do not typically assess the quality of included articles, therefore results are more challenging to interpret and limits uptake into policy and practice</w:t>
            </w:r>
          </w:p>
        </w:tc>
        <w:tc>
          <w:tcPr>
            <w:tcW w:w="683" w:type="pct"/>
          </w:tcPr>
          <w:p w14:paraId="20BC4522" w14:textId="77777777" w:rsidR="00676ACD" w:rsidRPr="00D6251D" w:rsidRDefault="00676ACD" w:rsidP="007B5579">
            <w:pPr>
              <w:rPr>
                <w:rFonts w:cstheme="minorHAnsi"/>
                <w:sz w:val="16"/>
                <w:szCs w:val="16"/>
              </w:rPr>
            </w:pPr>
            <w:r w:rsidRPr="00D6251D">
              <w:rPr>
                <w:rFonts w:cstheme="minorHAnsi"/>
                <w:color w:val="000000"/>
                <w:sz w:val="16"/>
                <w:szCs w:val="16"/>
              </w:rPr>
              <w:t>Community care and support</w:t>
            </w:r>
            <w:r>
              <w:rPr>
                <w:rFonts w:cstheme="minorHAnsi"/>
                <w:color w:val="000000"/>
                <w:sz w:val="16"/>
                <w:szCs w:val="16"/>
              </w:rPr>
              <w:t xml:space="preserve"> </w:t>
            </w:r>
            <w:r w:rsidRPr="00D6251D">
              <w:rPr>
                <w:rFonts w:cstheme="minorHAnsi"/>
                <w:color w:val="000000"/>
                <w:sz w:val="16"/>
                <w:szCs w:val="16"/>
              </w:rPr>
              <w:t>(relevant to Program 2.4)</w:t>
            </w:r>
          </w:p>
        </w:tc>
      </w:tr>
      <w:tr w:rsidR="00676ACD" w:rsidRPr="00D6251D" w14:paraId="05BCF6D7" w14:textId="77777777" w:rsidTr="007B5579">
        <w:trPr>
          <w:trHeight w:val="1086"/>
        </w:trPr>
        <w:tc>
          <w:tcPr>
            <w:tcW w:w="369" w:type="pct"/>
          </w:tcPr>
          <w:p w14:paraId="43CD5413" w14:textId="77777777" w:rsidR="00676ACD" w:rsidRDefault="00676ACD" w:rsidP="007B5579">
            <w:pPr>
              <w:rPr>
                <w:rFonts w:cstheme="minorHAnsi"/>
                <w:sz w:val="16"/>
                <w:szCs w:val="16"/>
              </w:rPr>
            </w:pPr>
            <w:r w:rsidRPr="00D6251D">
              <w:rPr>
                <w:rFonts w:cstheme="minorHAnsi"/>
                <w:sz w:val="16"/>
                <w:szCs w:val="16"/>
              </w:rPr>
              <w:t>Browne, Jennifer, et al.</w:t>
            </w:r>
          </w:p>
          <w:p w14:paraId="371F310C" w14:textId="40C3E1C5" w:rsidR="00676ACD" w:rsidRPr="00D6251D" w:rsidRDefault="00676ACD" w:rsidP="007B5579">
            <w:pPr>
              <w:rPr>
                <w:rFonts w:cstheme="minorHAnsi"/>
                <w:sz w:val="16"/>
                <w:szCs w:val="16"/>
              </w:rPr>
            </w:pPr>
            <w:r>
              <w:rPr>
                <w:rFonts w:cstheme="minorHAnsi"/>
                <w:sz w:val="16"/>
                <w:szCs w:val="16"/>
              </w:rPr>
              <w:fldChar w:fldCharType="begin"/>
            </w:r>
            <w:r>
              <w:rPr>
                <w:rFonts w:cstheme="minorHAnsi"/>
                <w:sz w:val="16"/>
                <w:szCs w:val="16"/>
              </w:rPr>
              <w:instrText xml:space="preserve"> CITATION Bro18 \l 3081 </w:instrText>
            </w:r>
            <w:r>
              <w:rPr>
                <w:rFonts w:cstheme="minorHAnsi"/>
                <w:sz w:val="16"/>
                <w:szCs w:val="16"/>
              </w:rPr>
              <w:fldChar w:fldCharType="separate"/>
            </w:r>
            <w:r w:rsidR="00710993">
              <w:rPr>
                <w:rFonts w:cstheme="minorHAnsi"/>
                <w:noProof/>
                <w:sz w:val="16"/>
                <w:szCs w:val="16"/>
              </w:rPr>
              <w:t xml:space="preserve"> </w:t>
            </w:r>
            <w:r w:rsidR="00710993" w:rsidRPr="00710993">
              <w:rPr>
                <w:rFonts w:cstheme="minorHAnsi"/>
                <w:noProof/>
                <w:sz w:val="16"/>
                <w:szCs w:val="16"/>
              </w:rPr>
              <w:t>(7)</w:t>
            </w:r>
            <w:r>
              <w:rPr>
                <w:rFonts w:cstheme="minorHAnsi"/>
                <w:sz w:val="16"/>
                <w:szCs w:val="16"/>
              </w:rPr>
              <w:fldChar w:fldCharType="end"/>
            </w:r>
          </w:p>
        </w:tc>
        <w:tc>
          <w:tcPr>
            <w:tcW w:w="693" w:type="pct"/>
          </w:tcPr>
          <w:p w14:paraId="42A97286" w14:textId="77777777" w:rsidR="00676ACD" w:rsidRPr="00D6251D" w:rsidRDefault="00676ACD" w:rsidP="007B5579">
            <w:pPr>
              <w:rPr>
                <w:rFonts w:cstheme="minorHAnsi"/>
                <w:sz w:val="16"/>
                <w:szCs w:val="16"/>
              </w:rPr>
            </w:pPr>
            <w:r w:rsidRPr="00D6251D">
              <w:rPr>
                <w:rFonts w:cstheme="minorHAnsi"/>
                <w:sz w:val="16"/>
                <w:szCs w:val="16"/>
              </w:rPr>
              <w:t>Food and nutrition programs for Aboriginal and Torres Strait Islander Australians: an overview of systematic reviews</w:t>
            </w:r>
          </w:p>
        </w:tc>
        <w:tc>
          <w:tcPr>
            <w:tcW w:w="203" w:type="pct"/>
          </w:tcPr>
          <w:p w14:paraId="799B5E5C" w14:textId="77777777" w:rsidR="00676ACD" w:rsidRPr="00D6251D" w:rsidRDefault="00676ACD" w:rsidP="007B5579">
            <w:pPr>
              <w:rPr>
                <w:rFonts w:cstheme="minorHAnsi"/>
                <w:sz w:val="16"/>
                <w:szCs w:val="16"/>
              </w:rPr>
            </w:pPr>
            <w:r w:rsidRPr="00D6251D">
              <w:rPr>
                <w:rFonts w:cstheme="minorHAnsi"/>
                <w:sz w:val="16"/>
                <w:szCs w:val="16"/>
              </w:rPr>
              <w:t>2018</w:t>
            </w:r>
          </w:p>
        </w:tc>
        <w:tc>
          <w:tcPr>
            <w:tcW w:w="3052" w:type="pct"/>
          </w:tcPr>
          <w:p w14:paraId="587FEDE6" w14:textId="77777777" w:rsidR="00676ACD" w:rsidRPr="00327904" w:rsidRDefault="00676ACD" w:rsidP="007B5579">
            <w:pPr>
              <w:pStyle w:val="EYTablebullet1"/>
              <w:rPr>
                <w:rFonts w:asciiTheme="minorHAnsi" w:hAnsiTheme="minorHAnsi" w:cstheme="minorHAnsi"/>
                <w:color w:val="000000"/>
                <w:szCs w:val="16"/>
              </w:rPr>
            </w:pPr>
            <w:r w:rsidRPr="00327904">
              <w:rPr>
                <w:rFonts w:asciiTheme="minorHAnsi" w:hAnsiTheme="minorHAnsi" w:cstheme="minorHAnsi"/>
                <w:color w:val="000000"/>
                <w:szCs w:val="16"/>
              </w:rPr>
              <w:t>Rigorous mixed-method approaches can enhance the evaluation of health promotion programs</w:t>
            </w:r>
          </w:p>
          <w:p w14:paraId="3ED681C6"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The social, cultural and geographical diversity of Aboriginal and Torres Strait Islander communities in Australia meant that a one-size-fits-all approach is unlikely to be successful</w:t>
            </w:r>
          </w:p>
          <w:p w14:paraId="463D4E03" w14:textId="77777777" w:rsidR="00676ACD" w:rsidRPr="00327904"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In order to improve health outcomes, other social and cultural determinants of health must be addressed alongside nutrition</w:t>
            </w:r>
          </w:p>
        </w:tc>
        <w:tc>
          <w:tcPr>
            <w:tcW w:w="683" w:type="pct"/>
          </w:tcPr>
          <w:p w14:paraId="38E6B510" w14:textId="77777777" w:rsidR="00676ACD" w:rsidRPr="00D6251D" w:rsidRDefault="00676ACD" w:rsidP="007B5579">
            <w:pPr>
              <w:rPr>
                <w:rFonts w:cstheme="minorHAnsi"/>
                <w:sz w:val="16"/>
                <w:szCs w:val="16"/>
              </w:rPr>
            </w:pPr>
            <w:r w:rsidRPr="00D6251D">
              <w:rPr>
                <w:rFonts w:cstheme="minorHAnsi"/>
                <w:color w:val="000000"/>
                <w:sz w:val="16"/>
                <w:szCs w:val="16"/>
              </w:rPr>
              <w:t>Populations at increased risk (relevant to Mental and Social Health Programs)</w:t>
            </w:r>
          </w:p>
        </w:tc>
      </w:tr>
      <w:tr w:rsidR="00676ACD" w:rsidRPr="00D6251D" w14:paraId="623A5981" w14:textId="77777777" w:rsidTr="007B5579">
        <w:tc>
          <w:tcPr>
            <w:tcW w:w="369" w:type="pct"/>
          </w:tcPr>
          <w:p w14:paraId="3D564948" w14:textId="77777777" w:rsidR="00676ACD" w:rsidRDefault="00676ACD" w:rsidP="007B5579">
            <w:pPr>
              <w:rPr>
                <w:rFonts w:cstheme="minorHAnsi"/>
                <w:sz w:val="16"/>
                <w:szCs w:val="16"/>
              </w:rPr>
            </w:pPr>
            <w:r w:rsidRPr="00D6251D">
              <w:rPr>
                <w:rFonts w:cstheme="minorHAnsi"/>
                <w:sz w:val="16"/>
                <w:szCs w:val="16"/>
              </w:rPr>
              <w:t>Dabkowski, Elissa et al.</w:t>
            </w:r>
          </w:p>
          <w:p w14:paraId="32462B52" w14:textId="799DBC7B" w:rsidR="00676ACD" w:rsidRPr="00D6251D" w:rsidRDefault="00676ACD" w:rsidP="007B5579">
            <w:pPr>
              <w:rPr>
                <w:rFonts w:cstheme="minorHAnsi"/>
                <w:sz w:val="16"/>
                <w:szCs w:val="16"/>
              </w:rPr>
            </w:pPr>
            <w:r>
              <w:rPr>
                <w:rFonts w:cstheme="minorHAnsi"/>
                <w:sz w:val="16"/>
                <w:szCs w:val="16"/>
              </w:rPr>
              <w:fldChar w:fldCharType="begin"/>
            </w:r>
            <w:r>
              <w:rPr>
                <w:rFonts w:cstheme="minorHAnsi"/>
                <w:sz w:val="16"/>
                <w:szCs w:val="16"/>
              </w:rPr>
              <w:instrText xml:space="preserve">CITATION Dab21 \l 3081 </w:instrText>
            </w:r>
            <w:r>
              <w:rPr>
                <w:rFonts w:cstheme="minorHAnsi"/>
                <w:sz w:val="16"/>
                <w:szCs w:val="16"/>
              </w:rPr>
              <w:fldChar w:fldCharType="separate"/>
            </w:r>
            <w:r w:rsidR="00710993">
              <w:rPr>
                <w:rFonts w:cstheme="minorHAnsi"/>
                <w:noProof/>
                <w:sz w:val="16"/>
                <w:szCs w:val="16"/>
              </w:rPr>
              <w:t xml:space="preserve"> </w:t>
            </w:r>
            <w:r w:rsidR="00710993" w:rsidRPr="00710993">
              <w:rPr>
                <w:rFonts w:cstheme="minorHAnsi"/>
                <w:noProof/>
                <w:sz w:val="16"/>
                <w:szCs w:val="16"/>
              </w:rPr>
              <w:t>(10)</w:t>
            </w:r>
            <w:r>
              <w:rPr>
                <w:rFonts w:cstheme="minorHAnsi"/>
                <w:sz w:val="16"/>
                <w:szCs w:val="16"/>
              </w:rPr>
              <w:fldChar w:fldCharType="end"/>
            </w:r>
          </w:p>
        </w:tc>
        <w:tc>
          <w:tcPr>
            <w:tcW w:w="693" w:type="pct"/>
          </w:tcPr>
          <w:p w14:paraId="48F8AC4D" w14:textId="77777777" w:rsidR="00676ACD" w:rsidRPr="00D6251D" w:rsidRDefault="00676ACD" w:rsidP="007B5579">
            <w:pPr>
              <w:rPr>
                <w:rFonts w:cstheme="minorHAnsi"/>
                <w:sz w:val="16"/>
                <w:szCs w:val="16"/>
              </w:rPr>
            </w:pPr>
            <w:r w:rsidRPr="00D6251D">
              <w:rPr>
                <w:rFonts w:cstheme="minorHAnsi"/>
                <w:sz w:val="16"/>
                <w:szCs w:val="16"/>
              </w:rPr>
              <w:t>An exploration into suicide prevention initiatives for mental health nurses: A systematic literature review</w:t>
            </w:r>
          </w:p>
        </w:tc>
        <w:tc>
          <w:tcPr>
            <w:tcW w:w="203" w:type="pct"/>
          </w:tcPr>
          <w:p w14:paraId="06F6D2B4" w14:textId="77777777" w:rsidR="00676ACD" w:rsidRPr="00D6251D" w:rsidRDefault="00676ACD" w:rsidP="007B5579">
            <w:pPr>
              <w:rPr>
                <w:rFonts w:cstheme="minorHAnsi"/>
                <w:sz w:val="16"/>
                <w:szCs w:val="16"/>
              </w:rPr>
            </w:pPr>
            <w:r w:rsidRPr="00D6251D">
              <w:rPr>
                <w:rFonts w:cstheme="minorHAnsi"/>
                <w:sz w:val="16"/>
                <w:szCs w:val="16"/>
              </w:rPr>
              <w:t>2021</w:t>
            </w:r>
          </w:p>
        </w:tc>
        <w:tc>
          <w:tcPr>
            <w:tcW w:w="3052" w:type="pct"/>
          </w:tcPr>
          <w:p w14:paraId="45FDF6DE"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Artic</w:t>
            </w:r>
            <w:r w:rsidRPr="00D6251D">
              <w:rPr>
                <w:rFonts w:asciiTheme="minorHAnsi" w:hAnsiTheme="minorHAnsi" w:cstheme="minorHAnsi"/>
                <w:szCs w:val="16"/>
              </w:rPr>
              <w:t>les included in the review consisted of quantitative (n=10), mixed methods (n=2), and qualitative studies (n=2)</w:t>
            </w:r>
          </w:p>
          <w:p w14:paraId="3AF47452"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Frequently us</w:t>
            </w:r>
            <w:r w:rsidRPr="00D6251D">
              <w:rPr>
                <w:rFonts w:asciiTheme="minorHAnsi" w:hAnsiTheme="minorHAnsi" w:cstheme="minorHAnsi"/>
                <w:szCs w:val="16"/>
              </w:rPr>
              <w:t>ed study design within the selected papers was a pre- and post-test evaluation methodology, with data collected immediately before and after the intervention</w:t>
            </w:r>
          </w:p>
          <w:p w14:paraId="4F1F472E"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Limitations of the final data set in</w:t>
            </w:r>
            <w:r w:rsidRPr="00D6251D">
              <w:rPr>
                <w:rFonts w:asciiTheme="minorHAnsi" w:hAnsiTheme="minorHAnsi" w:cstheme="minorHAnsi"/>
                <w:szCs w:val="16"/>
              </w:rPr>
              <w:t>cluded self-reporting and an absence of long-term follow-up</w:t>
            </w:r>
          </w:p>
          <w:p w14:paraId="7DFA7DEF"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S</w:t>
            </w:r>
            <w:r w:rsidRPr="00D6251D">
              <w:rPr>
                <w:rFonts w:asciiTheme="minorHAnsi" w:hAnsiTheme="minorHAnsi" w:cstheme="minorHAnsi"/>
                <w:szCs w:val="16"/>
              </w:rPr>
              <w:t>ome authors within the articles noted that participants were motivated to attend the intervention, which potentially skews results</w:t>
            </w:r>
          </w:p>
          <w:p w14:paraId="0DBE2BF2"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Som</w:t>
            </w:r>
            <w:r w:rsidRPr="00D6251D">
              <w:rPr>
                <w:rFonts w:asciiTheme="minorHAnsi" w:hAnsiTheme="minorHAnsi" w:cstheme="minorHAnsi"/>
                <w:szCs w:val="16"/>
              </w:rPr>
              <w:t>e articles discussed the lack of control groups to their intervention may have been a limitation to findings</w:t>
            </w:r>
          </w:p>
          <w:p w14:paraId="53A8889A" w14:textId="77777777" w:rsidR="00676ACD" w:rsidRPr="00D6251D" w:rsidRDefault="00676ACD" w:rsidP="007B5579">
            <w:pPr>
              <w:pStyle w:val="EYTablebullet1"/>
              <w:rPr>
                <w:rFonts w:asciiTheme="minorHAnsi" w:hAnsiTheme="minorHAnsi" w:cstheme="minorHAnsi"/>
                <w:szCs w:val="16"/>
              </w:rPr>
            </w:pPr>
            <w:r w:rsidRPr="00E97056">
              <w:rPr>
                <w:rFonts w:asciiTheme="minorHAnsi" w:hAnsiTheme="minorHAnsi" w:cstheme="minorHAnsi"/>
                <w:color w:val="000000"/>
                <w:szCs w:val="16"/>
              </w:rPr>
              <w:t>Thematic analysis using focus groups was the predominant choice for qualitative research</w:t>
            </w:r>
          </w:p>
        </w:tc>
        <w:tc>
          <w:tcPr>
            <w:tcW w:w="683" w:type="pct"/>
          </w:tcPr>
          <w:p w14:paraId="038D63CD" w14:textId="77777777" w:rsidR="00676ACD" w:rsidRPr="00D6251D" w:rsidRDefault="00676ACD" w:rsidP="007B5579">
            <w:pPr>
              <w:rPr>
                <w:rFonts w:cstheme="minorHAnsi"/>
                <w:sz w:val="16"/>
                <w:szCs w:val="16"/>
              </w:rPr>
            </w:pPr>
            <w:r w:rsidRPr="00D6251D">
              <w:rPr>
                <w:rFonts w:cstheme="minorHAnsi"/>
                <w:color w:val="000000"/>
                <w:sz w:val="16"/>
                <w:szCs w:val="16"/>
              </w:rPr>
              <w:t>Prevention &amp; Early intervention (relevant to Mental and Social Health Programs)</w:t>
            </w:r>
          </w:p>
        </w:tc>
      </w:tr>
      <w:tr w:rsidR="00676ACD" w:rsidRPr="00D6251D" w14:paraId="16682FA2" w14:textId="77777777" w:rsidTr="007B5579">
        <w:tc>
          <w:tcPr>
            <w:tcW w:w="369" w:type="pct"/>
          </w:tcPr>
          <w:p w14:paraId="7388A63E" w14:textId="77777777" w:rsidR="00676ACD" w:rsidRDefault="00676ACD" w:rsidP="007B5579">
            <w:pPr>
              <w:rPr>
                <w:rFonts w:cstheme="minorHAnsi"/>
                <w:sz w:val="16"/>
                <w:szCs w:val="16"/>
              </w:rPr>
            </w:pPr>
            <w:r w:rsidRPr="00D6251D">
              <w:rPr>
                <w:rFonts w:cstheme="minorHAnsi"/>
                <w:sz w:val="16"/>
                <w:szCs w:val="16"/>
              </w:rPr>
              <w:t>Davis, Jenny et al.</w:t>
            </w:r>
          </w:p>
          <w:p w14:paraId="5C5E8671" w14:textId="53FA7F32" w:rsidR="00676ACD" w:rsidRDefault="00D657CC" w:rsidP="007B5579">
            <w:pPr>
              <w:rPr>
                <w:rFonts w:cstheme="minorHAnsi"/>
                <w:sz w:val="16"/>
                <w:szCs w:val="16"/>
              </w:rPr>
            </w:pPr>
            <w:sdt>
              <w:sdtPr>
                <w:rPr>
                  <w:rFonts w:cstheme="minorHAnsi"/>
                  <w:sz w:val="16"/>
                  <w:szCs w:val="16"/>
                </w:rPr>
                <w:id w:val="-1615975243"/>
                <w:citation/>
              </w:sdtPr>
              <w:sdtEndPr/>
              <w:sdtContent>
                <w:r w:rsidR="00676ACD">
                  <w:rPr>
                    <w:rFonts w:cstheme="minorHAnsi"/>
                    <w:sz w:val="16"/>
                    <w:szCs w:val="16"/>
                  </w:rPr>
                  <w:fldChar w:fldCharType="begin"/>
                </w:r>
                <w:r w:rsidR="00676ACD">
                  <w:rPr>
                    <w:rFonts w:cstheme="minorHAnsi"/>
                    <w:sz w:val="16"/>
                    <w:szCs w:val="16"/>
                  </w:rPr>
                  <w:instrText xml:space="preserve"> CITATION Dav16 \l 3081 </w:instrText>
                </w:r>
                <w:r w:rsidR="00676ACD">
                  <w:rPr>
                    <w:rFonts w:cstheme="minorHAnsi"/>
                    <w:sz w:val="16"/>
                    <w:szCs w:val="16"/>
                  </w:rPr>
                  <w:fldChar w:fldCharType="separate"/>
                </w:r>
                <w:r w:rsidR="00710993" w:rsidRPr="00710993">
                  <w:rPr>
                    <w:rFonts w:cstheme="minorHAnsi"/>
                    <w:noProof/>
                    <w:sz w:val="16"/>
                    <w:szCs w:val="16"/>
                  </w:rPr>
                  <w:t>(13)</w:t>
                </w:r>
                <w:r w:rsidR="00676ACD">
                  <w:rPr>
                    <w:rFonts w:cstheme="minorHAnsi"/>
                    <w:sz w:val="16"/>
                    <w:szCs w:val="16"/>
                  </w:rPr>
                  <w:fldChar w:fldCharType="end"/>
                </w:r>
              </w:sdtContent>
            </w:sdt>
          </w:p>
          <w:p w14:paraId="315888E0" w14:textId="77777777" w:rsidR="00676ACD" w:rsidRPr="00D6251D" w:rsidRDefault="00676ACD" w:rsidP="007B5579">
            <w:pPr>
              <w:rPr>
                <w:rFonts w:cstheme="minorHAnsi"/>
                <w:sz w:val="16"/>
                <w:szCs w:val="16"/>
              </w:rPr>
            </w:pPr>
          </w:p>
        </w:tc>
        <w:tc>
          <w:tcPr>
            <w:tcW w:w="693" w:type="pct"/>
          </w:tcPr>
          <w:p w14:paraId="2C87BB77" w14:textId="77777777" w:rsidR="00676ACD" w:rsidRPr="00D6251D" w:rsidRDefault="00676ACD" w:rsidP="007B5579">
            <w:pPr>
              <w:rPr>
                <w:rFonts w:cstheme="minorHAnsi"/>
                <w:sz w:val="16"/>
                <w:szCs w:val="16"/>
              </w:rPr>
            </w:pPr>
            <w:r w:rsidRPr="00D6251D">
              <w:rPr>
                <w:rFonts w:cstheme="minorHAnsi"/>
                <w:sz w:val="16"/>
                <w:szCs w:val="16"/>
              </w:rPr>
              <w:t>Developing an Australian health and aged care research agenda: a systematic review of evidence at the subacute interface</w:t>
            </w:r>
          </w:p>
        </w:tc>
        <w:tc>
          <w:tcPr>
            <w:tcW w:w="203" w:type="pct"/>
          </w:tcPr>
          <w:p w14:paraId="6E2F7FA5" w14:textId="77777777" w:rsidR="00676ACD" w:rsidRPr="00D6251D" w:rsidRDefault="00676ACD" w:rsidP="007B5579">
            <w:pPr>
              <w:rPr>
                <w:rFonts w:cstheme="minorHAnsi"/>
                <w:sz w:val="16"/>
                <w:szCs w:val="16"/>
              </w:rPr>
            </w:pPr>
            <w:r w:rsidRPr="00D6251D">
              <w:rPr>
                <w:rFonts w:cstheme="minorHAnsi"/>
                <w:sz w:val="16"/>
                <w:szCs w:val="16"/>
              </w:rPr>
              <w:t>2016</w:t>
            </w:r>
          </w:p>
        </w:tc>
        <w:tc>
          <w:tcPr>
            <w:tcW w:w="3052" w:type="pct"/>
          </w:tcPr>
          <w:p w14:paraId="2F40DEB8" w14:textId="77777777" w:rsidR="00676ACD" w:rsidRPr="00EF5D57" w:rsidRDefault="00676ACD" w:rsidP="007B5579">
            <w:pPr>
              <w:pStyle w:val="EYTablebullet1"/>
              <w:rPr>
                <w:rFonts w:asciiTheme="minorHAnsi" w:hAnsiTheme="minorHAnsi" w:cstheme="minorHAnsi"/>
                <w:color w:val="000000"/>
                <w:szCs w:val="16"/>
              </w:rPr>
            </w:pPr>
            <w:r w:rsidRPr="00EF5D57">
              <w:rPr>
                <w:rFonts w:asciiTheme="minorHAnsi" w:hAnsiTheme="minorHAnsi" w:cstheme="minorHAnsi"/>
                <w:color w:val="000000"/>
                <w:szCs w:val="16"/>
              </w:rPr>
              <w:t>The different studies used varying research methods, including: prospective comparisons with matched controls, prospective observational cohort study with baseline and repeated-measures follow-up, two group pathways, observational case series, prospective non-random with matched controls, pilot program, Quasi-RCT, Observations of records and interviews, Blinded RCT, RCT, written surveys and semi-structured interviews</w:t>
            </w:r>
          </w:p>
        </w:tc>
        <w:tc>
          <w:tcPr>
            <w:tcW w:w="683" w:type="pct"/>
          </w:tcPr>
          <w:p w14:paraId="66AD0365" w14:textId="77777777" w:rsidR="00676ACD" w:rsidRPr="00D6251D" w:rsidRDefault="00676ACD" w:rsidP="007B5579">
            <w:pPr>
              <w:rPr>
                <w:rFonts w:cstheme="minorHAnsi"/>
                <w:sz w:val="16"/>
                <w:szCs w:val="16"/>
              </w:rPr>
            </w:pPr>
            <w:r w:rsidRPr="00D6251D">
              <w:rPr>
                <w:rFonts w:cstheme="minorHAnsi"/>
                <w:color w:val="000000"/>
                <w:sz w:val="16"/>
                <w:szCs w:val="16"/>
              </w:rPr>
              <w:t>Community care and support</w:t>
            </w:r>
            <w:r>
              <w:rPr>
                <w:rFonts w:cstheme="minorHAnsi"/>
                <w:color w:val="000000"/>
                <w:sz w:val="16"/>
                <w:szCs w:val="16"/>
              </w:rPr>
              <w:t xml:space="preserve"> </w:t>
            </w:r>
            <w:r w:rsidRPr="00D6251D">
              <w:rPr>
                <w:rFonts w:cstheme="minorHAnsi"/>
                <w:color w:val="000000"/>
                <w:sz w:val="16"/>
                <w:szCs w:val="16"/>
              </w:rPr>
              <w:t>(relevant to Program 2.4)</w:t>
            </w:r>
          </w:p>
        </w:tc>
      </w:tr>
      <w:tr w:rsidR="00676ACD" w:rsidRPr="00D6251D" w14:paraId="369CD508" w14:textId="77777777" w:rsidTr="007B5579">
        <w:tc>
          <w:tcPr>
            <w:tcW w:w="369" w:type="pct"/>
          </w:tcPr>
          <w:p w14:paraId="35F80995" w14:textId="228D2F5E" w:rsidR="00676ACD" w:rsidRPr="00D6251D" w:rsidRDefault="00676ACD" w:rsidP="007B5579">
            <w:pPr>
              <w:rPr>
                <w:rFonts w:cstheme="minorHAnsi"/>
                <w:sz w:val="16"/>
                <w:szCs w:val="16"/>
              </w:rPr>
            </w:pPr>
            <w:r w:rsidRPr="00D6251D">
              <w:rPr>
                <w:rFonts w:cstheme="minorHAnsi"/>
                <w:sz w:val="16"/>
                <w:szCs w:val="16"/>
              </w:rPr>
              <w:t>Deans, C</w:t>
            </w:r>
            <w:r>
              <w:rPr>
                <w:rFonts w:cstheme="minorHAnsi"/>
                <w:sz w:val="16"/>
                <w:szCs w:val="16"/>
              </w:rPr>
              <w:t xml:space="preserve"> </w:t>
            </w:r>
            <w:sdt>
              <w:sdtPr>
                <w:rPr>
                  <w:rFonts w:cstheme="minorHAnsi"/>
                  <w:sz w:val="16"/>
                  <w:szCs w:val="16"/>
                </w:rPr>
                <w:id w:val="-2120442047"/>
                <w:citation/>
              </w:sdtPr>
              <w:sdtEndPr/>
              <w:sdtContent>
                <w:r>
                  <w:rPr>
                    <w:rFonts w:cstheme="minorHAnsi"/>
                    <w:sz w:val="16"/>
                    <w:szCs w:val="16"/>
                  </w:rPr>
                  <w:fldChar w:fldCharType="begin"/>
                </w:r>
                <w:r>
                  <w:rPr>
                    <w:rFonts w:cstheme="minorHAnsi"/>
                    <w:sz w:val="16"/>
                    <w:szCs w:val="16"/>
                  </w:rPr>
                  <w:instrText xml:space="preserve"> CITATION Dea20 \l 3081 </w:instrText>
                </w:r>
                <w:r>
                  <w:rPr>
                    <w:rFonts w:cstheme="minorHAnsi"/>
                    <w:sz w:val="16"/>
                    <w:szCs w:val="16"/>
                  </w:rPr>
                  <w:fldChar w:fldCharType="separate"/>
                </w:r>
                <w:r w:rsidR="00710993" w:rsidRPr="00710993">
                  <w:rPr>
                    <w:rFonts w:cstheme="minorHAnsi"/>
                    <w:noProof/>
                    <w:sz w:val="16"/>
                    <w:szCs w:val="16"/>
                  </w:rPr>
                  <w:t>(15)</w:t>
                </w:r>
                <w:r>
                  <w:rPr>
                    <w:rFonts w:cstheme="minorHAnsi"/>
                    <w:sz w:val="16"/>
                    <w:szCs w:val="16"/>
                  </w:rPr>
                  <w:fldChar w:fldCharType="end"/>
                </w:r>
              </w:sdtContent>
            </w:sdt>
          </w:p>
        </w:tc>
        <w:tc>
          <w:tcPr>
            <w:tcW w:w="693" w:type="pct"/>
          </w:tcPr>
          <w:p w14:paraId="079467A8" w14:textId="77777777" w:rsidR="00676ACD" w:rsidRPr="00D6251D" w:rsidRDefault="00676ACD" w:rsidP="007B5579">
            <w:pPr>
              <w:rPr>
                <w:rFonts w:cstheme="minorHAnsi"/>
                <w:sz w:val="16"/>
                <w:szCs w:val="16"/>
              </w:rPr>
            </w:pPr>
            <w:r w:rsidRPr="00D6251D">
              <w:rPr>
                <w:rFonts w:cstheme="minorHAnsi"/>
                <w:sz w:val="16"/>
                <w:szCs w:val="16"/>
              </w:rPr>
              <w:t>Benefits and Employment and Care for Peer Support Staff in the Veteran Community: A Rapid Narrative Literature Review</w:t>
            </w:r>
          </w:p>
        </w:tc>
        <w:tc>
          <w:tcPr>
            <w:tcW w:w="203" w:type="pct"/>
          </w:tcPr>
          <w:p w14:paraId="6359594B" w14:textId="77777777" w:rsidR="00676ACD" w:rsidRPr="00D6251D" w:rsidRDefault="00676ACD" w:rsidP="007B5579">
            <w:pPr>
              <w:rPr>
                <w:rFonts w:cstheme="minorHAnsi"/>
                <w:sz w:val="16"/>
                <w:szCs w:val="16"/>
              </w:rPr>
            </w:pPr>
            <w:r w:rsidRPr="00D6251D">
              <w:rPr>
                <w:rFonts w:cstheme="minorHAnsi"/>
                <w:sz w:val="16"/>
                <w:szCs w:val="16"/>
              </w:rPr>
              <w:t>2020</w:t>
            </w:r>
          </w:p>
        </w:tc>
        <w:tc>
          <w:tcPr>
            <w:tcW w:w="3052" w:type="pct"/>
          </w:tcPr>
          <w:p w14:paraId="75C37419" w14:textId="77777777" w:rsidR="00676ACD" w:rsidRPr="00D6251D" w:rsidRDefault="00676ACD" w:rsidP="007B5579">
            <w:pPr>
              <w:pStyle w:val="EYTablebullet1"/>
              <w:rPr>
                <w:rFonts w:asciiTheme="minorHAnsi" w:hAnsiTheme="minorHAnsi" w:cstheme="minorHAnsi"/>
                <w:szCs w:val="16"/>
              </w:rPr>
            </w:pPr>
            <w:r w:rsidRPr="00991B45">
              <w:rPr>
                <w:rFonts w:asciiTheme="minorHAnsi" w:hAnsiTheme="minorHAnsi" w:cstheme="minorHAnsi"/>
                <w:color w:val="000000"/>
                <w:szCs w:val="16"/>
              </w:rPr>
              <w:t>Some of the single pr</w:t>
            </w:r>
            <w:r w:rsidRPr="00D6251D">
              <w:rPr>
                <w:rFonts w:asciiTheme="minorHAnsi" w:hAnsiTheme="minorHAnsi" w:cstheme="minorHAnsi"/>
                <w:szCs w:val="16"/>
              </w:rPr>
              <w:t>ogram interventions reviewed also had preliminary evaluation, including some 12-month follow up</w:t>
            </w:r>
          </w:p>
          <w:p w14:paraId="6649EBD3" w14:textId="77777777" w:rsidR="00676ACD" w:rsidRPr="00991B45" w:rsidRDefault="00676ACD" w:rsidP="007B5579">
            <w:pPr>
              <w:pStyle w:val="EYTablebullet1"/>
              <w:rPr>
                <w:rFonts w:asciiTheme="minorHAnsi" w:hAnsiTheme="minorHAnsi" w:cstheme="minorHAnsi"/>
                <w:color w:val="000000"/>
                <w:szCs w:val="16"/>
              </w:rPr>
            </w:pPr>
            <w:r w:rsidRPr="00991B45">
              <w:rPr>
                <w:rFonts w:asciiTheme="minorHAnsi" w:hAnsiTheme="minorHAnsi" w:cstheme="minorHAnsi"/>
                <w:color w:val="000000"/>
                <w:szCs w:val="16"/>
              </w:rPr>
              <w:t>A synthesis of information from the general mental health peer field (where factors not relevant to a veteran environment were removed) indicated external independent evaluation was part of the 'best practice framework'</w:t>
            </w:r>
          </w:p>
          <w:p w14:paraId="3CE8EA86"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The process for evaluation of interventions remains in its infancy, with several qualitative studies, few control group measurements and many evaluations of low power or quality</w:t>
            </w:r>
          </w:p>
        </w:tc>
        <w:tc>
          <w:tcPr>
            <w:tcW w:w="683" w:type="pct"/>
          </w:tcPr>
          <w:p w14:paraId="4E79ED99" w14:textId="77777777" w:rsidR="00676ACD" w:rsidRPr="00D6251D" w:rsidRDefault="00676ACD" w:rsidP="007B5579">
            <w:pPr>
              <w:rPr>
                <w:rFonts w:cstheme="minorHAnsi"/>
                <w:sz w:val="16"/>
                <w:szCs w:val="16"/>
              </w:rPr>
            </w:pPr>
            <w:r w:rsidRPr="00D6251D">
              <w:rPr>
                <w:rFonts w:cstheme="minorHAnsi"/>
                <w:color w:val="000000"/>
                <w:sz w:val="16"/>
                <w:szCs w:val="16"/>
              </w:rPr>
              <w:t>Community care and support</w:t>
            </w:r>
            <w:r>
              <w:rPr>
                <w:rFonts w:cstheme="minorHAnsi"/>
                <w:color w:val="000000"/>
                <w:sz w:val="16"/>
                <w:szCs w:val="16"/>
              </w:rPr>
              <w:t xml:space="preserve"> </w:t>
            </w:r>
            <w:r w:rsidRPr="00D6251D">
              <w:rPr>
                <w:rFonts w:cstheme="minorHAnsi"/>
                <w:color w:val="000000"/>
                <w:sz w:val="16"/>
                <w:szCs w:val="16"/>
              </w:rPr>
              <w:t>(relevant to Program 2.4)</w:t>
            </w:r>
          </w:p>
        </w:tc>
      </w:tr>
      <w:tr w:rsidR="00676ACD" w:rsidRPr="00D6251D" w14:paraId="351AA126" w14:textId="77777777" w:rsidTr="007B5579">
        <w:tc>
          <w:tcPr>
            <w:tcW w:w="369" w:type="pct"/>
          </w:tcPr>
          <w:p w14:paraId="39A57491" w14:textId="77777777" w:rsidR="00676ACD" w:rsidRDefault="00676ACD" w:rsidP="007B5579">
            <w:pPr>
              <w:rPr>
                <w:rFonts w:cstheme="minorHAnsi"/>
                <w:sz w:val="16"/>
                <w:szCs w:val="16"/>
              </w:rPr>
            </w:pPr>
            <w:r w:rsidRPr="00D6251D">
              <w:rPr>
                <w:rFonts w:cstheme="minorHAnsi"/>
                <w:sz w:val="16"/>
                <w:szCs w:val="16"/>
              </w:rPr>
              <w:t>Geia, Lynore et al.</w:t>
            </w:r>
          </w:p>
          <w:p w14:paraId="1B759E4B" w14:textId="031DB5A9" w:rsidR="00676ACD" w:rsidRPr="00D6251D" w:rsidRDefault="00D657CC" w:rsidP="007B5579">
            <w:pPr>
              <w:rPr>
                <w:rFonts w:cstheme="minorHAnsi"/>
                <w:sz w:val="16"/>
                <w:szCs w:val="16"/>
              </w:rPr>
            </w:pPr>
            <w:sdt>
              <w:sdtPr>
                <w:rPr>
                  <w:rFonts w:cstheme="minorHAnsi"/>
                  <w:sz w:val="16"/>
                  <w:szCs w:val="16"/>
                </w:rPr>
                <w:id w:val="790401517"/>
                <w:citation/>
              </w:sdtPr>
              <w:sdtEndPr/>
              <w:sdtContent>
                <w:r w:rsidR="00676ACD">
                  <w:rPr>
                    <w:rFonts w:cstheme="minorHAnsi"/>
                    <w:sz w:val="16"/>
                    <w:szCs w:val="16"/>
                  </w:rPr>
                  <w:fldChar w:fldCharType="begin"/>
                </w:r>
                <w:r w:rsidR="00676ACD">
                  <w:rPr>
                    <w:rFonts w:cstheme="minorHAnsi"/>
                    <w:sz w:val="16"/>
                    <w:szCs w:val="16"/>
                  </w:rPr>
                  <w:instrText xml:space="preserve"> CITATION Gei18 \l 3081 </w:instrText>
                </w:r>
                <w:r w:rsidR="00676ACD">
                  <w:rPr>
                    <w:rFonts w:cstheme="minorHAnsi"/>
                    <w:sz w:val="16"/>
                    <w:szCs w:val="16"/>
                  </w:rPr>
                  <w:fldChar w:fldCharType="separate"/>
                </w:r>
                <w:r w:rsidR="00710993" w:rsidRPr="00710993">
                  <w:rPr>
                    <w:rFonts w:cstheme="minorHAnsi"/>
                    <w:noProof/>
                    <w:sz w:val="16"/>
                    <w:szCs w:val="16"/>
                  </w:rPr>
                  <w:t>(18)</w:t>
                </w:r>
                <w:r w:rsidR="00676ACD">
                  <w:rPr>
                    <w:rFonts w:cstheme="minorHAnsi"/>
                    <w:sz w:val="16"/>
                    <w:szCs w:val="16"/>
                  </w:rPr>
                  <w:fldChar w:fldCharType="end"/>
                </w:r>
              </w:sdtContent>
            </w:sdt>
          </w:p>
        </w:tc>
        <w:tc>
          <w:tcPr>
            <w:tcW w:w="693" w:type="pct"/>
          </w:tcPr>
          <w:p w14:paraId="0A465EE5" w14:textId="77777777" w:rsidR="00676ACD" w:rsidRPr="00D6251D" w:rsidRDefault="00676ACD" w:rsidP="007B5579">
            <w:pPr>
              <w:rPr>
                <w:rFonts w:cstheme="minorHAnsi"/>
                <w:sz w:val="16"/>
                <w:szCs w:val="16"/>
              </w:rPr>
            </w:pPr>
            <w:r w:rsidRPr="00D6251D">
              <w:rPr>
                <w:rFonts w:cstheme="minorHAnsi"/>
                <w:sz w:val="16"/>
                <w:szCs w:val="16"/>
              </w:rPr>
              <w:lastRenderedPageBreak/>
              <w:t xml:space="preserve">Adolescent and young adult substance use in </w:t>
            </w:r>
            <w:r w:rsidRPr="00D6251D">
              <w:rPr>
                <w:rFonts w:cstheme="minorHAnsi"/>
                <w:sz w:val="16"/>
                <w:szCs w:val="16"/>
              </w:rPr>
              <w:lastRenderedPageBreak/>
              <w:t>Australian Indigenous communities: a systematic review of demand control program outcomes</w:t>
            </w:r>
          </w:p>
        </w:tc>
        <w:tc>
          <w:tcPr>
            <w:tcW w:w="203" w:type="pct"/>
          </w:tcPr>
          <w:p w14:paraId="48B31AC8" w14:textId="77777777" w:rsidR="00676ACD" w:rsidRPr="00D6251D" w:rsidRDefault="00676ACD" w:rsidP="007B5579">
            <w:pPr>
              <w:rPr>
                <w:rFonts w:cstheme="minorHAnsi"/>
                <w:sz w:val="16"/>
                <w:szCs w:val="16"/>
              </w:rPr>
            </w:pPr>
            <w:r w:rsidRPr="00D6251D">
              <w:rPr>
                <w:rFonts w:cstheme="minorHAnsi"/>
                <w:sz w:val="16"/>
                <w:szCs w:val="16"/>
              </w:rPr>
              <w:lastRenderedPageBreak/>
              <w:t>2018</w:t>
            </w:r>
          </w:p>
        </w:tc>
        <w:tc>
          <w:tcPr>
            <w:tcW w:w="3052" w:type="pct"/>
          </w:tcPr>
          <w:p w14:paraId="1A174F36" w14:textId="77777777" w:rsidR="00676ACD" w:rsidRPr="00D6251D" w:rsidRDefault="00676ACD" w:rsidP="007B5579">
            <w:pPr>
              <w:pStyle w:val="EYTablebullet1"/>
              <w:rPr>
                <w:rFonts w:asciiTheme="minorHAnsi" w:hAnsiTheme="minorHAnsi" w:cstheme="minorHAnsi"/>
                <w:szCs w:val="16"/>
              </w:rPr>
            </w:pPr>
            <w:r w:rsidRPr="00966782">
              <w:rPr>
                <w:rFonts w:asciiTheme="minorHAnsi" w:hAnsiTheme="minorHAnsi" w:cstheme="minorHAnsi"/>
                <w:color w:val="000000"/>
                <w:szCs w:val="16"/>
              </w:rPr>
              <w:t>Acknowledgement from the au</w:t>
            </w:r>
            <w:r w:rsidRPr="00D6251D">
              <w:rPr>
                <w:rFonts w:asciiTheme="minorHAnsi" w:hAnsiTheme="minorHAnsi" w:cstheme="minorHAnsi"/>
                <w:szCs w:val="16"/>
              </w:rPr>
              <w:t xml:space="preserve">thor that some programs on adolescent and young adult AOD use in Indigenous communities may not be ready for evaluation or may be inadequately funded. The need to understand the broader drives </w:t>
            </w:r>
            <w:r w:rsidRPr="00D6251D">
              <w:rPr>
                <w:rFonts w:asciiTheme="minorHAnsi" w:hAnsiTheme="minorHAnsi" w:cstheme="minorHAnsi"/>
                <w:szCs w:val="16"/>
              </w:rPr>
              <w:lastRenderedPageBreak/>
              <w:t>of effective program delivery (e.g. need for self-determination and to consider local cultural context) is important. Implementation issues need to be addressed before outcome evaluations become possible.</w:t>
            </w:r>
          </w:p>
          <w:p w14:paraId="0B469B52" w14:textId="77777777" w:rsidR="00676ACD" w:rsidRPr="00D6251D" w:rsidRDefault="00676ACD" w:rsidP="007B5579">
            <w:pPr>
              <w:pStyle w:val="EYTablebullet1"/>
              <w:rPr>
                <w:rFonts w:asciiTheme="minorHAnsi" w:hAnsiTheme="minorHAnsi" w:cstheme="minorHAnsi"/>
                <w:szCs w:val="16"/>
              </w:rPr>
            </w:pPr>
            <w:r w:rsidRPr="00966782">
              <w:rPr>
                <w:rFonts w:asciiTheme="minorHAnsi" w:hAnsiTheme="minorHAnsi" w:cstheme="minorHAnsi"/>
                <w:color w:val="000000"/>
                <w:szCs w:val="16"/>
              </w:rPr>
              <w:t>One study</w:t>
            </w:r>
            <w:r w:rsidRPr="00D6251D">
              <w:rPr>
                <w:rFonts w:asciiTheme="minorHAnsi" w:hAnsiTheme="minorHAnsi" w:cstheme="minorHAnsi"/>
                <w:szCs w:val="16"/>
              </w:rPr>
              <w:t xml:space="preserve"> noted that it is only possible to establish program outcomes when valid and reliable tools are used to assess need, and that baseline data </w:t>
            </w:r>
            <w:r>
              <w:rPr>
                <w:rFonts w:asciiTheme="minorHAnsi" w:hAnsiTheme="minorHAnsi" w:cstheme="minorHAnsi"/>
                <w:szCs w:val="16"/>
              </w:rPr>
              <w:t>are</w:t>
            </w:r>
            <w:r w:rsidRPr="00D6251D">
              <w:rPr>
                <w:rFonts w:asciiTheme="minorHAnsi" w:hAnsiTheme="minorHAnsi" w:cstheme="minorHAnsi"/>
                <w:szCs w:val="16"/>
              </w:rPr>
              <w:t xml:space="preserve"> required to document the extent to which change over time occurs.</w:t>
            </w:r>
          </w:p>
          <w:p w14:paraId="2EC13DF4" w14:textId="77777777" w:rsidR="00676ACD" w:rsidRPr="00D6251D" w:rsidRDefault="00676ACD" w:rsidP="007B5579">
            <w:pPr>
              <w:pStyle w:val="EYTablebullet1"/>
              <w:rPr>
                <w:rFonts w:asciiTheme="minorHAnsi" w:hAnsiTheme="minorHAnsi" w:cstheme="minorHAnsi"/>
                <w:szCs w:val="16"/>
              </w:rPr>
            </w:pPr>
            <w:r w:rsidRPr="00966782">
              <w:rPr>
                <w:rFonts w:asciiTheme="minorHAnsi" w:hAnsiTheme="minorHAnsi" w:cstheme="minorHAnsi"/>
                <w:color w:val="000000"/>
                <w:szCs w:val="16"/>
              </w:rPr>
              <w:t>Of the studies reviewed, all used outcomes measures. Varying study techniques were used.</w:t>
            </w:r>
          </w:p>
        </w:tc>
        <w:tc>
          <w:tcPr>
            <w:tcW w:w="683" w:type="pct"/>
          </w:tcPr>
          <w:p w14:paraId="46729713" w14:textId="77777777" w:rsidR="00676ACD" w:rsidRPr="00D6251D" w:rsidRDefault="00676ACD" w:rsidP="007B5579">
            <w:pPr>
              <w:rPr>
                <w:rFonts w:cstheme="minorHAnsi"/>
                <w:sz w:val="16"/>
                <w:szCs w:val="16"/>
              </w:rPr>
            </w:pPr>
            <w:r w:rsidRPr="00D6251D">
              <w:rPr>
                <w:rFonts w:cstheme="minorHAnsi"/>
                <w:color w:val="000000"/>
                <w:sz w:val="16"/>
                <w:szCs w:val="16"/>
              </w:rPr>
              <w:lastRenderedPageBreak/>
              <w:t xml:space="preserve">Populations at increased risk (relevant to Mental </w:t>
            </w:r>
            <w:r w:rsidRPr="00D6251D">
              <w:rPr>
                <w:rFonts w:cstheme="minorHAnsi"/>
                <w:color w:val="000000"/>
                <w:sz w:val="16"/>
                <w:szCs w:val="16"/>
              </w:rPr>
              <w:lastRenderedPageBreak/>
              <w:t>and Social Health Programs)</w:t>
            </w:r>
          </w:p>
        </w:tc>
      </w:tr>
      <w:tr w:rsidR="00676ACD" w:rsidRPr="00D6251D" w14:paraId="670FF9FD" w14:textId="77777777" w:rsidTr="007B5579">
        <w:tc>
          <w:tcPr>
            <w:tcW w:w="369" w:type="pct"/>
          </w:tcPr>
          <w:p w14:paraId="59A50233" w14:textId="77777777" w:rsidR="00676ACD" w:rsidRDefault="00676ACD" w:rsidP="007B5579">
            <w:pPr>
              <w:rPr>
                <w:rFonts w:cstheme="minorHAnsi"/>
                <w:sz w:val="16"/>
                <w:szCs w:val="16"/>
              </w:rPr>
            </w:pPr>
            <w:r w:rsidRPr="00D6251D">
              <w:rPr>
                <w:rFonts w:cstheme="minorHAnsi"/>
                <w:sz w:val="16"/>
                <w:szCs w:val="16"/>
              </w:rPr>
              <w:lastRenderedPageBreak/>
              <w:t>Lee, Xing Ju et al.</w:t>
            </w:r>
          </w:p>
          <w:p w14:paraId="2A523EBD" w14:textId="6ACAFAAA" w:rsidR="00676ACD" w:rsidRDefault="00D657CC" w:rsidP="007B5579">
            <w:pPr>
              <w:rPr>
                <w:rFonts w:cstheme="minorHAnsi"/>
                <w:sz w:val="16"/>
                <w:szCs w:val="16"/>
              </w:rPr>
            </w:pPr>
            <w:sdt>
              <w:sdtPr>
                <w:rPr>
                  <w:rFonts w:cstheme="minorHAnsi"/>
                  <w:sz w:val="16"/>
                  <w:szCs w:val="16"/>
                </w:rPr>
                <w:id w:val="-883178429"/>
                <w:citation/>
              </w:sdtPr>
              <w:sdtEndPr/>
              <w:sdtContent>
                <w:r w:rsidR="00676ACD">
                  <w:rPr>
                    <w:rFonts w:cstheme="minorHAnsi"/>
                    <w:sz w:val="16"/>
                    <w:szCs w:val="16"/>
                  </w:rPr>
                  <w:fldChar w:fldCharType="begin"/>
                </w:r>
                <w:r w:rsidR="00676ACD">
                  <w:rPr>
                    <w:rFonts w:cstheme="minorHAnsi"/>
                    <w:sz w:val="16"/>
                    <w:szCs w:val="16"/>
                  </w:rPr>
                  <w:instrText xml:space="preserve"> CITATION Lee19 \l 3081 </w:instrText>
                </w:r>
                <w:r w:rsidR="00676ACD">
                  <w:rPr>
                    <w:rFonts w:cstheme="minorHAnsi"/>
                    <w:sz w:val="16"/>
                    <w:szCs w:val="16"/>
                  </w:rPr>
                  <w:fldChar w:fldCharType="separate"/>
                </w:r>
                <w:r w:rsidR="00710993" w:rsidRPr="00710993">
                  <w:rPr>
                    <w:rFonts w:cstheme="minorHAnsi"/>
                    <w:noProof/>
                    <w:sz w:val="16"/>
                    <w:szCs w:val="16"/>
                  </w:rPr>
                  <w:t>(21)</w:t>
                </w:r>
                <w:r w:rsidR="00676ACD">
                  <w:rPr>
                    <w:rFonts w:cstheme="minorHAnsi"/>
                    <w:sz w:val="16"/>
                    <w:szCs w:val="16"/>
                  </w:rPr>
                  <w:fldChar w:fldCharType="end"/>
                </w:r>
              </w:sdtContent>
            </w:sdt>
          </w:p>
          <w:p w14:paraId="303D94D4" w14:textId="77777777" w:rsidR="00676ACD" w:rsidRPr="00D6251D" w:rsidRDefault="00676ACD" w:rsidP="007B5579">
            <w:pPr>
              <w:rPr>
                <w:rFonts w:cstheme="minorHAnsi"/>
                <w:sz w:val="16"/>
                <w:szCs w:val="16"/>
              </w:rPr>
            </w:pPr>
          </w:p>
        </w:tc>
        <w:tc>
          <w:tcPr>
            <w:tcW w:w="693" w:type="pct"/>
          </w:tcPr>
          <w:p w14:paraId="45835D63" w14:textId="77777777" w:rsidR="00676ACD" w:rsidRPr="00D6251D" w:rsidRDefault="00676ACD" w:rsidP="007B5579">
            <w:pPr>
              <w:rPr>
                <w:rFonts w:cstheme="minorHAnsi"/>
                <w:sz w:val="16"/>
                <w:szCs w:val="16"/>
              </w:rPr>
            </w:pPr>
            <w:r w:rsidRPr="00D6251D">
              <w:rPr>
                <w:rFonts w:cstheme="minorHAnsi"/>
                <w:sz w:val="16"/>
                <w:szCs w:val="16"/>
              </w:rPr>
              <w:t>Review of methods and study designs of evaluations related to clinical pathways</w:t>
            </w:r>
          </w:p>
        </w:tc>
        <w:tc>
          <w:tcPr>
            <w:tcW w:w="203" w:type="pct"/>
          </w:tcPr>
          <w:p w14:paraId="5BA266AB" w14:textId="77777777" w:rsidR="00676ACD" w:rsidRPr="00D6251D" w:rsidRDefault="00676ACD" w:rsidP="007B5579">
            <w:pPr>
              <w:rPr>
                <w:rFonts w:cstheme="minorHAnsi"/>
                <w:sz w:val="16"/>
                <w:szCs w:val="16"/>
              </w:rPr>
            </w:pPr>
            <w:r w:rsidRPr="00D6251D">
              <w:rPr>
                <w:rFonts w:cstheme="minorHAnsi"/>
                <w:sz w:val="16"/>
                <w:szCs w:val="16"/>
              </w:rPr>
              <w:t>2019</w:t>
            </w:r>
          </w:p>
        </w:tc>
        <w:tc>
          <w:tcPr>
            <w:tcW w:w="3052" w:type="pct"/>
          </w:tcPr>
          <w:p w14:paraId="0049A7CF"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The predominant study design used in the evaluations identified was the pre-post study design which identifies and collects data for a control group before the intervention implementation and compares the data to the intervention group data (72.7%). The second most commonly used study design was the concurrent case-control design where data for both the control and intervention groups were collected in the same time period (14.5%).</w:t>
            </w:r>
          </w:p>
          <w:p w14:paraId="24B76314" w14:textId="77777777" w:rsidR="00676ACD" w:rsidRPr="00D6251D" w:rsidRDefault="00676ACD" w:rsidP="007B5579">
            <w:pPr>
              <w:pStyle w:val="EYTablebullet1"/>
              <w:rPr>
                <w:rFonts w:asciiTheme="minorHAnsi" w:hAnsiTheme="minorHAnsi" w:cstheme="minorHAnsi"/>
                <w:szCs w:val="16"/>
              </w:rPr>
            </w:pPr>
            <w:r w:rsidRPr="003313A8">
              <w:rPr>
                <w:rFonts w:asciiTheme="minorHAnsi" w:hAnsiTheme="minorHAnsi" w:cstheme="minorHAnsi"/>
                <w:color w:val="000000"/>
                <w:szCs w:val="16"/>
              </w:rPr>
              <w:t>Almost all data collect</w:t>
            </w:r>
            <w:r w:rsidRPr="00D6251D">
              <w:rPr>
                <w:rFonts w:asciiTheme="minorHAnsi" w:hAnsiTheme="minorHAnsi" w:cstheme="minorHAnsi"/>
                <w:szCs w:val="16"/>
              </w:rPr>
              <w:t>ed individual patient data directly (96.4%)</w:t>
            </w:r>
          </w:p>
          <w:p w14:paraId="2A60B68F" w14:textId="77777777" w:rsidR="00676ACD" w:rsidRPr="00D6251D" w:rsidRDefault="00676ACD" w:rsidP="007B5579">
            <w:pPr>
              <w:pStyle w:val="EYTablebullet1"/>
              <w:rPr>
                <w:rFonts w:asciiTheme="minorHAnsi" w:hAnsiTheme="minorHAnsi" w:cstheme="minorHAnsi"/>
                <w:szCs w:val="16"/>
              </w:rPr>
            </w:pPr>
            <w:r w:rsidRPr="003313A8">
              <w:rPr>
                <w:rFonts w:asciiTheme="minorHAnsi" w:hAnsiTheme="minorHAnsi" w:cstheme="minorHAnsi"/>
                <w:color w:val="000000"/>
                <w:szCs w:val="16"/>
              </w:rPr>
              <w:t>Most of the</w:t>
            </w:r>
            <w:r w:rsidRPr="00D6251D">
              <w:rPr>
                <w:rFonts w:asciiTheme="minorHAnsi" w:hAnsiTheme="minorHAnsi" w:cstheme="minorHAnsi"/>
                <w:szCs w:val="16"/>
              </w:rPr>
              <w:t xml:space="preserve"> statistical methods used in the investigations can be broadly classified into one of the four categories: comparison of group means, omnibus tests, comparison of group distributions and estimation of covariate effects.</w:t>
            </w:r>
          </w:p>
          <w:p w14:paraId="5B4847F7" w14:textId="77777777" w:rsidR="00676ACD" w:rsidRPr="00D6251D" w:rsidRDefault="00676ACD" w:rsidP="007B5579">
            <w:pPr>
              <w:pStyle w:val="EYTablebullet1"/>
              <w:rPr>
                <w:rFonts w:asciiTheme="minorHAnsi" w:hAnsiTheme="minorHAnsi" w:cstheme="minorHAnsi"/>
                <w:szCs w:val="16"/>
              </w:rPr>
            </w:pPr>
            <w:r w:rsidRPr="003313A8">
              <w:rPr>
                <w:rFonts w:asciiTheme="minorHAnsi" w:hAnsiTheme="minorHAnsi" w:cstheme="minorHAnsi"/>
                <w:color w:val="000000"/>
                <w:szCs w:val="16"/>
              </w:rPr>
              <w:t>The majority of economic evaluations identified were cost-consequence analyses where the costs and outcomes of the interventions were reported separately.</w:t>
            </w:r>
          </w:p>
        </w:tc>
        <w:tc>
          <w:tcPr>
            <w:tcW w:w="683" w:type="pct"/>
          </w:tcPr>
          <w:p w14:paraId="7EFDBB86" w14:textId="77777777" w:rsidR="00676ACD" w:rsidRPr="00D6251D" w:rsidRDefault="00676ACD" w:rsidP="007B5579">
            <w:pPr>
              <w:rPr>
                <w:rFonts w:cstheme="minorHAnsi"/>
                <w:sz w:val="16"/>
                <w:szCs w:val="16"/>
              </w:rPr>
            </w:pPr>
            <w:r w:rsidRPr="00D6251D">
              <w:rPr>
                <w:rFonts w:cstheme="minorHAnsi"/>
                <w:sz w:val="16"/>
                <w:szCs w:val="16"/>
              </w:rPr>
              <w:t>Medical services (relevant to Program 2.1)</w:t>
            </w:r>
          </w:p>
        </w:tc>
      </w:tr>
      <w:tr w:rsidR="00676ACD" w:rsidRPr="00D6251D" w14:paraId="14FD795D" w14:textId="77777777" w:rsidTr="007B5579">
        <w:tc>
          <w:tcPr>
            <w:tcW w:w="369" w:type="pct"/>
          </w:tcPr>
          <w:p w14:paraId="6AF657EB" w14:textId="77777777" w:rsidR="00676ACD" w:rsidRDefault="00676ACD" w:rsidP="007B5579">
            <w:pPr>
              <w:rPr>
                <w:rFonts w:cstheme="minorHAnsi"/>
                <w:sz w:val="16"/>
                <w:szCs w:val="16"/>
              </w:rPr>
            </w:pPr>
            <w:r w:rsidRPr="00D6251D">
              <w:rPr>
                <w:rFonts w:cstheme="minorHAnsi"/>
                <w:sz w:val="16"/>
                <w:szCs w:val="16"/>
              </w:rPr>
              <w:t>Lim, Megan S. C. et al.</w:t>
            </w:r>
          </w:p>
          <w:p w14:paraId="0797B9A0" w14:textId="09A3C9D8" w:rsidR="00676ACD" w:rsidRPr="00D6251D" w:rsidRDefault="00D657CC" w:rsidP="007B5579">
            <w:pPr>
              <w:rPr>
                <w:rFonts w:cstheme="minorHAnsi"/>
                <w:sz w:val="16"/>
                <w:szCs w:val="16"/>
              </w:rPr>
            </w:pPr>
            <w:sdt>
              <w:sdtPr>
                <w:rPr>
                  <w:rFonts w:cstheme="minorHAnsi"/>
                  <w:sz w:val="16"/>
                  <w:szCs w:val="16"/>
                </w:rPr>
                <w:id w:val="-1837839330"/>
                <w:citation/>
              </w:sdtPr>
              <w:sdtEndPr/>
              <w:sdtContent>
                <w:r w:rsidR="00676ACD">
                  <w:rPr>
                    <w:rFonts w:cstheme="minorHAnsi"/>
                    <w:sz w:val="16"/>
                    <w:szCs w:val="16"/>
                  </w:rPr>
                  <w:fldChar w:fldCharType="begin"/>
                </w:r>
                <w:r w:rsidR="00676ACD">
                  <w:rPr>
                    <w:rFonts w:cstheme="minorHAnsi"/>
                    <w:sz w:val="16"/>
                    <w:szCs w:val="16"/>
                  </w:rPr>
                  <w:instrText xml:space="preserve"> CITATION Lim16 \l 3081 </w:instrText>
                </w:r>
                <w:r w:rsidR="00676ACD">
                  <w:rPr>
                    <w:rFonts w:cstheme="minorHAnsi"/>
                    <w:sz w:val="16"/>
                    <w:szCs w:val="16"/>
                  </w:rPr>
                  <w:fldChar w:fldCharType="separate"/>
                </w:r>
                <w:r w:rsidR="00710993" w:rsidRPr="00710993">
                  <w:rPr>
                    <w:rFonts w:cstheme="minorHAnsi"/>
                    <w:noProof/>
                    <w:sz w:val="16"/>
                    <w:szCs w:val="16"/>
                  </w:rPr>
                  <w:t>(24)</w:t>
                </w:r>
                <w:r w:rsidR="00676ACD">
                  <w:rPr>
                    <w:rFonts w:cstheme="minorHAnsi"/>
                    <w:sz w:val="16"/>
                    <w:szCs w:val="16"/>
                  </w:rPr>
                  <w:fldChar w:fldCharType="end"/>
                </w:r>
              </w:sdtContent>
            </w:sdt>
          </w:p>
        </w:tc>
        <w:tc>
          <w:tcPr>
            <w:tcW w:w="693" w:type="pct"/>
          </w:tcPr>
          <w:p w14:paraId="62B8EE4A" w14:textId="77777777" w:rsidR="00676ACD" w:rsidRPr="00D6251D" w:rsidRDefault="00676ACD" w:rsidP="007B5579">
            <w:pPr>
              <w:rPr>
                <w:rFonts w:cstheme="minorHAnsi"/>
                <w:sz w:val="16"/>
                <w:szCs w:val="16"/>
              </w:rPr>
            </w:pPr>
            <w:r w:rsidRPr="00D6251D">
              <w:rPr>
                <w:rFonts w:cstheme="minorHAnsi"/>
                <w:sz w:val="16"/>
                <w:szCs w:val="16"/>
              </w:rPr>
              <w:t>Reach, engagement, and effectiveness: a systematic review of evaluation methodologies used in health promotion via social networking sites</w:t>
            </w:r>
          </w:p>
        </w:tc>
        <w:tc>
          <w:tcPr>
            <w:tcW w:w="203" w:type="pct"/>
          </w:tcPr>
          <w:p w14:paraId="6B9A6B71" w14:textId="77777777" w:rsidR="00676ACD" w:rsidRPr="00D6251D" w:rsidRDefault="00676ACD" w:rsidP="007B5579">
            <w:pPr>
              <w:rPr>
                <w:rFonts w:cstheme="minorHAnsi"/>
                <w:sz w:val="16"/>
                <w:szCs w:val="16"/>
              </w:rPr>
            </w:pPr>
            <w:r w:rsidRPr="00D6251D">
              <w:rPr>
                <w:rFonts w:cstheme="minorHAnsi"/>
                <w:sz w:val="16"/>
                <w:szCs w:val="16"/>
              </w:rPr>
              <w:t>2016</w:t>
            </w:r>
          </w:p>
        </w:tc>
        <w:tc>
          <w:tcPr>
            <w:tcW w:w="3052" w:type="pct"/>
          </w:tcPr>
          <w:p w14:paraId="1E18B0BC"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Two main evaluation approaches were used: 1) 'closed' (n=23) used a traditional research design (e.g. RCT, cross-sectional, pre-post), formal recruitment procedures (e.g. F2F w/ consent procedures) and had a captive or target group of participants 2) 'open' (n=19) evaluated the intervention in a real-world setting and allowed any social network users to follow and interact with the content without any formal enrolment procedures and often users were unaware they were being evaluated</w:t>
            </w:r>
          </w:p>
          <w:p w14:paraId="3440D851"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Studies using a closed designed were categorised by more rigorous evaluation design, often emphas</w:t>
            </w:r>
            <w:r>
              <w:rPr>
                <w:rFonts w:asciiTheme="minorHAnsi" w:hAnsiTheme="minorHAnsi" w:cstheme="minorHAnsi"/>
                <w:szCs w:val="16"/>
              </w:rPr>
              <w:t>is</w:t>
            </w:r>
            <w:r w:rsidRPr="00D6251D">
              <w:rPr>
                <w:rFonts w:asciiTheme="minorHAnsi" w:hAnsiTheme="minorHAnsi" w:cstheme="minorHAnsi"/>
                <w:szCs w:val="16"/>
              </w:rPr>
              <w:t>ing assessment of effectiveness</w:t>
            </w:r>
          </w:p>
          <w:p w14:paraId="36B761DC" w14:textId="77777777" w:rsidR="00676AC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Evaluations of effectiveness included RCTs (which are considered gold-standard in study design), however, majority of RCTs relied on subjective measures, particularly self-reported surveys</w:t>
            </w:r>
          </w:p>
          <w:p w14:paraId="343204DF" w14:textId="77777777" w:rsidR="00676ACD" w:rsidRPr="00E837AB"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Low response and retention rates were key challenges outlined - however, are noted to be an ongoing challenge in eHealth</w:t>
            </w:r>
          </w:p>
          <w:p w14:paraId="7DF1B194" w14:textId="77777777" w:rsidR="00676ACD" w:rsidRDefault="00676ACD" w:rsidP="007B5579">
            <w:pPr>
              <w:pStyle w:val="EYTablebullet1"/>
              <w:numPr>
                <w:ilvl w:val="0"/>
                <w:numId w:val="0"/>
              </w:numPr>
              <w:ind w:left="284" w:hanging="284"/>
              <w:rPr>
                <w:rFonts w:asciiTheme="minorHAnsi" w:hAnsiTheme="minorHAnsi" w:cstheme="minorHAnsi"/>
                <w:szCs w:val="16"/>
              </w:rPr>
            </w:pPr>
            <w:r w:rsidRPr="00805B13">
              <w:rPr>
                <w:rFonts w:asciiTheme="minorHAnsi" w:hAnsiTheme="minorHAnsi" w:cstheme="minorHAnsi"/>
                <w:szCs w:val="16"/>
              </w:rPr>
              <w:t>Recommendations:</w:t>
            </w:r>
          </w:p>
          <w:p w14:paraId="3C36816A"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Evaluations can balance rigour and real-world application</w:t>
            </w:r>
          </w:p>
          <w:p w14:paraId="120F82B9"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Where RCTs are not possible, consider quasi-experimental designs</w:t>
            </w:r>
          </w:p>
          <w:p w14:paraId="7816A40F"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Consider multiple aspects of the intervention in evaluations –</w:t>
            </w:r>
            <w:r>
              <w:rPr>
                <w:rFonts w:asciiTheme="minorHAnsi" w:hAnsiTheme="minorHAnsi" w:cstheme="minorHAnsi"/>
                <w:szCs w:val="16"/>
              </w:rPr>
              <w:t xml:space="preserve"> </w:t>
            </w:r>
            <w:r w:rsidRPr="00805B13">
              <w:rPr>
                <w:rFonts w:asciiTheme="minorHAnsi" w:hAnsiTheme="minorHAnsi" w:cstheme="minorHAnsi"/>
                <w:szCs w:val="16"/>
              </w:rPr>
              <w:t>reach, engagement, and effectiveness are all important</w:t>
            </w:r>
          </w:p>
          <w:p w14:paraId="17A0BDC6"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Avoid using cross-sectional surveys without a comparison group to measure effectiveness</w:t>
            </w:r>
          </w:p>
          <w:p w14:paraId="0C9D252E"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When assessing reach, think beyond raw numbers of likes and followers, consider denominators and demographics or characteristics of users</w:t>
            </w:r>
          </w:p>
          <w:p w14:paraId="03A81DCC"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Use mixed-methods evaluation design where possible, especially for measuring engagement</w:t>
            </w:r>
          </w:p>
          <w:p w14:paraId="638BC48B" w14:textId="77777777" w:rsidR="00676AC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Consider a variety of measures to determine effectiveness – ecological, objective, qualitative and quantitative</w:t>
            </w:r>
          </w:p>
          <w:p w14:paraId="03FFF37F" w14:textId="77777777" w:rsidR="00676ACD" w:rsidRPr="00D6251D" w:rsidRDefault="00676ACD" w:rsidP="007B5579">
            <w:pPr>
              <w:pStyle w:val="EYTablebullet1"/>
              <w:rPr>
                <w:rFonts w:asciiTheme="minorHAnsi" w:hAnsiTheme="minorHAnsi" w:cstheme="minorHAnsi"/>
                <w:szCs w:val="16"/>
              </w:rPr>
            </w:pPr>
            <w:r w:rsidRPr="00805B13">
              <w:rPr>
                <w:rFonts w:asciiTheme="minorHAnsi" w:hAnsiTheme="minorHAnsi" w:cstheme="minorHAnsi"/>
                <w:szCs w:val="16"/>
              </w:rPr>
              <w:t xml:space="preserve">Objective or biological outcomes are important to enable assessment of </w:t>
            </w:r>
            <w:r w:rsidRPr="00F052C6">
              <w:rPr>
                <w:rFonts w:asciiTheme="minorHAnsi" w:hAnsiTheme="minorHAnsi" w:cstheme="minorHAnsi"/>
                <w:szCs w:val="16"/>
              </w:rPr>
              <w:t>effectivenes</w:t>
            </w:r>
            <w:r w:rsidRPr="00805B13">
              <w:rPr>
                <w:rFonts w:asciiTheme="minorHAnsi" w:hAnsiTheme="minorHAnsi" w:cstheme="minorHAnsi"/>
                <w:szCs w:val="16"/>
              </w:rPr>
              <w:t xml:space="preserve"> and impact and should be considered in the planning phase of the intervention.</w:t>
            </w:r>
          </w:p>
        </w:tc>
        <w:tc>
          <w:tcPr>
            <w:tcW w:w="683" w:type="pct"/>
          </w:tcPr>
          <w:p w14:paraId="0D2D114D" w14:textId="77777777" w:rsidR="00676ACD" w:rsidRPr="00D6251D" w:rsidRDefault="00676ACD" w:rsidP="007B5579">
            <w:pPr>
              <w:rPr>
                <w:rFonts w:cstheme="minorHAnsi"/>
                <w:sz w:val="16"/>
                <w:szCs w:val="16"/>
              </w:rPr>
            </w:pPr>
            <w:r w:rsidRPr="00D6251D">
              <w:rPr>
                <w:rFonts w:cstheme="minorHAnsi"/>
                <w:color w:val="000000"/>
                <w:sz w:val="16"/>
                <w:szCs w:val="16"/>
              </w:rPr>
              <w:t xml:space="preserve">Prevention &amp; Early intervention (related to Mental and Social Health Programs) </w:t>
            </w:r>
          </w:p>
        </w:tc>
      </w:tr>
      <w:tr w:rsidR="00676ACD" w:rsidRPr="00D6251D" w14:paraId="44856D9B" w14:textId="77777777" w:rsidTr="007B5579">
        <w:tc>
          <w:tcPr>
            <w:tcW w:w="369" w:type="pct"/>
          </w:tcPr>
          <w:p w14:paraId="5B2595B6" w14:textId="77777777" w:rsidR="00676ACD" w:rsidRDefault="00676ACD" w:rsidP="007B5579">
            <w:pPr>
              <w:rPr>
                <w:rFonts w:cstheme="minorHAnsi"/>
                <w:sz w:val="16"/>
                <w:szCs w:val="16"/>
              </w:rPr>
            </w:pPr>
            <w:r w:rsidRPr="00D6251D">
              <w:rPr>
                <w:rFonts w:cstheme="minorHAnsi"/>
                <w:sz w:val="16"/>
                <w:szCs w:val="16"/>
              </w:rPr>
              <w:lastRenderedPageBreak/>
              <w:t>Lokuge, Kamalini et al.</w:t>
            </w:r>
          </w:p>
          <w:p w14:paraId="4BED5869" w14:textId="1E3DECBB" w:rsidR="00676ACD" w:rsidRPr="00D6251D" w:rsidRDefault="00D657CC" w:rsidP="007B5579">
            <w:pPr>
              <w:rPr>
                <w:rFonts w:cstheme="minorHAnsi"/>
                <w:sz w:val="16"/>
                <w:szCs w:val="16"/>
              </w:rPr>
            </w:pPr>
            <w:sdt>
              <w:sdtPr>
                <w:rPr>
                  <w:rFonts w:cstheme="minorHAnsi"/>
                  <w:sz w:val="16"/>
                  <w:szCs w:val="16"/>
                </w:rPr>
                <w:id w:val="-461266829"/>
                <w:citation/>
              </w:sdtPr>
              <w:sdtEndPr/>
              <w:sdtContent>
                <w:r w:rsidR="00676ACD">
                  <w:rPr>
                    <w:rFonts w:cstheme="minorHAnsi"/>
                    <w:sz w:val="16"/>
                    <w:szCs w:val="16"/>
                  </w:rPr>
                  <w:fldChar w:fldCharType="begin"/>
                </w:r>
                <w:r w:rsidR="00676ACD">
                  <w:rPr>
                    <w:rFonts w:cstheme="minorHAnsi"/>
                    <w:sz w:val="16"/>
                    <w:szCs w:val="16"/>
                  </w:rPr>
                  <w:instrText xml:space="preserve"> CITATION Lok17 \l 3081 </w:instrText>
                </w:r>
                <w:r w:rsidR="00676ACD">
                  <w:rPr>
                    <w:rFonts w:cstheme="minorHAnsi"/>
                    <w:sz w:val="16"/>
                    <w:szCs w:val="16"/>
                  </w:rPr>
                  <w:fldChar w:fldCharType="separate"/>
                </w:r>
                <w:r w:rsidR="00710993" w:rsidRPr="00710993">
                  <w:rPr>
                    <w:rFonts w:cstheme="minorHAnsi"/>
                    <w:noProof/>
                    <w:sz w:val="16"/>
                    <w:szCs w:val="16"/>
                  </w:rPr>
                  <w:t>(27)</w:t>
                </w:r>
                <w:r w:rsidR="00676ACD">
                  <w:rPr>
                    <w:rFonts w:cstheme="minorHAnsi"/>
                    <w:sz w:val="16"/>
                    <w:szCs w:val="16"/>
                  </w:rPr>
                  <w:fldChar w:fldCharType="end"/>
                </w:r>
              </w:sdtContent>
            </w:sdt>
          </w:p>
        </w:tc>
        <w:tc>
          <w:tcPr>
            <w:tcW w:w="693" w:type="pct"/>
          </w:tcPr>
          <w:p w14:paraId="6B658032" w14:textId="77777777" w:rsidR="00676ACD" w:rsidRPr="00D6251D" w:rsidRDefault="00676ACD" w:rsidP="007B5579">
            <w:pPr>
              <w:rPr>
                <w:rFonts w:cstheme="minorHAnsi"/>
                <w:sz w:val="16"/>
                <w:szCs w:val="16"/>
              </w:rPr>
            </w:pPr>
            <w:r w:rsidRPr="00D6251D">
              <w:rPr>
                <w:rFonts w:cstheme="minorHAnsi"/>
                <w:sz w:val="16"/>
                <w:szCs w:val="16"/>
              </w:rPr>
              <w:t>Indigenous health program evaluation design and methods in Australia: a systematic review of the evidence</w:t>
            </w:r>
          </w:p>
        </w:tc>
        <w:tc>
          <w:tcPr>
            <w:tcW w:w="203" w:type="pct"/>
          </w:tcPr>
          <w:p w14:paraId="2FF3E604" w14:textId="77777777" w:rsidR="00676ACD" w:rsidRPr="00D6251D" w:rsidRDefault="00676ACD" w:rsidP="007B5579">
            <w:pPr>
              <w:rPr>
                <w:rFonts w:cstheme="minorHAnsi"/>
                <w:sz w:val="16"/>
                <w:szCs w:val="16"/>
              </w:rPr>
            </w:pPr>
            <w:r w:rsidRPr="00D6251D">
              <w:rPr>
                <w:rFonts w:cstheme="minorHAnsi"/>
                <w:sz w:val="16"/>
                <w:szCs w:val="16"/>
              </w:rPr>
              <w:t>2017</w:t>
            </w:r>
          </w:p>
        </w:tc>
        <w:tc>
          <w:tcPr>
            <w:tcW w:w="3052" w:type="pct"/>
          </w:tcPr>
          <w:p w14:paraId="3ACBF800" w14:textId="77777777" w:rsidR="00676ACD" w:rsidRPr="00D6251D" w:rsidRDefault="00676ACD" w:rsidP="007B5579">
            <w:pPr>
              <w:pStyle w:val="EYTablebullet1"/>
              <w:rPr>
                <w:rFonts w:asciiTheme="minorHAnsi" w:hAnsiTheme="minorHAnsi" w:cstheme="minorHAnsi"/>
                <w:szCs w:val="16"/>
              </w:rPr>
            </w:pPr>
            <w:r>
              <w:rPr>
                <w:rFonts w:asciiTheme="minorHAnsi" w:hAnsiTheme="minorHAnsi" w:cstheme="minorHAnsi"/>
                <w:szCs w:val="16"/>
              </w:rPr>
              <w:t>O</w:t>
            </w:r>
            <w:r w:rsidRPr="00D6251D">
              <w:rPr>
                <w:rFonts w:asciiTheme="minorHAnsi" w:hAnsiTheme="minorHAnsi" w:cstheme="minorHAnsi"/>
                <w:szCs w:val="16"/>
              </w:rPr>
              <w:t>f the evaluations reviewed, 82.2% included a quantitative component, with 49.2% using only quantitative data, and 33.1% using both quantitative and qualitative data</w:t>
            </w:r>
          </w:p>
          <w:p w14:paraId="3DF5FBF4"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The most common evaluation design was a before/after comparison (30.5%). 7.6% used experimental design; this included RCTs and cluster-RCTs</w:t>
            </w:r>
          </w:p>
          <w:p w14:paraId="20CFA552"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More than half the evaluations (56.8%) measured a health service delivery or process outcome; 33.1% measured a health or health risk factor outcome, and 10.2% measured both</w:t>
            </w:r>
          </w:p>
          <w:p w14:paraId="590600EC"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All studies that employed an experimental design measured a health outcome or risk factor, rather than a health service delivery or process outcome only</w:t>
            </w:r>
          </w:p>
          <w:p w14:paraId="565E382C" w14:textId="77777777" w:rsidR="00676AC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Of the non-experimental evaluations, 61.5% measured a health service delivery or process outcome, 28.4% measured a health or health risk factor outcome, and 10.1% measured both</w:t>
            </w:r>
          </w:p>
          <w:p w14:paraId="779DD309" w14:textId="77777777" w:rsidR="00676ACD" w:rsidRDefault="00676ACD" w:rsidP="007B5579">
            <w:pPr>
              <w:pStyle w:val="EYTablebullet1"/>
              <w:rPr>
                <w:rFonts w:asciiTheme="minorHAnsi" w:hAnsiTheme="minorHAnsi" w:cstheme="minorHAnsi"/>
                <w:szCs w:val="16"/>
              </w:rPr>
            </w:pPr>
            <w:r w:rsidRPr="00C01DEF">
              <w:rPr>
                <w:rFonts w:asciiTheme="minorHAnsi" w:hAnsiTheme="minorHAnsi" w:cstheme="minorHAnsi"/>
                <w:szCs w:val="16"/>
              </w:rPr>
              <w:t xml:space="preserve">Quantitative data provide a measure of health impact on health programs; qualitative data enables participative and collaborative evaluation and are valuable to contextualise and provide culturally relevant inferences about a program's utility and impact - therefore, </w:t>
            </w:r>
            <w:r>
              <w:rPr>
                <w:rFonts w:asciiTheme="minorHAnsi" w:hAnsiTheme="minorHAnsi" w:cstheme="minorHAnsi"/>
                <w:szCs w:val="16"/>
              </w:rPr>
              <w:t xml:space="preserve">a </w:t>
            </w:r>
            <w:r w:rsidRPr="00C01DEF">
              <w:rPr>
                <w:rFonts w:asciiTheme="minorHAnsi" w:hAnsiTheme="minorHAnsi" w:cstheme="minorHAnsi"/>
                <w:szCs w:val="16"/>
              </w:rPr>
              <w:t xml:space="preserve">mixed methods approach utilising both quantitative and qualitative data </w:t>
            </w:r>
            <w:r>
              <w:rPr>
                <w:rFonts w:asciiTheme="minorHAnsi" w:hAnsiTheme="minorHAnsi" w:cstheme="minorHAnsi"/>
                <w:szCs w:val="16"/>
              </w:rPr>
              <w:t>is</w:t>
            </w:r>
            <w:r w:rsidRPr="00C01DEF">
              <w:rPr>
                <w:rFonts w:asciiTheme="minorHAnsi" w:hAnsiTheme="minorHAnsi" w:cstheme="minorHAnsi"/>
                <w:szCs w:val="16"/>
              </w:rPr>
              <w:t xml:space="preserve"> likely to be the best approach to conducting program evaluations</w:t>
            </w:r>
          </w:p>
          <w:p w14:paraId="7CB6056A" w14:textId="77777777" w:rsidR="00676ACD" w:rsidRPr="00D6251D" w:rsidRDefault="00676ACD" w:rsidP="007B5579">
            <w:pPr>
              <w:pStyle w:val="EYTablebullet1"/>
              <w:rPr>
                <w:rFonts w:asciiTheme="minorHAnsi" w:hAnsiTheme="minorHAnsi" w:cstheme="minorHAnsi"/>
                <w:szCs w:val="16"/>
              </w:rPr>
            </w:pPr>
            <w:r w:rsidRPr="00C01DEF">
              <w:rPr>
                <w:rFonts w:asciiTheme="minorHAnsi" w:hAnsiTheme="minorHAnsi" w:cstheme="minorHAnsi"/>
                <w:szCs w:val="16"/>
              </w:rPr>
              <w:t>Experimental designs, such as RCTs and cluster-RCTs, are only possible when considered during program development and implementation, and if relevant to and supported by participating communities (they may also not be appropriate for every setting, particularly in the case of complex public health interventions or when the evaluation is conducted with a small sample or in one setting)</w:t>
            </w:r>
          </w:p>
        </w:tc>
        <w:tc>
          <w:tcPr>
            <w:tcW w:w="683" w:type="pct"/>
          </w:tcPr>
          <w:p w14:paraId="6DFAAB2A" w14:textId="77777777" w:rsidR="00676ACD" w:rsidRPr="00D6251D" w:rsidRDefault="00676ACD" w:rsidP="007B5579">
            <w:pPr>
              <w:rPr>
                <w:rFonts w:cstheme="minorHAnsi"/>
                <w:sz w:val="16"/>
                <w:szCs w:val="16"/>
              </w:rPr>
            </w:pPr>
            <w:r w:rsidRPr="00D6251D">
              <w:rPr>
                <w:rFonts w:cstheme="minorHAnsi"/>
                <w:sz w:val="16"/>
                <w:szCs w:val="16"/>
              </w:rPr>
              <w:t xml:space="preserve">Populations at increased risk </w:t>
            </w:r>
          </w:p>
        </w:tc>
      </w:tr>
      <w:tr w:rsidR="00676ACD" w:rsidRPr="00D6251D" w14:paraId="5AE2B0CD" w14:textId="77777777" w:rsidTr="007B5579">
        <w:tc>
          <w:tcPr>
            <w:tcW w:w="369" w:type="pct"/>
          </w:tcPr>
          <w:p w14:paraId="4DCABD2F" w14:textId="77777777" w:rsidR="00676ACD" w:rsidRDefault="00676ACD" w:rsidP="007B5579">
            <w:pPr>
              <w:rPr>
                <w:rFonts w:cstheme="minorHAnsi"/>
                <w:sz w:val="16"/>
                <w:szCs w:val="16"/>
              </w:rPr>
            </w:pPr>
            <w:r w:rsidRPr="00D6251D">
              <w:rPr>
                <w:rFonts w:cstheme="minorHAnsi"/>
                <w:sz w:val="16"/>
                <w:szCs w:val="16"/>
              </w:rPr>
              <w:t xml:space="preserve">Newton, Danielle et al. </w:t>
            </w:r>
          </w:p>
          <w:p w14:paraId="75C880CC" w14:textId="17C87394" w:rsidR="00676ACD" w:rsidRPr="00D6251D" w:rsidRDefault="00D657CC" w:rsidP="007B5579">
            <w:pPr>
              <w:rPr>
                <w:rFonts w:cstheme="minorHAnsi"/>
                <w:sz w:val="16"/>
                <w:szCs w:val="16"/>
              </w:rPr>
            </w:pPr>
            <w:sdt>
              <w:sdtPr>
                <w:rPr>
                  <w:rFonts w:cstheme="minorHAnsi"/>
                  <w:sz w:val="16"/>
                  <w:szCs w:val="16"/>
                </w:rPr>
                <w:id w:val="1450124882"/>
                <w:citation/>
              </w:sdtPr>
              <w:sdtEndPr/>
              <w:sdtContent>
                <w:r w:rsidR="00676ACD">
                  <w:rPr>
                    <w:rFonts w:cstheme="minorHAnsi"/>
                    <w:sz w:val="16"/>
                    <w:szCs w:val="16"/>
                  </w:rPr>
                  <w:fldChar w:fldCharType="begin"/>
                </w:r>
                <w:r w:rsidR="00676ACD">
                  <w:rPr>
                    <w:rFonts w:cstheme="minorHAnsi"/>
                    <w:sz w:val="16"/>
                    <w:szCs w:val="16"/>
                  </w:rPr>
                  <w:instrText xml:space="preserve"> CITATION New20 \l 3081 </w:instrText>
                </w:r>
                <w:r w:rsidR="00676ACD">
                  <w:rPr>
                    <w:rFonts w:cstheme="minorHAnsi"/>
                    <w:sz w:val="16"/>
                    <w:szCs w:val="16"/>
                  </w:rPr>
                  <w:fldChar w:fldCharType="separate"/>
                </w:r>
                <w:r w:rsidR="00710993" w:rsidRPr="00710993">
                  <w:rPr>
                    <w:rFonts w:cstheme="minorHAnsi"/>
                    <w:noProof/>
                    <w:sz w:val="16"/>
                    <w:szCs w:val="16"/>
                  </w:rPr>
                  <w:t>(30)</w:t>
                </w:r>
                <w:r w:rsidR="00676ACD">
                  <w:rPr>
                    <w:rFonts w:cstheme="minorHAnsi"/>
                    <w:sz w:val="16"/>
                    <w:szCs w:val="16"/>
                  </w:rPr>
                  <w:fldChar w:fldCharType="end"/>
                </w:r>
              </w:sdtContent>
            </w:sdt>
          </w:p>
        </w:tc>
        <w:tc>
          <w:tcPr>
            <w:tcW w:w="693" w:type="pct"/>
          </w:tcPr>
          <w:p w14:paraId="28021250" w14:textId="77777777" w:rsidR="00676ACD" w:rsidRPr="00D6251D" w:rsidRDefault="00676ACD" w:rsidP="007B5579">
            <w:pPr>
              <w:rPr>
                <w:rFonts w:cstheme="minorHAnsi"/>
                <w:sz w:val="16"/>
                <w:szCs w:val="16"/>
              </w:rPr>
            </w:pPr>
            <w:r w:rsidRPr="00D6251D">
              <w:rPr>
                <w:rFonts w:cstheme="minorHAnsi"/>
                <w:sz w:val="16"/>
                <w:szCs w:val="16"/>
              </w:rPr>
              <w:t>A review of Evidence‐Based Evaluation of Measures for Assessing Social and Emotional Well‐Being in Indigenous Australians</w:t>
            </w:r>
          </w:p>
        </w:tc>
        <w:tc>
          <w:tcPr>
            <w:tcW w:w="203" w:type="pct"/>
          </w:tcPr>
          <w:p w14:paraId="728558CE" w14:textId="77777777" w:rsidR="00676ACD" w:rsidRPr="00D6251D" w:rsidRDefault="00676ACD" w:rsidP="007B5579">
            <w:pPr>
              <w:rPr>
                <w:rFonts w:cstheme="minorHAnsi"/>
                <w:sz w:val="16"/>
                <w:szCs w:val="16"/>
              </w:rPr>
            </w:pPr>
            <w:r w:rsidRPr="00D6251D">
              <w:rPr>
                <w:rFonts w:cstheme="minorHAnsi"/>
                <w:sz w:val="16"/>
                <w:szCs w:val="16"/>
              </w:rPr>
              <w:t>2020</w:t>
            </w:r>
          </w:p>
        </w:tc>
        <w:tc>
          <w:tcPr>
            <w:tcW w:w="3052" w:type="pct"/>
          </w:tcPr>
          <w:p w14:paraId="00ACDD90"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This article systematically reviews available measures of social and emotional well-being (SEWB) after an intervention, classifying them in terms of the evidence base that exists to support their use</w:t>
            </w:r>
          </w:p>
          <w:p w14:paraId="02BC8135" w14:textId="77777777" w:rsidR="00676ACD" w:rsidRDefault="00676ACD" w:rsidP="007B5579">
            <w:pPr>
              <w:pStyle w:val="EYTablebullet1"/>
              <w:rPr>
                <w:rFonts w:asciiTheme="minorHAnsi" w:hAnsiTheme="minorHAnsi" w:cstheme="minorHAnsi"/>
                <w:szCs w:val="16"/>
              </w:rPr>
            </w:pPr>
            <w:r w:rsidRPr="00D6251D">
              <w:rPr>
                <w:rFonts w:asciiTheme="minorHAnsi" w:hAnsiTheme="minorHAnsi" w:cstheme="minorHAnsi"/>
                <w:szCs w:val="16"/>
              </w:rPr>
              <w:t>It is concluded that there is an ongoing need to develop psychometrically sound, comprehensive, culturally appropriate measures to operationalise Indigenous SEWB at a population health, programme evaluation, and clinical level</w:t>
            </w:r>
          </w:p>
          <w:p w14:paraId="14B581F5" w14:textId="77777777" w:rsidR="00676ACD" w:rsidRPr="00C01DEF"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Review evidence of instruments/measures to assess social and emotional wellbeing (SEWB) and how it changes over time as a result of intervention</w:t>
            </w:r>
          </w:p>
          <w:p w14:paraId="12475FB8" w14:textId="77777777" w:rsidR="00676ACD" w:rsidRPr="00C01DEF"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This study adopted the APA Division 54 (Society of Paediatric Psychology) assessment task force steering committee (SPP-ATF) to classify assessment instruments (measures)  as  “evidence-based”, categorising them into three possible evidence-based categories: (a)well-established  assessment,  (b)  approaching  well-established assessment; and (c) promising assessment</w:t>
            </w:r>
          </w:p>
          <w:p w14:paraId="572FDA84" w14:textId="77777777" w:rsidR="00676ACD" w:rsidRPr="00C01DEF"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Measures investigated include measures of psychological distress/psychopathology, quality of life and empowerment</w:t>
            </w:r>
          </w:p>
          <w:p w14:paraId="61DED2C7"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Well-established assessment: The measure must have been presented in at least two peer-reviewed articles by different investigators or</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investigatory teams. Sufficient detail about the measure to</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allow critical evaluation and replication. Detailed statistical information indicating good validity and reliability in at least one peer-reviewed article.</w:t>
            </w:r>
          </w:p>
        </w:tc>
        <w:tc>
          <w:tcPr>
            <w:tcW w:w="683" w:type="pct"/>
          </w:tcPr>
          <w:p w14:paraId="3C491620" w14:textId="77777777" w:rsidR="00676ACD" w:rsidRPr="00D6251D" w:rsidRDefault="00676ACD" w:rsidP="007B5579">
            <w:pPr>
              <w:rPr>
                <w:rFonts w:cstheme="minorHAnsi"/>
                <w:sz w:val="16"/>
                <w:szCs w:val="16"/>
              </w:rPr>
            </w:pPr>
            <w:r w:rsidRPr="00D6251D">
              <w:rPr>
                <w:rFonts w:cstheme="minorHAnsi"/>
                <w:color w:val="000000"/>
                <w:sz w:val="16"/>
                <w:szCs w:val="16"/>
              </w:rPr>
              <w:t>Populations at increased risk (relevant to Mental and Social Health Programs)</w:t>
            </w:r>
          </w:p>
        </w:tc>
      </w:tr>
      <w:tr w:rsidR="00676ACD" w:rsidRPr="00D6251D" w14:paraId="15CA669C" w14:textId="77777777" w:rsidTr="007B5579">
        <w:tc>
          <w:tcPr>
            <w:tcW w:w="369" w:type="pct"/>
          </w:tcPr>
          <w:p w14:paraId="45A586E2" w14:textId="77777777" w:rsidR="00676ACD" w:rsidRDefault="00676ACD" w:rsidP="007B5579">
            <w:pPr>
              <w:rPr>
                <w:rFonts w:cstheme="minorHAnsi"/>
                <w:sz w:val="16"/>
                <w:szCs w:val="16"/>
              </w:rPr>
            </w:pPr>
            <w:r w:rsidRPr="00D6251D">
              <w:rPr>
                <w:rFonts w:cstheme="minorHAnsi"/>
                <w:sz w:val="16"/>
                <w:szCs w:val="16"/>
              </w:rPr>
              <w:t>Senanayake, Sameera et al.</w:t>
            </w:r>
          </w:p>
          <w:p w14:paraId="7A3460D8" w14:textId="28376B08" w:rsidR="00676ACD" w:rsidRPr="00D6251D" w:rsidRDefault="00D657CC" w:rsidP="007B5579">
            <w:pPr>
              <w:rPr>
                <w:rFonts w:cstheme="minorHAnsi"/>
                <w:sz w:val="16"/>
                <w:szCs w:val="16"/>
              </w:rPr>
            </w:pPr>
            <w:sdt>
              <w:sdtPr>
                <w:rPr>
                  <w:rFonts w:cstheme="minorHAnsi"/>
                  <w:sz w:val="16"/>
                  <w:szCs w:val="16"/>
                </w:rPr>
                <w:id w:val="684252227"/>
                <w:citation/>
              </w:sdtPr>
              <w:sdtEndPr/>
              <w:sdtContent>
                <w:r w:rsidR="00676ACD">
                  <w:rPr>
                    <w:rFonts w:cstheme="minorHAnsi"/>
                    <w:sz w:val="16"/>
                    <w:szCs w:val="16"/>
                  </w:rPr>
                  <w:fldChar w:fldCharType="begin"/>
                </w:r>
                <w:r w:rsidR="00676ACD">
                  <w:rPr>
                    <w:rFonts w:cstheme="minorHAnsi"/>
                    <w:sz w:val="16"/>
                    <w:szCs w:val="16"/>
                  </w:rPr>
                  <w:instrText xml:space="preserve">CITATION Senrs \l 3081 </w:instrText>
                </w:r>
                <w:r w:rsidR="00676ACD">
                  <w:rPr>
                    <w:rFonts w:cstheme="minorHAnsi"/>
                    <w:sz w:val="16"/>
                    <w:szCs w:val="16"/>
                  </w:rPr>
                  <w:fldChar w:fldCharType="separate"/>
                </w:r>
                <w:r w:rsidR="00710993" w:rsidRPr="00710993">
                  <w:rPr>
                    <w:rFonts w:cstheme="minorHAnsi"/>
                    <w:noProof/>
                    <w:sz w:val="16"/>
                    <w:szCs w:val="16"/>
                  </w:rPr>
                  <w:t>(33)</w:t>
                </w:r>
                <w:r w:rsidR="00676ACD">
                  <w:rPr>
                    <w:rFonts w:cstheme="minorHAnsi"/>
                    <w:sz w:val="16"/>
                    <w:szCs w:val="16"/>
                  </w:rPr>
                  <w:fldChar w:fldCharType="end"/>
                </w:r>
              </w:sdtContent>
            </w:sdt>
          </w:p>
        </w:tc>
        <w:tc>
          <w:tcPr>
            <w:tcW w:w="693" w:type="pct"/>
          </w:tcPr>
          <w:p w14:paraId="46742904" w14:textId="77777777" w:rsidR="00676ACD" w:rsidRPr="00D6251D" w:rsidRDefault="00676ACD" w:rsidP="007B5579">
            <w:pPr>
              <w:rPr>
                <w:rFonts w:cstheme="minorHAnsi"/>
                <w:sz w:val="16"/>
                <w:szCs w:val="16"/>
              </w:rPr>
            </w:pPr>
            <w:r w:rsidRPr="00D6251D">
              <w:rPr>
                <w:rFonts w:cstheme="minorHAnsi"/>
                <w:sz w:val="16"/>
                <w:szCs w:val="16"/>
              </w:rPr>
              <w:t>Impact and outcome evaluation of HealthPathways: a scoping review of published methodologies</w:t>
            </w:r>
          </w:p>
        </w:tc>
        <w:tc>
          <w:tcPr>
            <w:tcW w:w="203" w:type="pct"/>
          </w:tcPr>
          <w:p w14:paraId="715663AE" w14:textId="77777777" w:rsidR="00676ACD" w:rsidRPr="00D6251D" w:rsidRDefault="00676ACD" w:rsidP="007B5579">
            <w:pPr>
              <w:rPr>
                <w:rFonts w:cstheme="minorHAnsi"/>
                <w:sz w:val="16"/>
                <w:szCs w:val="16"/>
              </w:rPr>
            </w:pPr>
            <w:r w:rsidRPr="00D6251D">
              <w:rPr>
                <w:rFonts w:cstheme="minorHAnsi"/>
                <w:sz w:val="16"/>
                <w:szCs w:val="16"/>
              </w:rPr>
              <w:t>2021</w:t>
            </w:r>
          </w:p>
        </w:tc>
        <w:tc>
          <w:tcPr>
            <w:tcW w:w="3052" w:type="pct"/>
          </w:tcPr>
          <w:p w14:paraId="1A3AF343"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t>Twenty</w:t>
            </w:r>
            <w:r w:rsidRPr="00D6251D">
              <w:rPr>
                <w:rFonts w:asciiTheme="minorHAnsi" w:hAnsiTheme="minorHAnsi" w:cstheme="minorHAnsi"/>
                <w:szCs w:val="16"/>
              </w:rPr>
              <w:t>-one studies were included in the final review</w:t>
            </w:r>
          </w:p>
          <w:p w14:paraId="62931E4A"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t>The HealthP</w:t>
            </w:r>
            <w:r w:rsidRPr="00D6251D">
              <w:rPr>
                <w:rFonts w:asciiTheme="minorHAnsi" w:hAnsiTheme="minorHAnsi" w:cstheme="minorHAnsi"/>
                <w:szCs w:val="16"/>
              </w:rPr>
              <w:t>athways programme is an online health information system used mainly in primary health care to promote a consistent and integrated approach to patient care.</w:t>
            </w:r>
          </w:p>
          <w:p w14:paraId="40FDEBA1"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t>The a</w:t>
            </w:r>
            <w:r w:rsidRPr="00D6251D">
              <w:rPr>
                <w:rFonts w:asciiTheme="minorHAnsi" w:hAnsiTheme="minorHAnsi" w:cstheme="minorHAnsi"/>
                <w:szCs w:val="16"/>
              </w:rPr>
              <w:t>im of this study is to perform a scoping review of the methodologies used in published impact and outcomes evaluations of HealthPathways programmes</w:t>
            </w:r>
          </w:p>
          <w:p w14:paraId="684544CB"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t>The review included qualitative, quantitative or mixed-methods evaluat</w:t>
            </w:r>
            <w:r w:rsidRPr="00D6251D">
              <w:rPr>
                <w:rFonts w:asciiTheme="minorHAnsi" w:hAnsiTheme="minorHAnsi" w:cstheme="minorHAnsi"/>
                <w:szCs w:val="16"/>
              </w:rPr>
              <w:t>ions of the impact or outcome of HealthPathways</w:t>
            </w:r>
          </w:p>
          <w:p w14:paraId="446D209F"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lastRenderedPageBreak/>
              <w:t>‘Increased awareness</w:t>
            </w:r>
            <w:r w:rsidRPr="00D6251D">
              <w:rPr>
                <w:rFonts w:asciiTheme="minorHAnsi" w:hAnsiTheme="minorHAnsi" w:cstheme="minorHAnsi"/>
                <w:szCs w:val="16"/>
              </w:rPr>
              <w:t xml:space="preserve"> and use of HealthPathways’ was the most frequent programme aim evaluated. Quantitative and qualitative research methodologies, as well as prospective</w:t>
            </w:r>
            <w:r>
              <w:rPr>
                <w:rFonts w:asciiTheme="minorHAnsi" w:hAnsiTheme="minorHAnsi" w:cstheme="minorHAnsi"/>
                <w:szCs w:val="16"/>
              </w:rPr>
              <w:t xml:space="preserve"> </w:t>
            </w:r>
            <w:r w:rsidRPr="004759D7">
              <w:rPr>
                <w:rFonts w:asciiTheme="minorHAnsi" w:hAnsiTheme="minorHAnsi" w:cstheme="minorHAnsi"/>
                <w:color w:val="000000"/>
                <w:szCs w:val="16"/>
              </w:rPr>
              <w:t>and retrospective data collections,</w:t>
            </w:r>
            <w:r w:rsidRPr="00D6251D">
              <w:rPr>
                <w:rFonts w:asciiTheme="minorHAnsi" w:hAnsiTheme="minorHAnsi" w:cstheme="minorHAnsi"/>
                <w:szCs w:val="16"/>
              </w:rPr>
              <w:t xml:space="preserve"> have been adopted to evaluate the impact and outcome of HealthPathways</w:t>
            </w:r>
          </w:p>
          <w:p w14:paraId="29895DC9" w14:textId="77777777" w:rsidR="00676ACD" w:rsidRPr="00D6251D" w:rsidRDefault="00676ACD" w:rsidP="007B5579">
            <w:pPr>
              <w:pStyle w:val="EYTablebullet1"/>
              <w:rPr>
                <w:rFonts w:asciiTheme="minorHAnsi" w:hAnsiTheme="minorHAnsi" w:cstheme="minorHAnsi"/>
                <w:szCs w:val="16"/>
              </w:rPr>
            </w:pPr>
            <w:r w:rsidRPr="004759D7">
              <w:rPr>
                <w:rFonts w:asciiTheme="minorHAnsi" w:hAnsiTheme="minorHAnsi" w:cstheme="minorHAnsi"/>
                <w:color w:val="000000"/>
                <w:szCs w:val="16"/>
              </w:rPr>
              <w:t>Qualitative research methods are also best placed to gat</w:t>
            </w:r>
            <w:r w:rsidRPr="00D6251D">
              <w:rPr>
                <w:rFonts w:asciiTheme="minorHAnsi" w:hAnsiTheme="minorHAnsi" w:cstheme="minorHAnsi"/>
                <w:szCs w:val="16"/>
              </w:rPr>
              <w:t>her the in-depth insights required to understand the barriers and facilitators to program use, as this information is currently not well understood by other means.</w:t>
            </w:r>
          </w:p>
          <w:p w14:paraId="15DFC2B0" w14:textId="77777777" w:rsidR="00676ACD" w:rsidRPr="004759D7" w:rsidRDefault="00676ACD" w:rsidP="007B5579">
            <w:pPr>
              <w:pStyle w:val="EYTablebullet1"/>
              <w:rPr>
                <w:rFonts w:asciiTheme="minorHAnsi" w:hAnsiTheme="minorHAnsi" w:cstheme="minorHAnsi"/>
                <w:color w:val="000000"/>
                <w:szCs w:val="16"/>
              </w:rPr>
            </w:pPr>
            <w:r w:rsidRPr="004759D7">
              <w:rPr>
                <w:rFonts w:asciiTheme="minorHAnsi" w:hAnsiTheme="minorHAnsi" w:cstheme="minorHAnsi"/>
                <w:color w:val="000000"/>
                <w:szCs w:val="16"/>
              </w:rPr>
              <w:t>Data collection and analysis of qualitative studies requires expertise and can be time consuming, and findings may not be transferable to other contexts. Furthermore, the perspectives of all relevant stakeholders may not be adequately captured during qualitative inquiries</w:t>
            </w:r>
          </w:p>
          <w:p w14:paraId="443C852C" w14:textId="77777777" w:rsidR="00676ACD" w:rsidRPr="004759D7"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 xml:space="preserve">This review was limited to impact and outcome evaluations </w:t>
            </w:r>
          </w:p>
          <w:p w14:paraId="60CDBB67" w14:textId="77777777" w:rsidR="00676ACD" w:rsidRPr="004759D7"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Year of publication, study population, study setting, study design, data collection (prospective, retrospective, or both), data source (hospital records, interviews, google analytics, focus groups, surveys), programme aims evaluated, indicators, evaluation design (descriptive, qualitative, mixed method, pre-post study), analytical method (descriptive statistics, thematic analysis, logistic regression), and results were extracted from each publication or report.</w:t>
            </w:r>
          </w:p>
          <w:p w14:paraId="4F9B5720" w14:textId="77777777" w:rsidR="00676ACD" w:rsidRPr="004759D7" w:rsidRDefault="00676ACD" w:rsidP="007B5579">
            <w:pPr>
              <w:pStyle w:val="EYTablebullet1"/>
              <w:rPr>
                <w:rFonts w:asciiTheme="minorHAnsi" w:hAnsiTheme="minorHAnsi" w:cstheme="minorHAnsi"/>
                <w:szCs w:val="16"/>
              </w:rPr>
            </w:pPr>
            <w:r>
              <w:rPr>
                <w:rFonts w:asciiTheme="minorHAnsi" w:hAnsiTheme="minorHAnsi" w:cstheme="minorHAnsi"/>
                <w:color w:val="000000"/>
                <w:szCs w:val="16"/>
              </w:rPr>
              <w:t>T</w:t>
            </w:r>
            <w:r w:rsidRPr="00D6251D">
              <w:rPr>
                <w:rFonts w:asciiTheme="minorHAnsi" w:hAnsiTheme="minorHAnsi" w:cstheme="minorHAnsi"/>
                <w:color w:val="000000"/>
                <w:szCs w:val="16"/>
              </w:rPr>
              <w:t>he impact and outcomes framework for this scoping review was developed using the six aims identified in a South Australian HealthPathways report and one additional aim was performed in accordance with the</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Preferred Reporting Items for Systematic Reviews identified during the process of this review: components related to awareness, usage, improvement in patient care and patient experience, and providing best value for money</w:t>
            </w:r>
          </w:p>
          <w:p w14:paraId="156A585E" w14:textId="77777777" w:rsidR="00676ACD" w:rsidRPr="00603E3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It describes the strengths, limitations, and</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gaps of the current HealthPathways evaluation literature</w:t>
            </w:r>
          </w:p>
          <w:p w14:paraId="2BCCDDA6" w14:textId="77777777" w:rsidR="00676ACD" w:rsidRPr="00D6251D" w:rsidRDefault="00676ACD" w:rsidP="007B5579">
            <w:pPr>
              <w:pStyle w:val="EYTablebullet1"/>
              <w:rPr>
                <w:rFonts w:asciiTheme="minorHAnsi" w:hAnsiTheme="minorHAnsi" w:cstheme="minorHAnsi"/>
                <w:szCs w:val="16"/>
              </w:rPr>
            </w:pPr>
            <w:r w:rsidRPr="00D6251D">
              <w:rPr>
                <w:rFonts w:asciiTheme="minorHAnsi" w:hAnsiTheme="minorHAnsi" w:cstheme="minorHAnsi"/>
                <w:color w:val="000000"/>
                <w:szCs w:val="16"/>
              </w:rPr>
              <w:t>Review was performed in accordance with the</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Preferred Reporting Items for Systematic Reviews and Meta-Analyses (PRISMA) extension for scoping reviews</w:t>
            </w:r>
          </w:p>
        </w:tc>
        <w:tc>
          <w:tcPr>
            <w:tcW w:w="683" w:type="pct"/>
          </w:tcPr>
          <w:p w14:paraId="6D5FF86D" w14:textId="77777777" w:rsidR="00676ACD" w:rsidRPr="00D6251D" w:rsidRDefault="00676ACD" w:rsidP="007B5579">
            <w:pPr>
              <w:rPr>
                <w:rFonts w:cstheme="minorHAnsi"/>
                <w:sz w:val="16"/>
                <w:szCs w:val="16"/>
              </w:rPr>
            </w:pPr>
            <w:r w:rsidRPr="00D6251D">
              <w:rPr>
                <w:rFonts w:cstheme="minorHAnsi"/>
                <w:sz w:val="16"/>
                <w:szCs w:val="16"/>
              </w:rPr>
              <w:lastRenderedPageBreak/>
              <w:t>Medical services (relevant to Program 2.1)</w:t>
            </w:r>
          </w:p>
        </w:tc>
      </w:tr>
      <w:tr w:rsidR="00676ACD" w:rsidRPr="00D6251D" w14:paraId="1F2160C7" w14:textId="77777777" w:rsidTr="007B5579">
        <w:tc>
          <w:tcPr>
            <w:tcW w:w="369" w:type="pct"/>
          </w:tcPr>
          <w:p w14:paraId="10CF2FA3" w14:textId="77777777" w:rsidR="00676ACD" w:rsidRDefault="00676ACD" w:rsidP="007B5579">
            <w:pPr>
              <w:rPr>
                <w:rFonts w:cstheme="minorHAnsi"/>
                <w:color w:val="000000"/>
                <w:sz w:val="16"/>
                <w:szCs w:val="16"/>
              </w:rPr>
            </w:pPr>
            <w:r w:rsidRPr="00D6251D">
              <w:rPr>
                <w:rFonts w:cstheme="minorHAnsi"/>
                <w:color w:val="000000"/>
                <w:sz w:val="16"/>
                <w:szCs w:val="16"/>
              </w:rPr>
              <w:t>Snijder, Mieke et al.</w:t>
            </w:r>
          </w:p>
          <w:p w14:paraId="77634632" w14:textId="03FD77B9" w:rsidR="00676ACD" w:rsidRPr="00D6251D" w:rsidRDefault="00D657CC" w:rsidP="007B5579">
            <w:pPr>
              <w:rPr>
                <w:rFonts w:cstheme="minorHAnsi"/>
                <w:sz w:val="16"/>
                <w:szCs w:val="16"/>
              </w:rPr>
            </w:pPr>
            <w:sdt>
              <w:sdtPr>
                <w:rPr>
                  <w:rFonts w:cstheme="minorHAnsi"/>
                  <w:sz w:val="16"/>
                  <w:szCs w:val="16"/>
                </w:rPr>
                <w:id w:val="-339164680"/>
                <w:citation/>
              </w:sdtPr>
              <w:sdtEndPr/>
              <w:sdtContent>
                <w:r w:rsidR="00676ACD">
                  <w:rPr>
                    <w:rFonts w:cstheme="minorHAnsi"/>
                    <w:sz w:val="16"/>
                    <w:szCs w:val="16"/>
                  </w:rPr>
                  <w:fldChar w:fldCharType="begin"/>
                </w:r>
                <w:r w:rsidR="00676ACD">
                  <w:rPr>
                    <w:rFonts w:cstheme="minorHAnsi"/>
                    <w:sz w:val="16"/>
                    <w:szCs w:val="16"/>
                  </w:rPr>
                  <w:instrText xml:space="preserve"> CITATION Sni15 \l 3081 </w:instrText>
                </w:r>
                <w:r w:rsidR="00676ACD">
                  <w:rPr>
                    <w:rFonts w:cstheme="minorHAnsi"/>
                    <w:sz w:val="16"/>
                    <w:szCs w:val="16"/>
                  </w:rPr>
                  <w:fldChar w:fldCharType="separate"/>
                </w:r>
                <w:r w:rsidR="00710993" w:rsidRPr="00710993">
                  <w:rPr>
                    <w:rFonts w:cstheme="minorHAnsi"/>
                    <w:noProof/>
                    <w:sz w:val="16"/>
                    <w:szCs w:val="16"/>
                  </w:rPr>
                  <w:t>(36)</w:t>
                </w:r>
                <w:r w:rsidR="00676ACD">
                  <w:rPr>
                    <w:rFonts w:cstheme="minorHAnsi"/>
                    <w:sz w:val="16"/>
                    <w:szCs w:val="16"/>
                  </w:rPr>
                  <w:fldChar w:fldCharType="end"/>
                </w:r>
              </w:sdtContent>
            </w:sdt>
          </w:p>
        </w:tc>
        <w:tc>
          <w:tcPr>
            <w:tcW w:w="693" w:type="pct"/>
          </w:tcPr>
          <w:p w14:paraId="3688DF08" w14:textId="77777777" w:rsidR="00676ACD" w:rsidRPr="00D6251D" w:rsidRDefault="00676ACD" w:rsidP="007B5579">
            <w:pPr>
              <w:rPr>
                <w:rFonts w:cstheme="minorHAnsi"/>
                <w:sz w:val="16"/>
                <w:szCs w:val="16"/>
              </w:rPr>
            </w:pPr>
            <w:r w:rsidRPr="00D6251D">
              <w:rPr>
                <w:rFonts w:cstheme="minorHAnsi"/>
                <w:color w:val="000000"/>
                <w:sz w:val="16"/>
                <w:szCs w:val="16"/>
              </w:rPr>
              <w:t>A systematic review of studies evaluating Australian indigenous community development projects: the extent of community participation, their methodological quality and their outcomes</w:t>
            </w:r>
          </w:p>
        </w:tc>
        <w:tc>
          <w:tcPr>
            <w:tcW w:w="203" w:type="pct"/>
          </w:tcPr>
          <w:p w14:paraId="3BE0FAEA" w14:textId="77777777" w:rsidR="00676ACD" w:rsidRPr="00D6251D" w:rsidRDefault="00676ACD" w:rsidP="007B5579">
            <w:pPr>
              <w:rPr>
                <w:rFonts w:cstheme="minorHAnsi"/>
                <w:sz w:val="16"/>
                <w:szCs w:val="16"/>
              </w:rPr>
            </w:pPr>
            <w:r w:rsidRPr="00D6251D">
              <w:rPr>
                <w:rFonts w:cstheme="minorHAnsi"/>
                <w:color w:val="000000"/>
                <w:sz w:val="16"/>
                <w:szCs w:val="16"/>
              </w:rPr>
              <w:t>2015</w:t>
            </w:r>
          </w:p>
        </w:tc>
        <w:tc>
          <w:tcPr>
            <w:tcW w:w="3052" w:type="pct"/>
          </w:tcPr>
          <w:p w14:paraId="4106C803" w14:textId="77777777" w:rsidR="00676ACD" w:rsidRPr="00D6251D" w:rsidRDefault="00676ACD" w:rsidP="007B5579">
            <w:pPr>
              <w:pStyle w:val="EYTablebullet1"/>
              <w:rPr>
                <w:rFonts w:asciiTheme="minorHAnsi" w:hAnsiTheme="minorHAnsi" w:cstheme="minorHAnsi"/>
                <w:szCs w:val="16"/>
              </w:rPr>
            </w:pPr>
            <w:r w:rsidRPr="00F13DDC">
              <w:rPr>
                <w:rFonts w:asciiTheme="minorHAnsi" w:hAnsiTheme="minorHAnsi" w:cstheme="minorHAnsi"/>
                <w:color w:val="000000"/>
                <w:szCs w:val="16"/>
              </w:rPr>
              <w:t>Thirt</w:t>
            </w:r>
            <w:r w:rsidRPr="00D6251D">
              <w:rPr>
                <w:rFonts w:asciiTheme="minorHAnsi" w:hAnsiTheme="minorHAnsi" w:cstheme="minorHAnsi"/>
                <w:szCs w:val="16"/>
              </w:rPr>
              <w:t>y one evaluation studies of community development projects were identified</w:t>
            </w:r>
          </w:p>
          <w:p w14:paraId="3C33EF3C" w14:textId="77777777" w:rsidR="00676ACD" w:rsidRPr="00D6251D" w:rsidRDefault="00676ACD" w:rsidP="007B5579">
            <w:pPr>
              <w:pStyle w:val="EYTablebullet1"/>
              <w:rPr>
                <w:rFonts w:asciiTheme="minorHAnsi" w:hAnsiTheme="minorHAnsi" w:cstheme="minorHAnsi"/>
                <w:szCs w:val="16"/>
              </w:rPr>
            </w:pPr>
            <w:r w:rsidRPr="00F13DDC">
              <w:rPr>
                <w:rFonts w:asciiTheme="minorHAnsi" w:hAnsiTheme="minorHAnsi" w:cstheme="minorHAnsi"/>
                <w:color w:val="000000"/>
                <w:szCs w:val="16"/>
              </w:rPr>
              <w:t>Partnerships between r</w:t>
            </w:r>
            <w:r w:rsidRPr="00D6251D">
              <w:rPr>
                <w:rFonts w:asciiTheme="minorHAnsi" w:hAnsiTheme="minorHAnsi" w:cstheme="minorHAnsi"/>
                <w:szCs w:val="16"/>
              </w:rPr>
              <w:t>esearchers, community members and service providers have great potential to improve methodological quality and community participation when research skills and community knowledge are integrated to design, implement and evaluate community development projects</w:t>
            </w:r>
          </w:p>
          <w:p w14:paraId="2F6DA9F6" w14:textId="77777777" w:rsidR="00676ACD" w:rsidRPr="00F13DDC" w:rsidRDefault="00676ACD" w:rsidP="007B5579">
            <w:pPr>
              <w:pStyle w:val="EYTablebullet1"/>
              <w:rPr>
                <w:rFonts w:asciiTheme="minorHAnsi" w:hAnsiTheme="minorHAnsi" w:cstheme="minorHAnsi"/>
                <w:color w:val="000000"/>
                <w:szCs w:val="16"/>
              </w:rPr>
            </w:pPr>
            <w:r w:rsidRPr="00F13DDC">
              <w:rPr>
                <w:rFonts w:asciiTheme="minorHAnsi" w:hAnsiTheme="minorHAnsi" w:cstheme="minorHAnsi"/>
                <w:color w:val="000000"/>
                <w:szCs w:val="16"/>
              </w:rPr>
              <w:t>The methodological quality of studies evaluating Australian Indigenous community development projects is currently too weak to confidently determine the cost-effectiveness of community development projects in improving the health and wellbeing of Indigenous Australians</w:t>
            </w:r>
          </w:p>
          <w:p w14:paraId="1D1E220E" w14:textId="77777777" w:rsidR="00676ACD"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Qualitative and quantitative study components were assessed against appropriate criteria the Dictionary for Effective Public Health Practice Project Quality Assessment tool was used to assess the methodological quality of quantitative components and an adaptation of the qualitative study appraisal tool, developed by Long and Godfrey was used for the qualitative study components</w:t>
            </w:r>
          </w:p>
          <w:p w14:paraId="280D24D7" w14:textId="77777777" w:rsidR="00676AC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L</w:t>
            </w:r>
            <w:r w:rsidRPr="00D6251D">
              <w:rPr>
                <w:rFonts w:asciiTheme="minorHAnsi" w:hAnsiTheme="minorHAnsi" w:cstheme="minorHAnsi"/>
                <w:color w:val="000000"/>
                <w:szCs w:val="16"/>
              </w:rPr>
              <w:t>evels of community participation fluctuate across community development project phases: moderate in the Diagnosis and Development phases, high in the Implementation phase, but low in the Evaluation phase</w:t>
            </w:r>
            <w:r>
              <w:rPr>
                <w:rFonts w:asciiTheme="minorHAnsi" w:hAnsiTheme="minorHAnsi" w:cstheme="minorHAnsi"/>
                <w:color w:val="000000"/>
                <w:szCs w:val="16"/>
              </w:rPr>
              <w:t xml:space="preserve"> </w:t>
            </w:r>
            <w:r w:rsidRPr="00D6251D">
              <w:rPr>
                <w:rFonts w:asciiTheme="minorHAnsi" w:hAnsiTheme="minorHAnsi" w:cstheme="minorHAnsi"/>
                <w:color w:val="000000"/>
                <w:szCs w:val="16"/>
              </w:rPr>
              <w:t>methodological quality of studies evaluating</w:t>
            </w:r>
          </w:p>
          <w:p w14:paraId="1B4B16F6" w14:textId="77777777" w:rsidR="00676ACD" w:rsidRDefault="00676ACD" w:rsidP="007B5579">
            <w:pPr>
              <w:pStyle w:val="EYTablebullet1"/>
              <w:rPr>
                <w:rFonts w:asciiTheme="minorHAnsi" w:hAnsiTheme="minorHAnsi" w:cstheme="minorHAnsi"/>
                <w:color w:val="000000"/>
                <w:szCs w:val="16"/>
              </w:rPr>
            </w:pPr>
            <w:r>
              <w:rPr>
                <w:rFonts w:asciiTheme="minorHAnsi" w:hAnsiTheme="minorHAnsi" w:cstheme="minorHAnsi"/>
                <w:color w:val="000000"/>
                <w:szCs w:val="16"/>
              </w:rPr>
              <w:t>M</w:t>
            </w:r>
            <w:r w:rsidRPr="00D6251D">
              <w:rPr>
                <w:rFonts w:asciiTheme="minorHAnsi" w:hAnsiTheme="minorHAnsi" w:cstheme="minorHAnsi"/>
                <w:color w:val="000000"/>
                <w:szCs w:val="16"/>
              </w:rPr>
              <w:t>ethodological quality of studies evaluating Australian Indigenous community development projects is too weak to confidently determine the cost-effectiveness of these projects in improving the health and wellbeing of Indigenous Australians</w:t>
            </w:r>
          </w:p>
          <w:p w14:paraId="2ABCA074" w14:textId="77777777" w:rsidR="00676ACD" w:rsidRPr="00F13DDC" w:rsidRDefault="00676ACD" w:rsidP="007B5579">
            <w:pPr>
              <w:pStyle w:val="EYTablebullet1"/>
              <w:rPr>
                <w:rFonts w:asciiTheme="minorHAnsi" w:hAnsiTheme="minorHAnsi" w:cstheme="minorHAnsi"/>
                <w:color w:val="000000"/>
                <w:szCs w:val="16"/>
              </w:rPr>
            </w:pPr>
            <w:r w:rsidRPr="00D6251D">
              <w:rPr>
                <w:rFonts w:asciiTheme="minorHAnsi" w:hAnsiTheme="minorHAnsi" w:cstheme="minorHAnsi"/>
                <w:color w:val="000000"/>
                <w:szCs w:val="16"/>
              </w:rPr>
              <w:t>Partnerships combining researchers’ expertise and community members’ skills and knowledge have great potential to improve methodological quality and community participation in Indigenous community</w:t>
            </w:r>
          </w:p>
        </w:tc>
        <w:tc>
          <w:tcPr>
            <w:tcW w:w="683" w:type="pct"/>
          </w:tcPr>
          <w:p w14:paraId="216447C0" w14:textId="77777777" w:rsidR="00676ACD" w:rsidRPr="00D6251D" w:rsidRDefault="00676ACD" w:rsidP="007B5579">
            <w:pPr>
              <w:rPr>
                <w:rFonts w:cstheme="minorHAnsi"/>
                <w:sz w:val="16"/>
                <w:szCs w:val="16"/>
              </w:rPr>
            </w:pPr>
            <w:r w:rsidRPr="00D6251D">
              <w:rPr>
                <w:rFonts w:cstheme="minorHAnsi"/>
                <w:color w:val="000000"/>
                <w:sz w:val="16"/>
                <w:szCs w:val="16"/>
              </w:rPr>
              <w:t>Community care and support</w:t>
            </w:r>
            <w:bookmarkStart w:id="179" w:name="_Ref105657518"/>
            <w:r>
              <w:rPr>
                <w:rFonts w:cstheme="minorHAnsi"/>
                <w:color w:val="000000"/>
                <w:sz w:val="16"/>
                <w:szCs w:val="16"/>
              </w:rPr>
              <w:t xml:space="preserve"> </w:t>
            </w:r>
            <w:r w:rsidRPr="00D6251D">
              <w:rPr>
                <w:rFonts w:cstheme="minorHAnsi"/>
                <w:color w:val="000000"/>
                <w:sz w:val="16"/>
                <w:szCs w:val="16"/>
              </w:rPr>
              <w:t>(relevant to Program 2.4)</w:t>
            </w:r>
            <w:bookmarkEnd w:id="179"/>
          </w:p>
        </w:tc>
      </w:tr>
    </w:tbl>
    <w:p w14:paraId="5E8A6578" w14:textId="77777777" w:rsidR="00676ACD" w:rsidRPr="0008719F" w:rsidRDefault="00676ACD" w:rsidP="00676ACD">
      <w:pPr>
        <w:sectPr w:rsidR="00676ACD" w:rsidRPr="0008719F" w:rsidSect="007B5579">
          <w:headerReference w:type="default" r:id="rId33"/>
          <w:pgSz w:w="16834" w:h="11909" w:orient="landscape" w:code="9"/>
          <w:pgMar w:top="1418" w:right="1418" w:bottom="1418" w:left="1418" w:header="709" w:footer="425" w:gutter="0"/>
          <w:cols w:space="720"/>
          <w:docGrid w:linePitch="360"/>
        </w:sectPr>
      </w:pPr>
      <w:bookmarkStart w:id="180" w:name="_Ref105657525"/>
    </w:p>
    <w:p w14:paraId="7E6388C1" w14:textId="77777777" w:rsidR="00676ACD" w:rsidRPr="00E72B1E" w:rsidRDefault="00676ACD" w:rsidP="00676ACD">
      <w:pPr>
        <w:pStyle w:val="DVAAppendix"/>
      </w:pPr>
      <w:bookmarkStart w:id="181" w:name="_Ref104799157"/>
      <w:bookmarkStart w:id="182" w:name="_Ref104836516"/>
      <w:bookmarkStart w:id="183" w:name="_Ref104836520"/>
      <w:bookmarkStart w:id="184" w:name="_Ref105057799"/>
      <w:bookmarkStart w:id="185" w:name="_Toc105749452"/>
      <w:bookmarkStart w:id="186" w:name="_Toc107225305"/>
      <w:bookmarkStart w:id="187" w:name="_Toc105758427"/>
      <w:bookmarkStart w:id="188" w:name="_Toc110956302"/>
      <w:bookmarkEnd w:id="180"/>
      <w:r w:rsidRPr="00E72B1E">
        <w:lastRenderedPageBreak/>
        <w:t xml:space="preserve">Key </w:t>
      </w:r>
      <w:r>
        <w:t>i</w:t>
      </w:r>
      <w:r w:rsidRPr="00E72B1E">
        <w:t xml:space="preserve">nformant </w:t>
      </w:r>
      <w:r>
        <w:t>i</w:t>
      </w:r>
      <w:r w:rsidRPr="00E72B1E">
        <w:t xml:space="preserve">nterviews </w:t>
      </w:r>
      <w:bookmarkEnd w:id="181"/>
      <w:r>
        <w:t>summaries</w:t>
      </w:r>
      <w:bookmarkEnd w:id="182"/>
      <w:bookmarkEnd w:id="183"/>
      <w:bookmarkEnd w:id="184"/>
      <w:bookmarkEnd w:id="185"/>
      <w:bookmarkEnd w:id="186"/>
      <w:bookmarkEnd w:id="187"/>
      <w:bookmarkEnd w:id="188"/>
    </w:p>
    <w:p w14:paraId="4B823DFD" w14:textId="38A17FEA" w:rsidR="00676ACD" w:rsidRDefault="00676ACD" w:rsidP="00676ACD">
      <w:pPr>
        <w:pStyle w:val="Caption"/>
      </w:pPr>
      <w:bookmarkStart w:id="189" w:name="_Ref106781295"/>
      <w:bookmarkStart w:id="190" w:name="_Ref106781270"/>
      <w:r>
        <w:t xml:space="preserve">Table </w:t>
      </w:r>
      <w:r>
        <w:fldChar w:fldCharType="begin"/>
      </w:r>
      <w:r>
        <w:instrText xml:space="preserve"> SEQ Table \* ARABIC </w:instrText>
      </w:r>
      <w:r>
        <w:fldChar w:fldCharType="separate"/>
      </w:r>
      <w:r w:rsidR="00812188">
        <w:rPr>
          <w:noProof/>
        </w:rPr>
        <w:t>19</w:t>
      </w:r>
      <w:r>
        <w:fldChar w:fldCharType="end"/>
      </w:r>
      <w:bookmarkEnd w:id="189"/>
      <w:r>
        <w:t>. Key informant interview 1</w:t>
      </w:r>
      <w:bookmarkEnd w:id="190"/>
    </w:p>
    <w:tbl>
      <w:tblPr>
        <w:tblStyle w:val="TableGrid"/>
        <w:tblW w:w="0" w:type="auto"/>
        <w:tblLook w:val="04A0" w:firstRow="1" w:lastRow="0" w:firstColumn="1" w:lastColumn="0" w:noHBand="0" w:noVBand="1"/>
      </w:tblPr>
      <w:tblGrid>
        <w:gridCol w:w="1555"/>
        <w:gridCol w:w="708"/>
        <w:gridCol w:w="6800"/>
      </w:tblGrid>
      <w:tr w:rsidR="00676ACD" w:rsidRPr="00675BCE" w14:paraId="76E329EC" w14:textId="77777777" w:rsidTr="007B5579">
        <w:tc>
          <w:tcPr>
            <w:tcW w:w="9063" w:type="dxa"/>
            <w:gridSpan w:val="3"/>
            <w:shd w:val="clear" w:color="auto" w:fill="4FBBC3" w:themeFill="accent2"/>
          </w:tcPr>
          <w:p w14:paraId="5E90DFB6" w14:textId="77777777" w:rsidR="00676ACD" w:rsidRPr="00675BCE" w:rsidRDefault="00676ACD" w:rsidP="007B5579">
            <w:pPr>
              <w:pStyle w:val="DVABodytextwithparaspace"/>
              <w:spacing w:after="120"/>
              <w:rPr>
                <w:b/>
                <w:color w:val="FFFFFF" w:themeColor="background1"/>
                <w:sz w:val="16"/>
                <w:szCs w:val="16"/>
              </w:rPr>
            </w:pPr>
            <w:r w:rsidRPr="00675BCE">
              <w:rPr>
                <w:b/>
                <w:color w:val="FFFFFF" w:themeColor="background1"/>
                <w:sz w:val="16"/>
                <w:szCs w:val="16"/>
              </w:rPr>
              <w:t>EY Executive Director, Technology Consulting, Data &amp; Analytics (United States)</w:t>
            </w:r>
          </w:p>
        </w:tc>
      </w:tr>
      <w:tr w:rsidR="00676ACD" w:rsidRPr="00E72B1E" w14:paraId="1A97551E" w14:textId="77777777" w:rsidTr="007B5579">
        <w:tc>
          <w:tcPr>
            <w:tcW w:w="2263" w:type="dxa"/>
            <w:gridSpan w:val="2"/>
          </w:tcPr>
          <w:p w14:paraId="03CC36A7" w14:textId="77777777" w:rsidR="00676ACD" w:rsidRPr="00E72B1E" w:rsidRDefault="00676ACD" w:rsidP="007B5579">
            <w:pPr>
              <w:pStyle w:val="DVABodytextwithparaspace"/>
              <w:spacing w:before="120" w:after="120"/>
              <w:rPr>
                <w:b/>
                <w:bCs/>
                <w:sz w:val="16"/>
                <w:szCs w:val="16"/>
              </w:rPr>
            </w:pPr>
            <w:r w:rsidRPr="00E72B1E">
              <w:rPr>
                <w:b/>
                <w:bCs/>
                <w:sz w:val="16"/>
                <w:szCs w:val="16"/>
              </w:rPr>
              <w:t>Interview date and time</w:t>
            </w:r>
          </w:p>
        </w:tc>
        <w:tc>
          <w:tcPr>
            <w:tcW w:w="6800" w:type="dxa"/>
          </w:tcPr>
          <w:p w14:paraId="4C595825" w14:textId="77777777" w:rsidR="00676ACD" w:rsidRPr="00E72B1E" w:rsidRDefault="00676ACD" w:rsidP="007B5579">
            <w:pPr>
              <w:pStyle w:val="DVABodytextwithparaspace"/>
              <w:spacing w:before="120" w:after="120"/>
              <w:rPr>
                <w:sz w:val="16"/>
                <w:szCs w:val="16"/>
              </w:rPr>
            </w:pPr>
            <w:r w:rsidRPr="00E72B1E">
              <w:rPr>
                <w:sz w:val="16"/>
                <w:szCs w:val="16"/>
              </w:rPr>
              <w:t>Tuesday 24 May 2022, 8:00am – 9:00am AEST</w:t>
            </w:r>
          </w:p>
        </w:tc>
      </w:tr>
      <w:tr w:rsidR="00676ACD" w:rsidRPr="00675BCE" w14:paraId="76F3BB42" w14:textId="77777777" w:rsidTr="007B5579">
        <w:tc>
          <w:tcPr>
            <w:tcW w:w="1555" w:type="dxa"/>
            <w:shd w:val="clear" w:color="auto" w:fill="4FBBC3" w:themeFill="accent2"/>
          </w:tcPr>
          <w:p w14:paraId="0347DC54" w14:textId="77777777" w:rsidR="00676ACD" w:rsidRPr="00675BCE" w:rsidRDefault="00676ACD" w:rsidP="007B5579">
            <w:pPr>
              <w:pStyle w:val="DVABodytextwithparaspace"/>
              <w:spacing w:before="120" w:after="120"/>
              <w:rPr>
                <w:b/>
                <w:color w:val="FFFFFF" w:themeColor="background1"/>
                <w:sz w:val="16"/>
                <w:szCs w:val="16"/>
              </w:rPr>
            </w:pPr>
            <w:r w:rsidRPr="00675BCE">
              <w:rPr>
                <w:b/>
                <w:color w:val="FFFFFF" w:themeColor="background1"/>
                <w:sz w:val="16"/>
                <w:szCs w:val="16"/>
              </w:rPr>
              <w:t>Theme</w:t>
            </w:r>
          </w:p>
        </w:tc>
        <w:tc>
          <w:tcPr>
            <w:tcW w:w="7508" w:type="dxa"/>
            <w:gridSpan w:val="2"/>
            <w:shd w:val="clear" w:color="auto" w:fill="4FBBC3" w:themeFill="accent2"/>
          </w:tcPr>
          <w:p w14:paraId="76DC27E7" w14:textId="77777777" w:rsidR="00676ACD" w:rsidRPr="00675BCE" w:rsidRDefault="00676ACD" w:rsidP="007B5579">
            <w:pPr>
              <w:pStyle w:val="DVABodytextwithparaspace"/>
              <w:spacing w:before="120" w:after="120"/>
              <w:rPr>
                <w:b/>
                <w:color w:val="FFFFFF" w:themeColor="background1"/>
                <w:sz w:val="16"/>
                <w:szCs w:val="16"/>
              </w:rPr>
            </w:pPr>
            <w:r w:rsidRPr="00675BCE">
              <w:rPr>
                <w:b/>
                <w:color w:val="FFFFFF" w:themeColor="background1"/>
                <w:sz w:val="16"/>
                <w:szCs w:val="16"/>
              </w:rPr>
              <w:t>Key Findings</w:t>
            </w:r>
          </w:p>
        </w:tc>
      </w:tr>
      <w:tr w:rsidR="00676ACD" w:rsidRPr="00E72B1E" w14:paraId="411CA674" w14:textId="77777777" w:rsidTr="007B5579">
        <w:tc>
          <w:tcPr>
            <w:tcW w:w="1555" w:type="dxa"/>
            <w:shd w:val="clear" w:color="auto" w:fill="CDCDCD"/>
          </w:tcPr>
          <w:p w14:paraId="7F63CAEF" w14:textId="77777777" w:rsidR="00676ACD" w:rsidRPr="00E72B1E" w:rsidRDefault="00676ACD" w:rsidP="007B5579">
            <w:pPr>
              <w:pStyle w:val="DVABodytextwithparaspace"/>
              <w:spacing w:before="120" w:after="120"/>
              <w:rPr>
                <w:b/>
                <w:bCs/>
                <w:sz w:val="16"/>
                <w:szCs w:val="16"/>
              </w:rPr>
            </w:pPr>
            <w:r w:rsidRPr="00E72B1E">
              <w:rPr>
                <w:b/>
                <w:bCs/>
                <w:sz w:val="16"/>
                <w:szCs w:val="16"/>
              </w:rPr>
              <w:t>Veterans’ health program evaluations landscape in the United States</w:t>
            </w:r>
          </w:p>
        </w:tc>
        <w:tc>
          <w:tcPr>
            <w:tcW w:w="7508" w:type="dxa"/>
            <w:gridSpan w:val="2"/>
          </w:tcPr>
          <w:p w14:paraId="326D2BAF" w14:textId="77777777" w:rsidR="00676ACD" w:rsidRPr="00E72B1E" w:rsidRDefault="00676ACD" w:rsidP="007B5579">
            <w:pPr>
              <w:pStyle w:val="DVABodytextwithparaspace"/>
              <w:spacing w:before="120" w:after="0"/>
              <w:rPr>
                <w:sz w:val="16"/>
                <w:szCs w:val="16"/>
              </w:rPr>
            </w:pPr>
            <w:r w:rsidRPr="00E72B1E">
              <w:rPr>
                <w:sz w:val="16"/>
                <w:szCs w:val="16"/>
              </w:rPr>
              <w:t xml:space="preserve">The US Department of Veterans Affairs (VA) and other government agencies in the United States (US) typically </w:t>
            </w:r>
            <w:r>
              <w:rPr>
                <w:sz w:val="16"/>
                <w:szCs w:val="16"/>
              </w:rPr>
              <w:t>conduct</w:t>
            </w:r>
            <w:r w:rsidRPr="00E72B1E">
              <w:rPr>
                <w:sz w:val="16"/>
                <w:szCs w:val="16"/>
              </w:rPr>
              <w:t xml:space="preserve"> three types of evaluations:</w:t>
            </w:r>
          </w:p>
          <w:p w14:paraId="2131B1F7" w14:textId="77777777" w:rsidR="00676ACD" w:rsidRPr="00E72B1E" w:rsidRDefault="00676ACD" w:rsidP="00676ACD">
            <w:pPr>
              <w:pStyle w:val="DVABodytextwithparaspace"/>
              <w:numPr>
                <w:ilvl w:val="0"/>
                <w:numId w:val="22"/>
              </w:numPr>
              <w:spacing w:after="0"/>
              <w:ind w:left="357" w:hanging="357"/>
              <w:rPr>
                <w:sz w:val="16"/>
                <w:szCs w:val="16"/>
              </w:rPr>
            </w:pPr>
            <w:r w:rsidRPr="00E72B1E">
              <w:rPr>
                <w:sz w:val="16"/>
                <w:szCs w:val="16"/>
              </w:rPr>
              <w:t xml:space="preserve">Evaluations with a performance management bent, used to assess whether specified outcomes have been achieved for the population at large. These tend to be managerial in nature. </w:t>
            </w:r>
          </w:p>
          <w:p w14:paraId="0A851EF6" w14:textId="77777777" w:rsidR="00676ACD" w:rsidRPr="00E72B1E" w:rsidRDefault="00676ACD" w:rsidP="00676ACD">
            <w:pPr>
              <w:pStyle w:val="DVABodytextwithparaspace"/>
              <w:numPr>
                <w:ilvl w:val="0"/>
                <w:numId w:val="22"/>
              </w:numPr>
              <w:spacing w:after="0"/>
              <w:ind w:left="357" w:hanging="357"/>
              <w:rPr>
                <w:sz w:val="16"/>
                <w:szCs w:val="16"/>
              </w:rPr>
            </w:pPr>
            <w:r w:rsidRPr="00E72B1E">
              <w:rPr>
                <w:sz w:val="16"/>
                <w:szCs w:val="16"/>
              </w:rPr>
              <w:t>Specialised evaluations for innovative programs, involving novel therapeutics or procedures, and therefore focused on a small cohort, usually in partnership with research institutions (where the novel therapeutic or procedure has been developed)</w:t>
            </w:r>
          </w:p>
          <w:p w14:paraId="300168C2" w14:textId="77777777" w:rsidR="00676ACD" w:rsidRPr="00E72B1E" w:rsidRDefault="00676ACD" w:rsidP="00676ACD">
            <w:pPr>
              <w:pStyle w:val="DVABodytextwithparaspace"/>
              <w:numPr>
                <w:ilvl w:val="0"/>
                <w:numId w:val="22"/>
              </w:numPr>
              <w:spacing w:after="0"/>
              <w:ind w:left="357" w:hanging="357"/>
              <w:rPr>
                <w:sz w:val="16"/>
                <w:szCs w:val="16"/>
              </w:rPr>
            </w:pPr>
            <w:r w:rsidRPr="00E72B1E">
              <w:rPr>
                <w:sz w:val="16"/>
                <w:szCs w:val="16"/>
              </w:rPr>
              <w:t xml:space="preserve">Evaluations carried out by the United States Congress Government Accountability Office, who conduct evaluations on various government departments and executives to understand the progress and performance of a program, </w:t>
            </w:r>
            <w:r>
              <w:rPr>
                <w:sz w:val="16"/>
                <w:szCs w:val="16"/>
              </w:rPr>
              <w:t>this is to determine if programs continue</w:t>
            </w:r>
          </w:p>
        </w:tc>
      </w:tr>
      <w:tr w:rsidR="00676ACD" w:rsidRPr="00E72B1E" w14:paraId="60A99403" w14:textId="77777777" w:rsidTr="007B5579">
        <w:tc>
          <w:tcPr>
            <w:tcW w:w="1555" w:type="dxa"/>
            <w:shd w:val="clear" w:color="auto" w:fill="CDCDCD"/>
          </w:tcPr>
          <w:p w14:paraId="032A9107" w14:textId="77777777" w:rsidR="00676ACD" w:rsidRPr="00E72B1E" w:rsidRDefault="00676ACD" w:rsidP="007B5579">
            <w:pPr>
              <w:pStyle w:val="DVABodytextwithparaspace"/>
              <w:spacing w:before="120" w:after="120"/>
              <w:rPr>
                <w:b/>
                <w:bCs/>
                <w:sz w:val="16"/>
                <w:szCs w:val="16"/>
              </w:rPr>
            </w:pPr>
            <w:r w:rsidRPr="00E72B1E">
              <w:rPr>
                <w:b/>
                <w:bCs/>
                <w:sz w:val="16"/>
                <w:szCs w:val="16"/>
              </w:rPr>
              <w:t>Evaluation methodologies used</w:t>
            </w:r>
          </w:p>
        </w:tc>
        <w:tc>
          <w:tcPr>
            <w:tcW w:w="7508" w:type="dxa"/>
            <w:gridSpan w:val="2"/>
          </w:tcPr>
          <w:p w14:paraId="130A67B4" w14:textId="77777777" w:rsidR="00676ACD" w:rsidRPr="00E72B1E" w:rsidRDefault="00676ACD" w:rsidP="007B5579">
            <w:pPr>
              <w:pStyle w:val="DVABodytextwithparaspace"/>
              <w:spacing w:before="120" w:after="0"/>
              <w:rPr>
                <w:sz w:val="16"/>
                <w:szCs w:val="16"/>
              </w:rPr>
            </w:pPr>
            <w:r w:rsidRPr="00E72B1E">
              <w:rPr>
                <w:sz w:val="16"/>
                <w:szCs w:val="16"/>
              </w:rPr>
              <w:t>For the type of evaluations described above:</w:t>
            </w:r>
          </w:p>
          <w:p w14:paraId="113913AD" w14:textId="77777777" w:rsidR="00676ACD" w:rsidRPr="00E72B1E" w:rsidRDefault="00676ACD" w:rsidP="00676ACD">
            <w:pPr>
              <w:pStyle w:val="DVABodytextwithparaspace"/>
              <w:numPr>
                <w:ilvl w:val="0"/>
                <w:numId w:val="26"/>
              </w:numPr>
              <w:spacing w:after="0"/>
              <w:rPr>
                <w:sz w:val="16"/>
                <w:szCs w:val="16"/>
              </w:rPr>
            </w:pPr>
            <w:r w:rsidRPr="00E72B1E">
              <w:rPr>
                <w:sz w:val="16"/>
                <w:szCs w:val="16"/>
              </w:rPr>
              <w:t xml:space="preserve">Program outcomes are defined, and normative values set. Time-trended data </w:t>
            </w:r>
            <w:r>
              <w:rPr>
                <w:sz w:val="16"/>
                <w:szCs w:val="16"/>
              </w:rPr>
              <w:t>are</w:t>
            </w:r>
            <w:r w:rsidRPr="00E72B1E">
              <w:rPr>
                <w:sz w:val="16"/>
                <w:szCs w:val="16"/>
              </w:rPr>
              <w:t xml:space="preserve"> collected and compared against both the normative value and identified external benchmarks (of good practice). </w:t>
            </w:r>
          </w:p>
          <w:p w14:paraId="55B48F91" w14:textId="77777777" w:rsidR="00676ACD" w:rsidRPr="00E72B1E" w:rsidRDefault="00676ACD" w:rsidP="00676ACD">
            <w:pPr>
              <w:pStyle w:val="DVABodytextwithparaspace"/>
              <w:numPr>
                <w:ilvl w:val="0"/>
                <w:numId w:val="26"/>
              </w:numPr>
              <w:spacing w:after="0"/>
              <w:ind w:left="357" w:hanging="357"/>
              <w:rPr>
                <w:sz w:val="16"/>
                <w:szCs w:val="16"/>
              </w:rPr>
            </w:pPr>
            <w:r w:rsidRPr="00E72B1E">
              <w:rPr>
                <w:sz w:val="16"/>
                <w:szCs w:val="16"/>
              </w:rPr>
              <w:t>Methodologies are bespoke and complex, due to the need to determine a causative effect of the novel treatment and generally involve experimental methods comparing the treatment group to a comparison cohort e.g. usual care. Comparison cohorts must be comparable to treatment cohorts e.g. demographics, co-morbidity</w:t>
            </w:r>
          </w:p>
          <w:p w14:paraId="0AF47E9A" w14:textId="77777777" w:rsidR="00676ACD" w:rsidRPr="00E72B1E" w:rsidRDefault="00676ACD" w:rsidP="00676ACD">
            <w:pPr>
              <w:pStyle w:val="DVABodytextwithparaspace"/>
              <w:numPr>
                <w:ilvl w:val="0"/>
                <w:numId w:val="26"/>
              </w:numPr>
              <w:spacing w:after="0"/>
              <w:ind w:left="357" w:hanging="357"/>
              <w:rPr>
                <w:sz w:val="16"/>
                <w:szCs w:val="16"/>
              </w:rPr>
            </w:pPr>
            <w:r w:rsidRPr="00E72B1E">
              <w:rPr>
                <w:sz w:val="16"/>
                <w:szCs w:val="16"/>
              </w:rPr>
              <w:t>These evaluations generally involve interviews and reviews of administrative data, to produce recommendations for the program</w:t>
            </w:r>
          </w:p>
        </w:tc>
      </w:tr>
      <w:tr w:rsidR="00676ACD" w:rsidRPr="00E72B1E" w14:paraId="4CBE31D5" w14:textId="77777777" w:rsidTr="007B5579">
        <w:tc>
          <w:tcPr>
            <w:tcW w:w="1555" w:type="dxa"/>
            <w:shd w:val="clear" w:color="auto" w:fill="CDCDCD"/>
          </w:tcPr>
          <w:p w14:paraId="64A02E86" w14:textId="77777777" w:rsidR="00676ACD" w:rsidRPr="00E72B1E" w:rsidRDefault="00676ACD" w:rsidP="007B5579">
            <w:pPr>
              <w:pStyle w:val="DVABodytextwithparaspace"/>
              <w:spacing w:before="120" w:after="120"/>
              <w:rPr>
                <w:b/>
                <w:bCs/>
                <w:sz w:val="16"/>
                <w:szCs w:val="16"/>
              </w:rPr>
            </w:pPr>
            <w:r w:rsidRPr="00E72B1E">
              <w:rPr>
                <w:b/>
                <w:bCs/>
                <w:sz w:val="16"/>
                <w:szCs w:val="16"/>
              </w:rPr>
              <w:t>Key success factors</w:t>
            </w:r>
          </w:p>
        </w:tc>
        <w:tc>
          <w:tcPr>
            <w:tcW w:w="7508" w:type="dxa"/>
            <w:gridSpan w:val="2"/>
          </w:tcPr>
          <w:p w14:paraId="7025B90C" w14:textId="77777777" w:rsidR="00676ACD" w:rsidRPr="00E72B1E" w:rsidRDefault="00676ACD" w:rsidP="007B5579">
            <w:pPr>
              <w:pStyle w:val="DVABulletnoparaspace"/>
              <w:rPr>
                <w:sz w:val="16"/>
              </w:rPr>
            </w:pPr>
            <w:r w:rsidRPr="00E72B1E">
              <w:rPr>
                <w:sz w:val="16"/>
              </w:rPr>
              <w:t xml:space="preserve">When looking at the first type of evaluation, establishing the goals and outcomes of a health program, the following questions must be considered: Is what you are intending to measure </w:t>
            </w:r>
            <w:r w:rsidRPr="00E72B1E">
              <w:rPr>
                <w:i/>
                <w:iCs/>
                <w:sz w:val="16"/>
              </w:rPr>
              <w:t>meaningful</w:t>
            </w:r>
            <w:r w:rsidRPr="00E72B1E">
              <w:rPr>
                <w:sz w:val="16"/>
              </w:rPr>
              <w:t xml:space="preserve">? Can the goal be measured in a </w:t>
            </w:r>
            <w:r w:rsidRPr="00E72B1E">
              <w:rPr>
                <w:i/>
                <w:iCs/>
                <w:sz w:val="16"/>
              </w:rPr>
              <w:t>scientific</w:t>
            </w:r>
            <w:r w:rsidRPr="00E72B1E">
              <w:rPr>
                <w:sz w:val="16"/>
              </w:rPr>
              <w:t xml:space="preserve"> manner? Is the data </w:t>
            </w:r>
            <w:r w:rsidRPr="00E72B1E">
              <w:rPr>
                <w:i/>
                <w:iCs/>
                <w:sz w:val="16"/>
              </w:rPr>
              <w:t>reliable</w:t>
            </w:r>
            <w:r w:rsidRPr="00E72B1E">
              <w:rPr>
                <w:sz w:val="16"/>
              </w:rPr>
              <w:t xml:space="preserve">? Is it </w:t>
            </w:r>
            <w:r w:rsidRPr="00E72B1E">
              <w:rPr>
                <w:i/>
                <w:iCs/>
                <w:sz w:val="16"/>
              </w:rPr>
              <w:t>feasible</w:t>
            </w:r>
            <w:r w:rsidRPr="00E72B1E">
              <w:rPr>
                <w:sz w:val="16"/>
              </w:rPr>
              <w:t xml:space="preserve"> to measure and evaluate?</w:t>
            </w:r>
          </w:p>
          <w:p w14:paraId="7238F08D" w14:textId="77777777" w:rsidR="00676ACD" w:rsidRPr="00E72B1E" w:rsidRDefault="00676ACD" w:rsidP="007B5579">
            <w:pPr>
              <w:pStyle w:val="DVABulletnoparaspace"/>
              <w:rPr>
                <w:sz w:val="16"/>
              </w:rPr>
            </w:pPr>
            <w:r w:rsidRPr="00E72B1E">
              <w:rPr>
                <w:sz w:val="16"/>
              </w:rPr>
              <w:t>Getting political agreement on the outcomes (and also on how they should be operationalised) for programs is also critical – this can be challenging, especially when numerous stakeholders are involved but sets the foundations for buy in when results arrive. Buy in especially at the higher levels of the organisation is crucial</w:t>
            </w:r>
          </w:p>
          <w:p w14:paraId="0D714058" w14:textId="77777777" w:rsidR="00676ACD" w:rsidRPr="00E72B1E" w:rsidRDefault="00676ACD" w:rsidP="007B5579">
            <w:pPr>
              <w:pStyle w:val="DVABulletnoparaspace"/>
              <w:rPr>
                <w:sz w:val="16"/>
              </w:rPr>
            </w:pPr>
            <w:r w:rsidRPr="00E72B1E">
              <w:rPr>
                <w:sz w:val="16"/>
              </w:rPr>
              <w:t>Evaluation outcomes need to be tailored and specific for the population in mind, in this case veterans e.g. with the increasing number of women that are now serving on the front line, clinical aspects such as pregnancy and giving birth need to be considered, this wasn’t the case previously. Another example – specific injuries in context of particular conflicts e.g. TBI</w:t>
            </w:r>
          </w:p>
        </w:tc>
      </w:tr>
      <w:tr w:rsidR="00676ACD" w:rsidRPr="00E72B1E" w14:paraId="17B3A39E" w14:textId="77777777" w:rsidTr="007B5579">
        <w:tc>
          <w:tcPr>
            <w:tcW w:w="1555" w:type="dxa"/>
            <w:shd w:val="clear" w:color="auto" w:fill="CDCDCD"/>
          </w:tcPr>
          <w:p w14:paraId="378A8542" w14:textId="77777777" w:rsidR="00676ACD" w:rsidRPr="00E72B1E" w:rsidRDefault="00676ACD" w:rsidP="007B5579">
            <w:pPr>
              <w:pStyle w:val="DVABodytextwithparaspace"/>
              <w:spacing w:before="120" w:after="120"/>
              <w:rPr>
                <w:b/>
                <w:bCs/>
                <w:sz w:val="16"/>
                <w:szCs w:val="16"/>
              </w:rPr>
            </w:pPr>
            <w:r w:rsidRPr="00E72B1E">
              <w:rPr>
                <w:b/>
                <w:bCs/>
                <w:sz w:val="16"/>
                <w:szCs w:val="16"/>
              </w:rPr>
              <w:t>Common pitfalls and challenges</w:t>
            </w:r>
          </w:p>
        </w:tc>
        <w:tc>
          <w:tcPr>
            <w:tcW w:w="7508" w:type="dxa"/>
            <w:gridSpan w:val="2"/>
          </w:tcPr>
          <w:p w14:paraId="5826F663" w14:textId="77777777" w:rsidR="00676ACD" w:rsidRPr="00E72B1E" w:rsidRDefault="00676ACD" w:rsidP="007B5579">
            <w:pPr>
              <w:pStyle w:val="DVABulletnoparaspace"/>
              <w:rPr>
                <w:sz w:val="16"/>
              </w:rPr>
            </w:pPr>
            <w:r w:rsidRPr="00E72B1E">
              <w:rPr>
                <w:sz w:val="16"/>
              </w:rPr>
              <w:t>A common challenge is the definition of wellness, and how this is articulated as a specific and measurable indicator for the population in question.</w:t>
            </w:r>
          </w:p>
          <w:p w14:paraId="69C723C1" w14:textId="77777777" w:rsidR="00676ACD" w:rsidRPr="00E72B1E" w:rsidRDefault="00676ACD" w:rsidP="007B5579">
            <w:pPr>
              <w:pStyle w:val="DVABulletnoparaspace"/>
              <w:rPr>
                <w:sz w:val="16"/>
              </w:rPr>
            </w:pPr>
            <w:r w:rsidRPr="00E72B1E">
              <w:rPr>
                <w:sz w:val="16"/>
              </w:rPr>
              <w:t>Agreement on what the goals and outcomes of the program are, and how they should be operationalised can be the most time-consuming activity in an evaluation</w:t>
            </w:r>
          </w:p>
        </w:tc>
      </w:tr>
      <w:tr w:rsidR="00676ACD" w:rsidRPr="00E72B1E" w14:paraId="05D5984E" w14:textId="77777777" w:rsidTr="007B5579">
        <w:tc>
          <w:tcPr>
            <w:tcW w:w="1555" w:type="dxa"/>
            <w:shd w:val="clear" w:color="auto" w:fill="CDCDCD"/>
          </w:tcPr>
          <w:p w14:paraId="6198AB94" w14:textId="77777777" w:rsidR="00676ACD" w:rsidRPr="00E72B1E" w:rsidRDefault="00676ACD" w:rsidP="007B5579">
            <w:pPr>
              <w:pStyle w:val="DVABodytextwithparaspace"/>
              <w:spacing w:before="120" w:after="120"/>
              <w:rPr>
                <w:b/>
                <w:bCs/>
                <w:sz w:val="16"/>
                <w:szCs w:val="16"/>
              </w:rPr>
            </w:pPr>
            <w:r w:rsidRPr="00E72B1E">
              <w:rPr>
                <w:b/>
                <w:bCs/>
                <w:sz w:val="16"/>
                <w:szCs w:val="16"/>
              </w:rPr>
              <w:t>Government agency evaluations compared to private sector evaluations</w:t>
            </w:r>
          </w:p>
        </w:tc>
        <w:tc>
          <w:tcPr>
            <w:tcW w:w="7508" w:type="dxa"/>
            <w:gridSpan w:val="2"/>
          </w:tcPr>
          <w:p w14:paraId="38FB3C09" w14:textId="77777777" w:rsidR="00676ACD" w:rsidRPr="00E72B1E" w:rsidRDefault="00676ACD" w:rsidP="007B5579">
            <w:pPr>
              <w:pStyle w:val="DVABulletnoparaspace"/>
              <w:rPr>
                <w:sz w:val="16"/>
              </w:rPr>
            </w:pPr>
            <w:r w:rsidRPr="00E72B1E">
              <w:rPr>
                <w:sz w:val="16"/>
              </w:rPr>
              <w:t>Government agencies in the US often conduct evaluations in-house, particularly for the first type of evaluation. However, evaluations for novel programs may be fully commissioned or within a hybrid model, to access more specialised evaluation capabilities, given the more complicated methodologies</w:t>
            </w:r>
          </w:p>
          <w:p w14:paraId="193AF4FF" w14:textId="77777777" w:rsidR="00676ACD" w:rsidRPr="00E72B1E" w:rsidRDefault="00676ACD" w:rsidP="007B5579">
            <w:pPr>
              <w:pStyle w:val="DVABulletnoparaspace"/>
              <w:rPr>
                <w:sz w:val="16"/>
              </w:rPr>
            </w:pPr>
            <w:r w:rsidRPr="00E72B1E">
              <w:rPr>
                <w:sz w:val="16"/>
              </w:rPr>
              <w:t>In the private sector, defining desired outcomes may be less complex and time consuming in comparison to the government agencies, e.g. there may a clear commercial aspect driving evaluation. This can be a reflection of the audience for the evaluation e.g. shareholders vs the US government on behalf of the public (where goals and outcomes may be more broadly defined)</w:t>
            </w:r>
          </w:p>
        </w:tc>
      </w:tr>
      <w:tr w:rsidR="00676ACD" w:rsidRPr="00E72B1E" w14:paraId="71BDC704" w14:textId="77777777" w:rsidTr="007B5579">
        <w:tc>
          <w:tcPr>
            <w:tcW w:w="1555" w:type="dxa"/>
            <w:shd w:val="clear" w:color="auto" w:fill="CDCDCD"/>
          </w:tcPr>
          <w:p w14:paraId="6E40AE9E" w14:textId="77777777" w:rsidR="00676ACD" w:rsidRPr="00E72B1E" w:rsidRDefault="00676ACD" w:rsidP="007B5579">
            <w:pPr>
              <w:pStyle w:val="DVABodytextwithparaspace"/>
              <w:spacing w:before="120" w:after="120"/>
              <w:rPr>
                <w:b/>
                <w:bCs/>
                <w:sz w:val="16"/>
                <w:szCs w:val="16"/>
              </w:rPr>
            </w:pPr>
            <w:r w:rsidRPr="00E72B1E">
              <w:rPr>
                <w:b/>
                <w:bCs/>
                <w:sz w:val="16"/>
                <w:szCs w:val="16"/>
              </w:rPr>
              <w:t>Change in methods over time</w:t>
            </w:r>
          </w:p>
        </w:tc>
        <w:tc>
          <w:tcPr>
            <w:tcW w:w="7508" w:type="dxa"/>
            <w:gridSpan w:val="2"/>
          </w:tcPr>
          <w:p w14:paraId="4277CBC6" w14:textId="77777777" w:rsidR="00676ACD" w:rsidRPr="00E72B1E" w:rsidRDefault="00676ACD" w:rsidP="007B5579">
            <w:pPr>
              <w:pStyle w:val="DVABulletnoparaspace"/>
              <w:rPr>
                <w:sz w:val="16"/>
              </w:rPr>
            </w:pPr>
            <w:r w:rsidRPr="00E72B1E">
              <w:rPr>
                <w:sz w:val="16"/>
              </w:rPr>
              <w:t>In the US, ‘rapid cycle evaluations’ were introduced 5 – 10 years ago, as a means to provide quicker answers as to whether programs were performing or heading in the intended direction, and can be undertaken while programs are being implemented. These types of evaluation are less definitive with the advantage of speed is offset by the confidence levels in the results, which is ultimately driven by the types of questions being asked the level of confidence required by the evaluation’s audience</w:t>
            </w:r>
          </w:p>
          <w:p w14:paraId="08D145D2" w14:textId="77777777" w:rsidR="00676ACD" w:rsidRPr="00E72B1E" w:rsidRDefault="00676ACD" w:rsidP="007B5579">
            <w:pPr>
              <w:pStyle w:val="DVABulletnoparaspace"/>
              <w:rPr>
                <w:sz w:val="16"/>
              </w:rPr>
            </w:pPr>
            <w:r w:rsidRPr="00E72B1E">
              <w:rPr>
                <w:sz w:val="16"/>
              </w:rPr>
              <w:t>In the US, evaluations have only been conducted in the last 30 years, previously, they did not occur in the systematic way that they do now – with the effect that evaluations place greater accountability on program administrators to clarify what they want to achieve and a potential flow-on impact to program design</w:t>
            </w:r>
          </w:p>
          <w:p w14:paraId="5F70496D" w14:textId="77777777" w:rsidR="00676ACD" w:rsidRPr="00E72B1E" w:rsidRDefault="00676ACD" w:rsidP="007B5579">
            <w:pPr>
              <w:pStyle w:val="DVABulletnoparaspace"/>
              <w:rPr>
                <w:sz w:val="16"/>
              </w:rPr>
            </w:pPr>
            <w:r w:rsidRPr="00E72B1E">
              <w:rPr>
                <w:sz w:val="16"/>
              </w:rPr>
              <w:t xml:space="preserve">Stakeholder engagement has become increasingly important, especially in achieving political agreement on program goals </w:t>
            </w:r>
          </w:p>
        </w:tc>
      </w:tr>
      <w:tr w:rsidR="00676ACD" w:rsidRPr="00E72B1E" w14:paraId="6E1CB3D0" w14:textId="77777777" w:rsidTr="007B5579">
        <w:tc>
          <w:tcPr>
            <w:tcW w:w="1555" w:type="dxa"/>
            <w:shd w:val="clear" w:color="auto" w:fill="CDCDCD"/>
          </w:tcPr>
          <w:p w14:paraId="1888DE4A" w14:textId="77777777" w:rsidR="00676ACD" w:rsidRPr="00E72B1E" w:rsidRDefault="00676ACD" w:rsidP="007B5579">
            <w:pPr>
              <w:pStyle w:val="DVABodytextwithparaspace"/>
              <w:spacing w:before="120" w:after="120"/>
              <w:rPr>
                <w:b/>
                <w:bCs/>
                <w:sz w:val="16"/>
                <w:szCs w:val="16"/>
              </w:rPr>
            </w:pPr>
            <w:r w:rsidRPr="00E72B1E">
              <w:rPr>
                <w:b/>
                <w:bCs/>
                <w:sz w:val="16"/>
                <w:szCs w:val="16"/>
              </w:rPr>
              <w:t>Costs of evaluations</w:t>
            </w:r>
          </w:p>
        </w:tc>
        <w:tc>
          <w:tcPr>
            <w:tcW w:w="7508" w:type="dxa"/>
            <w:gridSpan w:val="2"/>
          </w:tcPr>
          <w:p w14:paraId="55C47DD8" w14:textId="77777777" w:rsidR="00676ACD" w:rsidRPr="00E72B1E" w:rsidRDefault="00676ACD" w:rsidP="007B5579">
            <w:pPr>
              <w:pStyle w:val="DVABulletnoparaspace"/>
              <w:rPr>
                <w:sz w:val="16"/>
              </w:rPr>
            </w:pPr>
            <w:r w:rsidRPr="00E72B1E">
              <w:rPr>
                <w:sz w:val="16"/>
              </w:rPr>
              <w:t>N/A</w:t>
            </w:r>
          </w:p>
        </w:tc>
      </w:tr>
    </w:tbl>
    <w:p w14:paraId="31835C19" w14:textId="42A106F4" w:rsidR="00676ACD" w:rsidRDefault="00676ACD" w:rsidP="00676ACD">
      <w:pPr>
        <w:pStyle w:val="Caption"/>
      </w:pPr>
      <w:bookmarkStart w:id="191" w:name="_Ref106781304"/>
      <w:bookmarkStart w:id="192" w:name="_Ref104799088"/>
      <w:bookmarkStart w:id="193" w:name="_Ref105509463"/>
      <w:r>
        <w:lastRenderedPageBreak/>
        <w:t xml:space="preserve">Table </w:t>
      </w:r>
      <w:r>
        <w:fldChar w:fldCharType="begin"/>
      </w:r>
      <w:r>
        <w:instrText xml:space="preserve"> SEQ Table \* ARABIC </w:instrText>
      </w:r>
      <w:r>
        <w:fldChar w:fldCharType="separate"/>
      </w:r>
      <w:r w:rsidR="00812188">
        <w:rPr>
          <w:noProof/>
        </w:rPr>
        <w:t>20</w:t>
      </w:r>
      <w:r>
        <w:fldChar w:fldCharType="end"/>
      </w:r>
      <w:bookmarkEnd w:id="191"/>
      <w:r>
        <w:t>. Key informant interview 2</w:t>
      </w:r>
    </w:p>
    <w:tbl>
      <w:tblPr>
        <w:tblStyle w:val="TableGrid"/>
        <w:tblW w:w="0" w:type="auto"/>
        <w:tblLook w:val="04A0" w:firstRow="1" w:lastRow="0" w:firstColumn="1" w:lastColumn="0" w:noHBand="0" w:noVBand="1"/>
      </w:tblPr>
      <w:tblGrid>
        <w:gridCol w:w="1555"/>
        <w:gridCol w:w="708"/>
        <w:gridCol w:w="6800"/>
      </w:tblGrid>
      <w:tr w:rsidR="00676ACD" w:rsidRPr="00675BCE" w14:paraId="64FC2D3C" w14:textId="77777777" w:rsidTr="007B5579">
        <w:tc>
          <w:tcPr>
            <w:tcW w:w="9063" w:type="dxa"/>
            <w:gridSpan w:val="3"/>
            <w:shd w:val="clear" w:color="auto" w:fill="4FBBC3" w:themeFill="accent2"/>
          </w:tcPr>
          <w:p w14:paraId="1770FF3B" w14:textId="77777777" w:rsidR="00676ACD" w:rsidRPr="00675BCE" w:rsidRDefault="00676ACD" w:rsidP="007B5579">
            <w:pPr>
              <w:pStyle w:val="DVABodytextwithparaspace"/>
              <w:spacing w:after="120"/>
              <w:rPr>
                <w:b/>
                <w:color w:val="FFFFFF" w:themeColor="background1"/>
                <w:sz w:val="16"/>
                <w:szCs w:val="16"/>
              </w:rPr>
            </w:pPr>
            <w:r w:rsidRPr="00675BCE">
              <w:rPr>
                <w:b/>
                <w:color w:val="FFFFFF" w:themeColor="background1"/>
                <w:sz w:val="16"/>
                <w:szCs w:val="16"/>
              </w:rPr>
              <w:t>EY</w:t>
            </w:r>
            <w:r>
              <w:rPr>
                <w:b/>
                <w:color w:val="FFFFFF" w:themeColor="background1"/>
                <w:sz w:val="16"/>
                <w:szCs w:val="16"/>
              </w:rPr>
              <w:t xml:space="preserve"> Partner</w:t>
            </w:r>
            <w:r w:rsidRPr="00675BCE">
              <w:rPr>
                <w:b/>
                <w:color w:val="FFFFFF" w:themeColor="background1"/>
                <w:sz w:val="16"/>
                <w:szCs w:val="16"/>
              </w:rPr>
              <w:t xml:space="preserve">, </w:t>
            </w:r>
            <w:r>
              <w:rPr>
                <w:b/>
                <w:color w:val="FFFFFF" w:themeColor="background1"/>
                <w:sz w:val="16"/>
                <w:szCs w:val="16"/>
              </w:rPr>
              <w:t>Strategy &amp; Transactions</w:t>
            </w:r>
            <w:r w:rsidRPr="00675BCE">
              <w:rPr>
                <w:b/>
                <w:color w:val="FFFFFF" w:themeColor="background1"/>
                <w:sz w:val="16"/>
                <w:szCs w:val="16"/>
              </w:rPr>
              <w:t xml:space="preserve"> (United States)</w:t>
            </w:r>
          </w:p>
        </w:tc>
      </w:tr>
      <w:tr w:rsidR="00676ACD" w:rsidRPr="00E72B1E" w14:paraId="78545753" w14:textId="77777777" w:rsidTr="007B5579">
        <w:tc>
          <w:tcPr>
            <w:tcW w:w="2263" w:type="dxa"/>
            <w:gridSpan w:val="2"/>
          </w:tcPr>
          <w:p w14:paraId="3960367B" w14:textId="77777777" w:rsidR="00676ACD" w:rsidRPr="00E72B1E" w:rsidRDefault="00676ACD" w:rsidP="007B5579">
            <w:pPr>
              <w:pStyle w:val="DVABodytextwithparaspace"/>
              <w:spacing w:before="120" w:after="120"/>
              <w:rPr>
                <w:b/>
                <w:bCs/>
                <w:sz w:val="16"/>
                <w:szCs w:val="16"/>
              </w:rPr>
            </w:pPr>
            <w:r w:rsidRPr="00E72B1E">
              <w:rPr>
                <w:b/>
                <w:bCs/>
                <w:sz w:val="16"/>
                <w:szCs w:val="16"/>
              </w:rPr>
              <w:t>Interview date and time</w:t>
            </w:r>
          </w:p>
        </w:tc>
        <w:tc>
          <w:tcPr>
            <w:tcW w:w="6800" w:type="dxa"/>
          </w:tcPr>
          <w:p w14:paraId="3B16E4CD" w14:textId="77777777" w:rsidR="00676ACD" w:rsidRPr="00E72B1E" w:rsidRDefault="00676ACD" w:rsidP="007B5579">
            <w:pPr>
              <w:pStyle w:val="DVABodytextwithparaspace"/>
              <w:spacing w:before="120" w:after="120"/>
              <w:rPr>
                <w:sz w:val="16"/>
                <w:szCs w:val="16"/>
              </w:rPr>
            </w:pPr>
            <w:r w:rsidRPr="00E72B1E">
              <w:rPr>
                <w:sz w:val="16"/>
                <w:szCs w:val="16"/>
              </w:rPr>
              <w:t>Tuesday 24 May 2022, 8:00am – 9:00am AEST</w:t>
            </w:r>
          </w:p>
        </w:tc>
      </w:tr>
      <w:tr w:rsidR="00676ACD" w:rsidRPr="00BB2C91" w14:paraId="2018D25A" w14:textId="77777777" w:rsidTr="007B5579">
        <w:tc>
          <w:tcPr>
            <w:tcW w:w="1555" w:type="dxa"/>
            <w:shd w:val="clear" w:color="auto" w:fill="4FBBC3" w:themeFill="accent2"/>
          </w:tcPr>
          <w:p w14:paraId="56A6F699" w14:textId="77777777" w:rsidR="00676ACD" w:rsidRPr="00BB2C91" w:rsidRDefault="00676ACD" w:rsidP="007B5579">
            <w:pPr>
              <w:pStyle w:val="DVABodytextwithparaspace"/>
              <w:spacing w:before="120" w:after="120"/>
              <w:rPr>
                <w:b/>
                <w:color w:val="FFFFFF" w:themeColor="background1"/>
                <w:sz w:val="16"/>
                <w:szCs w:val="16"/>
              </w:rPr>
            </w:pPr>
            <w:r w:rsidRPr="00BB2C91">
              <w:rPr>
                <w:b/>
                <w:color w:val="FFFFFF" w:themeColor="background1"/>
                <w:sz w:val="16"/>
                <w:szCs w:val="16"/>
              </w:rPr>
              <w:t>Theme</w:t>
            </w:r>
          </w:p>
        </w:tc>
        <w:tc>
          <w:tcPr>
            <w:tcW w:w="7508" w:type="dxa"/>
            <w:gridSpan w:val="2"/>
            <w:shd w:val="clear" w:color="auto" w:fill="4FBBC3" w:themeFill="accent2"/>
          </w:tcPr>
          <w:p w14:paraId="5E4F37B4" w14:textId="77777777" w:rsidR="00676ACD" w:rsidRPr="00BB2C91" w:rsidRDefault="00676ACD" w:rsidP="007B5579">
            <w:pPr>
              <w:pStyle w:val="DVABodytextwithparaspace"/>
              <w:spacing w:before="120" w:after="120"/>
              <w:rPr>
                <w:b/>
                <w:color w:val="FFFFFF" w:themeColor="background1"/>
                <w:sz w:val="16"/>
                <w:szCs w:val="16"/>
              </w:rPr>
            </w:pPr>
            <w:r w:rsidRPr="00BB2C91">
              <w:rPr>
                <w:b/>
                <w:color w:val="FFFFFF" w:themeColor="background1"/>
                <w:sz w:val="16"/>
                <w:szCs w:val="16"/>
              </w:rPr>
              <w:t>Key Findings</w:t>
            </w:r>
          </w:p>
        </w:tc>
      </w:tr>
      <w:tr w:rsidR="00676ACD" w:rsidRPr="00BB2C91" w14:paraId="1F1EA9EA" w14:textId="77777777" w:rsidTr="007B5579">
        <w:tc>
          <w:tcPr>
            <w:tcW w:w="1555" w:type="dxa"/>
            <w:shd w:val="clear" w:color="auto" w:fill="CDCDCD"/>
          </w:tcPr>
          <w:p w14:paraId="734A97FD" w14:textId="77777777" w:rsidR="00676ACD" w:rsidRPr="00BB2C91" w:rsidRDefault="00676ACD" w:rsidP="007B5579">
            <w:pPr>
              <w:pStyle w:val="DVABodytextwithparaspace"/>
              <w:spacing w:before="120" w:after="120"/>
              <w:rPr>
                <w:b/>
                <w:bCs/>
                <w:sz w:val="16"/>
                <w:szCs w:val="16"/>
              </w:rPr>
            </w:pPr>
            <w:r>
              <w:rPr>
                <w:b/>
                <w:bCs/>
                <w:sz w:val="16"/>
                <w:szCs w:val="16"/>
              </w:rPr>
              <w:t>Evaluations conducted within the US Department of Veterans’ Affairs</w:t>
            </w:r>
          </w:p>
        </w:tc>
        <w:tc>
          <w:tcPr>
            <w:tcW w:w="7508" w:type="dxa"/>
            <w:gridSpan w:val="2"/>
          </w:tcPr>
          <w:p w14:paraId="0FB5C830" w14:textId="77777777" w:rsidR="00676ACD" w:rsidRDefault="00676ACD" w:rsidP="007B5579">
            <w:pPr>
              <w:pStyle w:val="DVABulletnoparaspace"/>
              <w:rPr>
                <w:sz w:val="16"/>
              </w:rPr>
            </w:pPr>
            <w:r>
              <w:rPr>
                <w:sz w:val="16"/>
              </w:rPr>
              <w:t xml:space="preserve">The US Department of Veterans’ Affairs (VA) is set up across three departments: </w:t>
            </w:r>
          </w:p>
          <w:p w14:paraId="4BCD95E7" w14:textId="77777777" w:rsidR="00676ACD" w:rsidRDefault="00676ACD" w:rsidP="00676ACD">
            <w:pPr>
              <w:pStyle w:val="DVABulletnoparaspace"/>
              <w:numPr>
                <w:ilvl w:val="0"/>
                <w:numId w:val="30"/>
              </w:numPr>
              <w:ind w:left="742"/>
              <w:rPr>
                <w:sz w:val="16"/>
              </w:rPr>
            </w:pPr>
            <w:r>
              <w:rPr>
                <w:sz w:val="16"/>
              </w:rPr>
              <w:t>Health Administration (responsible for delivering health services and is the largest health provider in the US)</w:t>
            </w:r>
          </w:p>
          <w:p w14:paraId="28FCAF2A" w14:textId="77777777" w:rsidR="00676ACD" w:rsidRDefault="00676ACD" w:rsidP="00676ACD">
            <w:pPr>
              <w:pStyle w:val="DVABulletnoparaspace"/>
              <w:numPr>
                <w:ilvl w:val="0"/>
                <w:numId w:val="30"/>
              </w:numPr>
              <w:ind w:left="742"/>
              <w:rPr>
                <w:sz w:val="16"/>
              </w:rPr>
            </w:pPr>
            <w:r>
              <w:rPr>
                <w:sz w:val="16"/>
              </w:rPr>
              <w:t>Benefits Administration (responsible for compensation, disability, pensions, education and other benefits that veterans may be entitled to)</w:t>
            </w:r>
          </w:p>
          <w:p w14:paraId="00D8957C" w14:textId="77777777" w:rsidR="00676ACD" w:rsidRDefault="00676ACD" w:rsidP="00676ACD">
            <w:pPr>
              <w:pStyle w:val="DVABulletnoparaspace"/>
              <w:numPr>
                <w:ilvl w:val="0"/>
                <w:numId w:val="30"/>
              </w:numPr>
              <w:ind w:left="742"/>
              <w:rPr>
                <w:sz w:val="16"/>
              </w:rPr>
            </w:pPr>
            <w:r>
              <w:rPr>
                <w:sz w:val="16"/>
              </w:rPr>
              <w:t>Memorial Affairs (responsible for managing internments and running cemeteries)</w:t>
            </w:r>
          </w:p>
          <w:p w14:paraId="0FEB6481" w14:textId="77777777" w:rsidR="00676ACD" w:rsidRDefault="00676ACD" w:rsidP="007B5579">
            <w:pPr>
              <w:pStyle w:val="DVABulletnoparaspace"/>
              <w:rPr>
                <w:sz w:val="16"/>
              </w:rPr>
            </w:pPr>
            <w:r>
              <w:rPr>
                <w:sz w:val="16"/>
              </w:rPr>
              <w:t>In 2018, an Evidence-Based Policy mandate was put in place to enforce every federal agency (including the VA) to look at outcomes-based measures and ‘create a learning agenda’. This involved organisations putting in place a plan to improve and progress thinking about their path to measuring programs and quantifying the benefits of their programs. The move to more meaningful measures and outcome-driven evaluations allows the Agency to understand and make better investment decisions.</w:t>
            </w:r>
          </w:p>
          <w:p w14:paraId="547B7404" w14:textId="77777777" w:rsidR="00676ACD" w:rsidRPr="000F55AF" w:rsidRDefault="00676ACD" w:rsidP="007B5579">
            <w:pPr>
              <w:pStyle w:val="DVABulletnoparaspace"/>
              <w:rPr>
                <w:sz w:val="16"/>
              </w:rPr>
            </w:pPr>
            <w:r>
              <w:rPr>
                <w:sz w:val="16"/>
              </w:rPr>
              <w:t>The Health Administration and Benefits Administration have their own internal functions to perform health program evaluations.</w:t>
            </w:r>
          </w:p>
        </w:tc>
      </w:tr>
      <w:tr w:rsidR="00676ACD" w:rsidRPr="00BB2C91" w14:paraId="66708E3D" w14:textId="77777777" w:rsidTr="007B5579">
        <w:tc>
          <w:tcPr>
            <w:tcW w:w="1555" w:type="dxa"/>
            <w:shd w:val="clear" w:color="auto" w:fill="CDCDCD"/>
          </w:tcPr>
          <w:p w14:paraId="766939BD" w14:textId="77777777" w:rsidR="00676ACD" w:rsidRDefault="00676ACD" w:rsidP="007B5579">
            <w:pPr>
              <w:pStyle w:val="DVABodytextwithparaspace"/>
              <w:spacing w:before="120" w:after="120"/>
              <w:rPr>
                <w:b/>
                <w:bCs/>
                <w:sz w:val="16"/>
                <w:szCs w:val="16"/>
              </w:rPr>
            </w:pPr>
            <w:r>
              <w:rPr>
                <w:b/>
                <w:bCs/>
                <w:sz w:val="16"/>
                <w:szCs w:val="16"/>
              </w:rPr>
              <w:t xml:space="preserve">Key challenges for to the </w:t>
            </w:r>
            <w:r w:rsidRPr="00EC1D37">
              <w:rPr>
                <w:b/>
                <w:bCs/>
                <w:sz w:val="16"/>
                <w:szCs w:val="16"/>
              </w:rPr>
              <w:t>US Department of Veterans’ Affairs</w:t>
            </w:r>
            <w:r>
              <w:rPr>
                <w:b/>
                <w:bCs/>
                <w:sz w:val="16"/>
                <w:szCs w:val="16"/>
              </w:rPr>
              <w:t xml:space="preserve"> in undertaking better practice evaluations</w:t>
            </w:r>
          </w:p>
        </w:tc>
        <w:tc>
          <w:tcPr>
            <w:tcW w:w="7508" w:type="dxa"/>
            <w:gridSpan w:val="2"/>
          </w:tcPr>
          <w:p w14:paraId="3DD90FA8" w14:textId="77777777" w:rsidR="00676ACD" w:rsidRPr="00F82677" w:rsidRDefault="00676ACD" w:rsidP="007B5579">
            <w:pPr>
              <w:pStyle w:val="DVABulletnoparaspace"/>
              <w:rPr>
                <w:sz w:val="16"/>
              </w:rPr>
            </w:pPr>
            <w:r>
              <w:rPr>
                <w:sz w:val="16"/>
              </w:rPr>
              <w:t>There currently is no Performance Evaluation Office within Health Administration, and therefore there is an opportunity to establish proper governance and oversight to greater understand evaluation data to inform decision making.</w:t>
            </w:r>
          </w:p>
          <w:p w14:paraId="4B3A6D95" w14:textId="77777777" w:rsidR="00676ACD" w:rsidRDefault="00676ACD" w:rsidP="007B5579">
            <w:pPr>
              <w:pStyle w:val="DVABulletnoparaspace"/>
              <w:rPr>
                <w:sz w:val="16"/>
              </w:rPr>
            </w:pPr>
            <w:r>
              <w:rPr>
                <w:sz w:val="16"/>
              </w:rPr>
              <w:t>There is an opportunity for decisions to be made based on more robust data and in coordination with broader leadership within the Agency.</w:t>
            </w:r>
          </w:p>
          <w:p w14:paraId="1B8AC6E5" w14:textId="62FBF360" w:rsidR="00676ACD" w:rsidRDefault="00676ACD" w:rsidP="007B5579">
            <w:pPr>
              <w:pStyle w:val="DVABulletnoparaspace"/>
              <w:rPr>
                <w:sz w:val="16"/>
              </w:rPr>
            </w:pPr>
            <w:r>
              <w:rPr>
                <w:sz w:val="16"/>
              </w:rPr>
              <w:t xml:space="preserve">In the US, the government is </w:t>
            </w:r>
            <w:r w:rsidR="00333CFC">
              <w:rPr>
                <w:sz w:val="16"/>
              </w:rPr>
              <w:t>fast-moving,</w:t>
            </w:r>
            <w:r>
              <w:rPr>
                <w:sz w:val="16"/>
              </w:rPr>
              <w:t xml:space="preserve"> and legislation is frequently changed. Evaluations are often unable to keep up with this pace of change, and cannot completely focus on program quality, or improvement opportunities.</w:t>
            </w:r>
          </w:p>
          <w:p w14:paraId="35FD09E5" w14:textId="77777777" w:rsidR="00676ACD" w:rsidRDefault="00676ACD" w:rsidP="007B5579">
            <w:pPr>
              <w:pStyle w:val="DVABulletnoparaspace"/>
              <w:rPr>
                <w:sz w:val="16"/>
              </w:rPr>
            </w:pPr>
            <w:r>
              <w:rPr>
                <w:sz w:val="16"/>
              </w:rPr>
              <w:t xml:space="preserve">There is an Inspector General for every federal Agency in the US who is an internal auditor and acts in an administrative capacity and conducts reviews which are often more critical in nature than evaluations. </w:t>
            </w:r>
          </w:p>
          <w:p w14:paraId="477173B4" w14:textId="77777777" w:rsidR="00676ACD" w:rsidRDefault="00676ACD" w:rsidP="007B5579">
            <w:pPr>
              <w:pStyle w:val="DVABulletnoparaspace"/>
              <w:rPr>
                <w:sz w:val="16"/>
              </w:rPr>
            </w:pPr>
            <w:r>
              <w:rPr>
                <w:sz w:val="16"/>
              </w:rPr>
              <w:t>Each federal Agency also has a government accountability office (GAO) which provides independent assessments of how Agencies operate. This provides an opportunity for ‘high risk’ programs and aspects of the Agency to be identified, contributing to greater transparency and scrutiny to drive improvement.</w:t>
            </w:r>
          </w:p>
        </w:tc>
      </w:tr>
      <w:tr w:rsidR="00676ACD" w:rsidRPr="00BB2C91" w14:paraId="21CD3650" w14:textId="77777777" w:rsidTr="007B5579">
        <w:tc>
          <w:tcPr>
            <w:tcW w:w="1555" w:type="dxa"/>
            <w:shd w:val="clear" w:color="auto" w:fill="CDCDCD"/>
          </w:tcPr>
          <w:p w14:paraId="070DAFCD" w14:textId="77777777" w:rsidR="00676ACD" w:rsidRPr="00BB2C91" w:rsidRDefault="00676ACD" w:rsidP="007B5579">
            <w:pPr>
              <w:pStyle w:val="DVABodytextwithparaspace"/>
              <w:spacing w:before="120" w:after="120"/>
              <w:rPr>
                <w:b/>
                <w:bCs/>
                <w:sz w:val="16"/>
                <w:szCs w:val="16"/>
              </w:rPr>
            </w:pPr>
            <w:r>
              <w:rPr>
                <w:b/>
                <w:bCs/>
                <w:sz w:val="16"/>
                <w:szCs w:val="16"/>
              </w:rPr>
              <w:t>Key to successful evaluations</w:t>
            </w:r>
          </w:p>
        </w:tc>
        <w:tc>
          <w:tcPr>
            <w:tcW w:w="7508" w:type="dxa"/>
            <w:gridSpan w:val="2"/>
          </w:tcPr>
          <w:p w14:paraId="331E05B1" w14:textId="1F54D4C8" w:rsidR="00676ACD" w:rsidRPr="00BB2C91" w:rsidRDefault="00676ACD" w:rsidP="007B5579">
            <w:pPr>
              <w:pStyle w:val="DVABulletnoparaspace"/>
              <w:rPr>
                <w:sz w:val="16"/>
              </w:rPr>
            </w:pPr>
            <w:r w:rsidRPr="00806EBF">
              <w:rPr>
                <w:sz w:val="16"/>
              </w:rPr>
              <w:t>Key enablers of successful evaluations of US veteran</w:t>
            </w:r>
            <w:r w:rsidR="00493CFF">
              <w:rPr>
                <w:sz w:val="16"/>
              </w:rPr>
              <w:t>s’</w:t>
            </w:r>
            <w:r w:rsidRPr="00806EBF">
              <w:rPr>
                <w:sz w:val="16"/>
              </w:rPr>
              <w:t xml:space="preserve"> health programs are governance structures and legislation. They support evaluation activities and help embed evaluative thinking throughout the organisation.</w:t>
            </w:r>
          </w:p>
        </w:tc>
      </w:tr>
    </w:tbl>
    <w:p w14:paraId="58A95AD3" w14:textId="77777777" w:rsidR="00676ACD" w:rsidRDefault="00676ACD" w:rsidP="00676ACD">
      <w:pPr>
        <w:pStyle w:val="DVABodytextwithparaspace"/>
      </w:pPr>
    </w:p>
    <w:p w14:paraId="740E4098" w14:textId="77777777" w:rsidR="00676ACD" w:rsidRPr="00E72B1E" w:rsidRDefault="00676ACD" w:rsidP="00676ACD">
      <w:pPr>
        <w:pStyle w:val="DVAAppendix"/>
      </w:pPr>
      <w:bookmarkStart w:id="194" w:name="_Ref105604687"/>
      <w:bookmarkStart w:id="195" w:name="_Ref105604755"/>
      <w:bookmarkStart w:id="196" w:name="_Ref105604817"/>
      <w:bookmarkStart w:id="197" w:name="_Ref105604846"/>
      <w:r>
        <w:rPr>
          <w:color w:val="747480"/>
          <w:highlight w:val="lightGray"/>
        </w:rPr>
        <w:br w:type="column"/>
      </w:r>
      <w:bookmarkStart w:id="198" w:name="_Toc105749453"/>
      <w:bookmarkStart w:id="199" w:name="_Ref106703128"/>
      <w:bookmarkStart w:id="200" w:name="_Ref106703139"/>
      <w:bookmarkStart w:id="201" w:name="_Ref106703153"/>
      <w:bookmarkStart w:id="202" w:name="_Ref106703241"/>
      <w:bookmarkStart w:id="203" w:name="_Toc107225306"/>
      <w:bookmarkStart w:id="204" w:name="_Toc105758428"/>
      <w:bookmarkStart w:id="205" w:name="_Toc110956303"/>
      <w:r w:rsidRPr="00E72B1E">
        <w:lastRenderedPageBreak/>
        <w:t>Case study summaries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1D0EF4B" w14:textId="4643D6DA" w:rsidR="00676ACD" w:rsidRPr="00471233" w:rsidRDefault="00676ACD" w:rsidP="00676ACD">
      <w:pPr>
        <w:pStyle w:val="Caption"/>
      </w:pPr>
      <w:bookmarkStart w:id="206" w:name="_Ref105509729"/>
      <w:bookmarkStart w:id="207" w:name="_Ref105509723"/>
      <w:r>
        <w:t xml:space="preserve">Table </w:t>
      </w:r>
      <w:r>
        <w:fldChar w:fldCharType="begin"/>
      </w:r>
      <w:r>
        <w:instrText xml:space="preserve"> SEQ Table \* ARABIC </w:instrText>
      </w:r>
      <w:r>
        <w:fldChar w:fldCharType="separate"/>
      </w:r>
      <w:r w:rsidR="00812188">
        <w:rPr>
          <w:noProof/>
        </w:rPr>
        <w:t>21</w:t>
      </w:r>
      <w:r>
        <w:fldChar w:fldCharType="end"/>
      </w:r>
      <w:bookmarkEnd w:id="206"/>
      <w:r>
        <w:t>: Case Study I</w:t>
      </w:r>
      <w:bookmarkEnd w:id="207"/>
    </w:p>
    <w:tbl>
      <w:tblPr>
        <w:tblStyle w:val="TableGrid"/>
        <w:tblW w:w="0" w:type="auto"/>
        <w:tblLook w:val="04A0" w:firstRow="1" w:lastRow="0" w:firstColumn="1" w:lastColumn="0" w:noHBand="0" w:noVBand="1"/>
      </w:tblPr>
      <w:tblGrid>
        <w:gridCol w:w="1555"/>
        <w:gridCol w:w="708"/>
        <w:gridCol w:w="6800"/>
      </w:tblGrid>
      <w:tr w:rsidR="00676ACD" w:rsidRPr="00E72B1E" w14:paraId="6673CBBF" w14:textId="77777777" w:rsidTr="007B5579">
        <w:tc>
          <w:tcPr>
            <w:tcW w:w="9063" w:type="dxa"/>
            <w:gridSpan w:val="3"/>
            <w:shd w:val="clear" w:color="auto" w:fill="3C5893" w:themeFill="accent1"/>
          </w:tcPr>
          <w:p w14:paraId="2778F5A0" w14:textId="49654E05" w:rsidR="00676ACD" w:rsidRPr="00525966" w:rsidRDefault="00676ACD" w:rsidP="00DC56FE">
            <w:pPr>
              <w:pStyle w:val="DVABodytextwithparaspace"/>
              <w:spacing w:after="120"/>
              <w:rPr>
                <w:b/>
                <w:sz w:val="16"/>
                <w:szCs w:val="16"/>
              </w:rPr>
            </w:pPr>
            <w:r w:rsidRPr="00525966">
              <w:rPr>
                <w:b/>
                <w:color w:val="FFFFFF" w:themeColor="background1"/>
                <w:sz w:val="16"/>
                <w:szCs w:val="16"/>
              </w:rPr>
              <w:t>Program evaluation unit, NT Department of Treasury and Finance</w:t>
            </w:r>
          </w:p>
        </w:tc>
      </w:tr>
      <w:tr w:rsidR="00676ACD" w:rsidRPr="00E72B1E" w14:paraId="5ABBD37C" w14:textId="77777777" w:rsidTr="007B5579">
        <w:tc>
          <w:tcPr>
            <w:tcW w:w="2263" w:type="dxa"/>
            <w:gridSpan w:val="2"/>
          </w:tcPr>
          <w:p w14:paraId="035C4950" w14:textId="77777777" w:rsidR="00676ACD" w:rsidRPr="00E72B1E" w:rsidRDefault="00676ACD" w:rsidP="007B5579">
            <w:pPr>
              <w:pStyle w:val="DVABodytextwithparaspace"/>
              <w:spacing w:before="120" w:after="120"/>
              <w:rPr>
                <w:b/>
                <w:bCs/>
                <w:sz w:val="16"/>
                <w:szCs w:val="16"/>
              </w:rPr>
            </w:pPr>
            <w:r w:rsidRPr="00E72B1E">
              <w:rPr>
                <w:b/>
                <w:bCs/>
                <w:sz w:val="16"/>
                <w:szCs w:val="16"/>
              </w:rPr>
              <w:t>Interview date and time</w:t>
            </w:r>
          </w:p>
        </w:tc>
        <w:tc>
          <w:tcPr>
            <w:tcW w:w="6800" w:type="dxa"/>
          </w:tcPr>
          <w:p w14:paraId="06753D42" w14:textId="50CFAF5E" w:rsidR="00676ACD" w:rsidRPr="00E72B1E" w:rsidRDefault="00676ACD" w:rsidP="007B5579">
            <w:pPr>
              <w:pStyle w:val="DVABodytextwithparaspace"/>
              <w:spacing w:before="120" w:after="120"/>
              <w:rPr>
                <w:sz w:val="16"/>
                <w:szCs w:val="16"/>
              </w:rPr>
            </w:pPr>
            <w:r>
              <w:rPr>
                <w:sz w:val="16"/>
                <w:szCs w:val="16"/>
              </w:rPr>
              <w:t>Monday</w:t>
            </w:r>
            <w:r w:rsidRPr="00E72B1E">
              <w:rPr>
                <w:sz w:val="16"/>
                <w:szCs w:val="16"/>
              </w:rPr>
              <w:t xml:space="preserve"> </w:t>
            </w:r>
            <w:r>
              <w:rPr>
                <w:sz w:val="16"/>
                <w:szCs w:val="16"/>
              </w:rPr>
              <w:t>30</w:t>
            </w:r>
            <w:r w:rsidRPr="00E72B1E">
              <w:rPr>
                <w:sz w:val="16"/>
                <w:szCs w:val="16"/>
              </w:rPr>
              <w:t xml:space="preserve"> May 2022, </w:t>
            </w:r>
            <w:r>
              <w:rPr>
                <w:sz w:val="16"/>
                <w:szCs w:val="16"/>
              </w:rPr>
              <w:t>4</w:t>
            </w:r>
            <w:r w:rsidRPr="00E72B1E">
              <w:rPr>
                <w:sz w:val="16"/>
                <w:szCs w:val="16"/>
              </w:rPr>
              <w:t>:00</w:t>
            </w:r>
            <w:r>
              <w:rPr>
                <w:sz w:val="16"/>
                <w:szCs w:val="16"/>
              </w:rPr>
              <w:t>pm</w:t>
            </w:r>
            <w:r w:rsidRPr="00E72B1E">
              <w:rPr>
                <w:sz w:val="16"/>
                <w:szCs w:val="16"/>
              </w:rPr>
              <w:t xml:space="preserve"> – </w:t>
            </w:r>
            <w:r>
              <w:rPr>
                <w:sz w:val="16"/>
                <w:szCs w:val="16"/>
              </w:rPr>
              <w:t>4</w:t>
            </w:r>
            <w:r w:rsidRPr="00E72B1E">
              <w:rPr>
                <w:sz w:val="16"/>
                <w:szCs w:val="16"/>
              </w:rPr>
              <w:t>:</w:t>
            </w:r>
            <w:r>
              <w:rPr>
                <w:sz w:val="16"/>
                <w:szCs w:val="16"/>
              </w:rPr>
              <w:t>3</w:t>
            </w:r>
            <w:r w:rsidR="000628B8">
              <w:rPr>
                <w:sz w:val="16"/>
                <w:szCs w:val="16"/>
              </w:rPr>
              <w:t>0p</w:t>
            </w:r>
            <w:r w:rsidRPr="00E72B1E">
              <w:rPr>
                <w:sz w:val="16"/>
                <w:szCs w:val="16"/>
              </w:rPr>
              <w:t>m AEST</w:t>
            </w:r>
          </w:p>
        </w:tc>
      </w:tr>
      <w:tr w:rsidR="00676ACD" w:rsidRPr="00E72B1E" w14:paraId="7A23A911" w14:textId="77777777" w:rsidTr="007B5579">
        <w:tc>
          <w:tcPr>
            <w:tcW w:w="1555" w:type="dxa"/>
            <w:shd w:val="clear" w:color="auto" w:fill="3C5893" w:themeFill="accent1"/>
          </w:tcPr>
          <w:p w14:paraId="74BD5C2D" w14:textId="77777777" w:rsidR="00676ACD" w:rsidRPr="009B00C0" w:rsidRDefault="00676ACD" w:rsidP="007B5579">
            <w:pPr>
              <w:pStyle w:val="DVABodytextwithparaspace"/>
              <w:spacing w:before="120" w:after="120"/>
              <w:rPr>
                <w:b/>
                <w:bCs/>
                <w:color w:val="FFFFFF" w:themeColor="background1"/>
                <w:sz w:val="16"/>
                <w:szCs w:val="16"/>
              </w:rPr>
            </w:pPr>
            <w:r w:rsidRPr="009B00C0">
              <w:rPr>
                <w:b/>
                <w:bCs/>
                <w:color w:val="FFFFFF" w:themeColor="background1"/>
                <w:sz w:val="16"/>
                <w:szCs w:val="16"/>
              </w:rPr>
              <w:t>Theme</w:t>
            </w:r>
          </w:p>
        </w:tc>
        <w:tc>
          <w:tcPr>
            <w:tcW w:w="7508" w:type="dxa"/>
            <w:gridSpan w:val="2"/>
            <w:shd w:val="clear" w:color="auto" w:fill="3C5893" w:themeFill="accent1"/>
          </w:tcPr>
          <w:p w14:paraId="1F863172" w14:textId="77777777" w:rsidR="00676ACD" w:rsidRPr="009B00C0" w:rsidRDefault="00676ACD" w:rsidP="007B5579">
            <w:pPr>
              <w:pStyle w:val="DVABodytextwithparaspace"/>
              <w:spacing w:before="120" w:after="120"/>
              <w:rPr>
                <w:b/>
                <w:bCs/>
                <w:color w:val="FFFFFF" w:themeColor="background1"/>
                <w:sz w:val="16"/>
                <w:szCs w:val="16"/>
              </w:rPr>
            </w:pPr>
            <w:r w:rsidRPr="009B00C0">
              <w:rPr>
                <w:b/>
                <w:bCs/>
                <w:color w:val="FFFFFF" w:themeColor="background1"/>
                <w:sz w:val="16"/>
                <w:szCs w:val="16"/>
              </w:rPr>
              <w:t>Key Findings</w:t>
            </w:r>
          </w:p>
        </w:tc>
      </w:tr>
      <w:tr w:rsidR="00676ACD" w:rsidRPr="00E72B1E" w14:paraId="35787D5E" w14:textId="77777777" w:rsidTr="007B5579">
        <w:tc>
          <w:tcPr>
            <w:tcW w:w="1555" w:type="dxa"/>
            <w:shd w:val="clear" w:color="auto" w:fill="CDCDCD"/>
          </w:tcPr>
          <w:p w14:paraId="4519FC64" w14:textId="77777777" w:rsidR="00676ACD" w:rsidRPr="00E72B1E" w:rsidRDefault="00676ACD" w:rsidP="007B5579">
            <w:pPr>
              <w:pStyle w:val="DVABodytextwithparaspace"/>
              <w:spacing w:before="120" w:after="120"/>
              <w:rPr>
                <w:b/>
                <w:bCs/>
                <w:sz w:val="16"/>
                <w:szCs w:val="16"/>
              </w:rPr>
            </w:pPr>
            <w:r>
              <w:rPr>
                <w:b/>
                <w:bCs/>
                <w:sz w:val="16"/>
                <w:szCs w:val="16"/>
              </w:rPr>
              <w:t>Types of evaluations being conducted in NT</w:t>
            </w:r>
          </w:p>
        </w:tc>
        <w:tc>
          <w:tcPr>
            <w:tcW w:w="7508" w:type="dxa"/>
            <w:gridSpan w:val="2"/>
          </w:tcPr>
          <w:p w14:paraId="10F4750D" w14:textId="77777777" w:rsidR="00676ACD" w:rsidRPr="00BB1090" w:rsidRDefault="00676ACD" w:rsidP="007B5579">
            <w:pPr>
              <w:pStyle w:val="DVABulletnoparaspace"/>
            </w:pPr>
            <w:r>
              <w:rPr>
                <w:sz w:val="16"/>
              </w:rPr>
              <w:t>NT is early in the evaluation journey with work arising out of a fiscal policy report in 2019 which identified the need for budget repair over time, especially in the medium term. Three recommendations related to evaluation recognising the need to know the evidence base for a program, to inform decisions around resource allocations.</w:t>
            </w:r>
          </w:p>
          <w:p w14:paraId="0D3B3CB5" w14:textId="77777777" w:rsidR="00676ACD" w:rsidRPr="00A919A1" w:rsidRDefault="00676ACD" w:rsidP="007B5579">
            <w:pPr>
              <w:pStyle w:val="DVABulletnoparaspace"/>
              <w:rPr>
                <w:sz w:val="16"/>
              </w:rPr>
            </w:pPr>
            <w:r w:rsidRPr="00A919A1">
              <w:rPr>
                <w:sz w:val="16"/>
              </w:rPr>
              <w:t>Previously evaluations in NT were more ad-hoc, or in response to crises</w:t>
            </w:r>
            <w:r>
              <w:rPr>
                <w:sz w:val="16"/>
              </w:rPr>
              <w:t>.</w:t>
            </w:r>
          </w:p>
          <w:p w14:paraId="34949C15" w14:textId="77777777" w:rsidR="00676ACD" w:rsidRPr="00A919A1" w:rsidRDefault="00676ACD" w:rsidP="007B5579">
            <w:pPr>
              <w:pStyle w:val="DVABulletnoparaspace"/>
              <w:rPr>
                <w:sz w:val="16"/>
              </w:rPr>
            </w:pPr>
            <w:r w:rsidRPr="00A919A1">
              <w:rPr>
                <w:sz w:val="16"/>
              </w:rPr>
              <w:t>The office has now established a systematic approach, and hope to drive consistent standards across the agencies</w:t>
            </w:r>
            <w:r>
              <w:rPr>
                <w:sz w:val="16"/>
              </w:rPr>
              <w:t>.</w:t>
            </w:r>
          </w:p>
          <w:p w14:paraId="4434B18A" w14:textId="77777777" w:rsidR="00676ACD" w:rsidRPr="00A919A1" w:rsidRDefault="00676ACD" w:rsidP="007B5579">
            <w:pPr>
              <w:pStyle w:val="DVABulletnoparaspace"/>
              <w:rPr>
                <w:sz w:val="16"/>
              </w:rPr>
            </w:pPr>
            <w:r w:rsidRPr="00A919A1">
              <w:rPr>
                <w:sz w:val="16"/>
              </w:rPr>
              <w:t xml:space="preserve">Have developed a program evaluation framework which sets out expectations on evaluation type and includes guidance </w:t>
            </w:r>
            <w:r>
              <w:rPr>
                <w:sz w:val="16"/>
              </w:rPr>
              <w:t>on</w:t>
            </w:r>
            <w:r w:rsidRPr="00A919A1">
              <w:rPr>
                <w:sz w:val="16"/>
              </w:rPr>
              <w:t xml:space="preserve"> how to tier evaluations (developed using guidance from other governments, in particular NSW) – recognise that from a budget perspective</w:t>
            </w:r>
            <w:r>
              <w:rPr>
                <w:sz w:val="16"/>
              </w:rPr>
              <w:t>,</w:t>
            </w:r>
            <w:r w:rsidRPr="00A919A1">
              <w:rPr>
                <w:sz w:val="16"/>
              </w:rPr>
              <w:t xml:space="preserve"> they don’t need to evaluate </w:t>
            </w:r>
            <w:r>
              <w:rPr>
                <w:sz w:val="16"/>
              </w:rPr>
              <w:t>everything; rather they</w:t>
            </w:r>
            <w:r w:rsidRPr="00A919A1">
              <w:rPr>
                <w:sz w:val="16"/>
              </w:rPr>
              <w:t xml:space="preserve"> need to identify appropriate programs and prioritise accordingly</w:t>
            </w:r>
            <w:r>
              <w:rPr>
                <w:sz w:val="16"/>
              </w:rPr>
              <w:t>.</w:t>
            </w:r>
          </w:p>
          <w:p w14:paraId="348BC1CB" w14:textId="77777777" w:rsidR="00676ACD" w:rsidRPr="00A919A1" w:rsidRDefault="00676ACD" w:rsidP="007B5579">
            <w:pPr>
              <w:pStyle w:val="DVABulletnoparaspace"/>
              <w:rPr>
                <w:sz w:val="16"/>
              </w:rPr>
            </w:pPr>
            <w:r w:rsidRPr="00A919A1">
              <w:rPr>
                <w:sz w:val="16"/>
              </w:rPr>
              <w:t>The program evaluation framework outlines 3 types of evaluations</w:t>
            </w:r>
            <w:r>
              <w:rPr>
                <w:sz w:val="16"/>
              </w:rPr>
              <w:t>.</w:t>
            </w:r>
          </w:p>
          <w:p w14:paraId="7096473C" w14:textId="77777777" w:rsidR="00676ACD" w:rsidRPr="00A919A1" w:rsidRDefault="00676ACD" w:rsidP="00676ACD">
            <w:pPr>
              <w:pStyle w:val="DVABulletnoparaspace"/>
              <w:numPr>
                <w:ilvl w:val="0"/>
                <w:numId w:val="40"/>
              </w:numPr>
              <w:rPr>
                <w:sz w:val="16"/>
              </w:rPr>
            </w:pPr>
            <w:r w:rsidRPr="00A919A1">
              <w:rPr>
                <w:sz w:val="16"/>
              </w:rPr>
              <w:t xml:space="preserve">Process – </w:t>
            </w:r>
            <w:r>
              <w:rPr>
                <w:sz w:val="16"/>
              </w:rPr>
              <w:t>most of the evaluations being conducted now are these given how early they are in their evaluation journey.</w:t>
            </w:r>
          </w:p>
          <w:p w14:paraId="5037B55E" w14:textId="77777777" w:rsidR="00676ACD" w:rsidRPr="00A919A1" w:rsidRDefault="00676ACD" w:rsidP="00676ACD">
            <w:pPr>
              <w:pStyle w:val="DVABulletnoparaspace"/>
              <w:numPr>
                <w:ilvl w:val="0"/>
                <w:numId w:val="40"/>
              </w:numPr>
              <w:rPr>
                <w:sz w:val="16"/>
              </w:rPr>
            </w:pPr>
            <w:r w:rsidRPr="00A919A1">
              <w:rPr>
                <w:sz w:val="16"/>
              </w:rPr>
              <w:t xml:space="preserve">Outcome – </w:t>
            </w:r>
            <w:r>
              <w:rPr>
                <w:sz w:val="16"/>
              </w:rPr>
              <w:t xml:space="preserve">to understand </w:t>
            </w:r>
            <w:r w:rsidRPr="00A919A1">
              <w:rPr>
                <w:sz w:val="16"/>
              </w:rPr>
              <w:t>medium-term outcomes</w:t>
            </w:r>
            <w:r>
              <w:rPr>
                <w:sz w:val="16"/>
              </w:rPr>
              <w:t>.</w:t>
            </w:r>
          </w:p>
          <w:p w14:paraId="0435B8A2" w14:textId="77777777" w:rsidR="00676ACD" w:rsidRPr="00A919A1" w:rsidRDefault="00676ACD" w:rsidP="00676ACD">
            <w:pPr>
              <w:pStyle w:val="DVABulletnoparaspace"/>
              <w:numPr>
                <w:ilvl w:val="0"/>
                <w:numId w:val="40"/>
              </w:numPr>
              <w:rPr>
                <w:sz w:val="16"/>
              </w:rPr>
            </w:pPr>
            <w:r w:rsidRPr="00A919A1">
              <w:rPr>
                <w:sz w:val="16"/>
              </w:rPr>
              <w:t xml:space="preserve">Impact – </w:t>
            </w:r>
            <w:r>
              <w:rPr>
                <w:sz w:val="16"/>
              </w:rPr>
              <w:t>to understand</w:t>
            </w:r>
            <w:r w:rsidRPr="00A919A1">
              <w:rPr>
                <w:sz w:val="16"/>
              </w:rPr>
              <w:t xml:space="preserve"> long-term outcomes and causation or attribution/understanding what would happen in the absence of the program</w:t>
            </w:r>
            <w:r>
              <w:rPr>
                <w:sz w:val="16"/>
              </w:rPr>
              <w:t>.</w:t>
            </w:r>
          </w:p>
          <w:p w14:paraId="1BF8DE65" w14:textId="77777777" w:rsidR="00676ACD" w:rsidRPr="00E72B1E" w:rsidRDefault="00676ACD" w:rsidP="007B5579">
            <w:pPr>
              <w:pStyle w:val="DVABulletnoparaspace"/>
            </w:pPr>
            <w:r w:rsidRPr="00D3541C">
              <w:rPr>
                <w:sz w:val="16"/>
              </w:rPr>
              <w:t>Currently do not have the capability t</w:t>
            </w:r>
            <w:r>
              <w:rPr>
                <w:sz w:val="16"/>
              </w:rPr>
              <w:t>o undertake randomised controlled trials.</w:t>
            </w:r>
          </w:p>
        </w:tc>
      </w:tr>
      <w:tr w:rsidR="00676ACD" w:rsidRPr="00E72B1E" w14:paraId="149E70B5" w14:textId="77777777" w:rsidTr="007B5579">
        <w:tc>
          <w:tcPr>
            <w:tcW w:w="1555" w:type="dxa"/>
            <w:shd w:val="clear" w:color="auto" w:fill="CDCDCD"/>
          </w:tcPr>
          <w:p w14:paraId="6A6E4D39" w14:textId="77777777" w:rsidR="00676ACD" w:rsidRPr="00E72B1E" w:rsidRDefault="00676ACD" w:rsidP="007B5579">
            <w:pPr>
              <w:pStyle w:val="DVABodytextwithparaspace"/>
              <w:spacing w:before="120" w:after="120"/>
              <w:rPr>
                <w:b/>
                <w:bCs/>
                <w:sz w:val="16"/>
                <w:szCs w:val="16"/>
              </w:rPr>
            </w:pPr>
            <w:r>
              <w:rPr>
                <w:b/>
                <w:bCs/>
                <w:sz w:val="16"/>
                <w:szCs w:val="16"/>
              </w:rPr>
              <w:t>Key learnings for setting up an evaluation team</w:t>
            </w:r>
          </w:p>
        </w:tc>
        <w:tc>
          <w:tcPr>
            <w:tcW w:w="7508" w:type="dxa"/>
            <w:gridSpan w:val="2"/>
          </w:tcPr>
          <w:p w14:paraId="249567E3" w14:textId="77777777" w:rsidR="00676ACD" w:rsidRDefault="00676ACD" w:rsidP="007B5579">
            <w:pPr>
              <w:pStyle w:val="DVABulletnoparaspace"/>
              <w:ind w:left="357" w:hanging="357"/>
              <w:rPr>
                <w:sz w:val="16"/>
              </w:rPr>
            </w:pPr>
            <w:r>
              <w:rPr>
                <w:sz w:val="16"/>
              </w:rPr>
              <w:t>One of their key learnings was to implement a ‘program master list’.</w:t>
            </w:r>
          </w:p>
          <w:p w14:paraId="12BF43B0" w14:textId="77777777" w:rsidR="00676ACD" w:rsidRDefault="00676ACD" w:rsidP="00676ACD">
            <w:pPr>
              <w:pStyle w:val="DVABulletnoparaspace"/>
              <w:numPr>
                <w:ilvl w:val="1"/>
                <w:numId w:val="21"/>
              </w:numPr>
              <w:ind w:left="742" w:hanging="283"/>
              <w:rPr>
                <w:sz w:val="16"/>
              </w:rPr>
            </w:pPr>
            <w:r>
              <w:rPr>
                <w:sz w:val="16"/>
              </w:rPr>
              <w:t>This came out of the 2016 audit of the NSW Program Evaluation Unit which critiqued how they organisationally arranged evaluations.</w:t>
            </w:r>
          </w:p>
          <w:p w14:paraId="4E9470B5" w14:textId="77777777" w:rsidR="00676ACD" w:rsidRDefault="00676ACD" w:rsidP="00676ACD">
            <w:pPr>
              <w:pStyle w:val="DVABulletnoparaspace"/>
              <w:numPr>
                <w:ilvl w:val="1"/>
                <w:numId w:val="21"/>
              </w:numPr>
              <w:ind w:left="742" w:hanging="283"/>
              <w:rPr>
                <w:sz w:val="16"/>
              </w:rPr>
            </w:pPr>
            <w:r>
              <w:rPr>
                <w:sz w:val="16"/>
              </w:rPr>
              <w:t>This register is very important, particularly due to large staff turnover – having the information in a central area supports overarching governance.</w:t>
            </w:r>
          </w:p>
          <w:p w14:paraId="2FB4AB51" w14:textId="77777777" w:rsidR="00676ACD" w:rsidRPr="00FF03F1" w:rsidRDefault="00676ACD" w:rsidP="007B5579">
            <w:pPr>
              <w:pStyle w:val="DVABulletnoparaspace"/>
            </w:pPr>
            <w:r w:rsidRPr="00166719">
              <w:rPr>
                <w:sz w:val="16"/>
                <w:szCs w:val="12"/>
              </w:rPr>
              <w:t>Another</w:t>
            </w:r>
            <w:r>
              <w:rPr>
                <w:sz w:val="16"/>
                <w:szCs w:val="12"/>
              </w:rPr>
              <w:t xml:space="preserve"> key learning was to ‘close the loop’ on evaluations.</w:t>
            </w:r>
          </w:p>
          <w:p w14:paraId="411D1AEB" w14:textId="77777777" w:rsidR="00676ACD" w:rsidRPr="00E72B1E" w:rsidRDefault="00676ACD" w:rsidP="00676ACD">
            <w:pPr>
              <w:pStyle w:val="DVABulletnoparaspace"/>
              <w:numPr>
                <w:ilvl w:val="1"/>
                <w:numId w:val="21"/>
              </w:numPr>
              <w:ind w:left="742" w:hanging="283"/>
            </w:pPr>
            <w:r w:rsidRPr="00253B07">
              <w:rPr>
                <w:sz w:val="16"/>
                <w:szCs w:val="12"/>
              </w:rPr>
              <w:t>NT</w:t>
            </w:r>
            <w:r>
              <w:rPr>
                <w:sz w:val="16"/>
                <w:szCs w:val="12"/>
              </w:rPr>
              <w:t xml:space="preserve"> need to inform Cabinet of how they intend to prioritise evaluations, it is also important to report back to Cabinet the following year to update them on what has been evaluated, the main findings and what the Agency’s response was. This helps encourage evaluations to be conducted.</w:t>
            </w:r>
          </w:p>
        </w:tc>
      </w:tr>
      <w:tr w:rsidR="00676ACD" w:rsidRPr="00E72B1E" w14:paraId="12A89993" w14:textId="77777777" w:rsidTr="007B5579">
        <w:tc>
          <w:tcPr>
            <w:tcW w:w="1555" w:type="dxa"/>
            <w:shd w:val="clear" w:color="auto" w:fill="CDCDCD"/>
          </w:tcPr>
          <w:p w14:paraId="1D56803C" w14:textId="77777777" w:rsidR="00676ACD" w:rsidRPr="00E72B1E" w:rsidRDefault="00676ACD" w:rsidP="007B5579">
            <w:pPr>
              <w:pStyle w:val="DVABodytextwithparaspace"/>
              <w:spacing w:before="120" w:after="120"/>
              <w:rPr>
                <w:b/>
                <w:bCs/>
                <w:sz w:val="16"/>
                <w:szCs w:val="16"/>
              </w:rPr>
            </w:pPr>
            <w:r>
              <w:rPr>
                <w:b/>
                <w:bCs/>
                <w:sz w:val="16"/>
                <w:szCs w:val="16"/>
              </w:rPr>
              <w:t>Major challenges faced</w:t>
            </w:r>
          </w:p>
        </w:tc>
        <w:tc>
          <w:tcPr>
            <w:tcW w:w="7508" w:type="dxa"/>
            <w:gridSpan w:val="2"/>
          </w:tcPr>
          <w:p w14:paraId="1A824548" w14:textId="77777777" w:rsidR="00676ACD" w:rsidRPr="00E72B1E" w:rsidRDefault="00676ACD" w:rsidP="007B5579">
            <w:pPr>
              <w:pStyle w:val="DVABulletnoparaspace"/>
              <w:rPr>
                <w:sz w:val="16"/>
              </w:rPr>
            </w:pPr>
            <w:r>
              <w:rPr>
                <w:sz w:val="16"/>
              </w:rPr>
              <w:t>The main challenge identified was around developing a fit-for-purpose program master list. NT originally borrowed a template from a NSW Agency and found that people struggled to complete the form. The template was since updated to respond to feedback and a more streamlined and easy process was formed.</w:t>
            </w:r>
          </w:p>
        </w:tc>
      </w:tr>
      <w:tr w:rsidR="00676ACD" w:rsidRPr="00E72B1E" w14:paraId="4A952165" w14:textId="77777777" w:rsidTr="007B5579">
        <w:tc>
          <w:tcPr>
            <w:tcW w:w="1555" w:type="dxa"/>
            <w:shd w:val="clear" w:color="auto" w:fill="CDCDCD"/>
          </w:tcPr>
          <w:p w14:paraId="69185BA4" w14:textId="77777777" w:rsidR="00676ACD" w:rsidRPr="00E72B1E" w:rsidRDefault="00676ACD" w:rsidP="007B5579">
            <w:pPr>
              <w:pStyle w:val="DVABodytextwithparaspace"/>
              <w:spacing w:before="120" w:after="120"/>
              <w:rPr>
                <w:b/>
                <w:bCs/>
                <w:sz w:val="16"/>
                <w:szCs w:val="16"/>
              </w:rPr>
            </w:pPr>
            <w:r>
              <w:rPr>
                <w:b/>
                <w:bCs/>
                <w:sz w:val="16"/>
                <w:szCs w:val="16"/>
              </w:rPr>
              <w:t>In-house vs commissioned</w:t>
            </w:r>
          </w:p>
        </w:tc>
        <w:tc>
          <w:tcPr>
            <w:tcW w:w="7508" w:type="dxa"/>
            <w:gridSpan w:val="2"/>
          </w:tcPr>
          <w:p w14:paraId="6680881B" w14:textId="77777777" w:rsidR="00676ACD" w:rsidRDefault="00676ACD" w:rsidP="007B5579">
            <w:pPr>
              <w:pStyle w:val="DVABulletnoparaspace"/>
              <w:rPr>
                <w:sz w:val="16"/>
              </w:rPr>
            </w:pPr>
            <w:r>
              <w:rPr>
                <w:sz w:val="16"/>
              </w:rPr>
              <w:t>NT both commission evaluations and uses in-house expertise to conduct evaluations.</w:t>
            </w:r>
          </w:p>
          <w:p w14:paraId="6BF2525E" w14:textId="77777777" w:rsidR="00676ACD" w:rsidRDefault="00676ACD" w:rsidP="007B5579">
            <w:pPr>
              <w:pStyle w:val="DVABulletnoparaspace"/>
              <w:rPr>
                <w:sz w:val="16"/>
              </w:rPr>
            </w:pPr>
            <w:r>
              <w:rPr>
                <w:sz w:val="16"/>
              </w:rPr>
              <w:t>Most of the program evaluations conducted have been commissioned as they are trying to build their evaluation capability.</w:t>
            </w:r>
          </w:p>
          <w:p w14:paraId="4A4EC2D4" w14:textId="77777777" w:rsidR="00676ACD" w:rsidRPr="00E72B1E" w:rsidRDefault="00676ACD" w:rsidP="007B5579">
            <w:pPr>
              <w:pStyle w:val="DVABulletnoparaspace"/>
              <w:rPr>
                <w:sz w:val="16"/>
              </w:rPr>
            </w:pPr>
            <w:r>
              <w:rPr>
                <w:sz w:val="16"/>
              </w:rPr>
              <w:t>NT have found the Australian Evaluation Society workshops to be particularly helpful for building evaluation capability.</w:t>
            </w:r>
          </w:p>
        </w:tc>
      </w:tr>
      <w:tr w:rsidR="00676ACD" w:rsidRPr="00E72B1E" w14:paraId="058D9E8F" w14:textId="77777777" w:rsidTr="007B5579">
        <w:tc>
          <w:tcPr>
            <w:tcW w:w="1555" w:type="dxa"/>
            <w:shd w:val="clear" w:color="auto" w:fill="CDCDCD"/>
          </w:tcPr>
          <w:p w14:paraId="562F0C7C" w14:textId="77777777" w:rsidR="00676ACD" w:rsidRPr="00E72B1E" w:rsidRDefault="00676ACD" w:rsidP="007B5579">
            <w:pPr>
              <w:pStyle w:val="DVABodytextwithparaspace"/>
              <w:spacing w:before="120" w:after="120"/>
              <w:rPr>
                <w:b/>
                <w:bCs/>
                <w:sz w:val="16"/>
                <w:szCs w:val="16"/>
              </w:rPr>
            </w:pPr>
            <w:r>
              <w:rPr>
                <w:b/>
                <w:bCs/>
                <w:sz w:val="16"/>
                <w:szCs w:val="16"/>
              </w:rPr>
              <w:t>Key success factors to make the process streamlined, efficient and cost-effective</w:t>
            </w:r>
          </w:p>
        </w:tc>
        <w:tc>
          <w:tcPr>
            <w:tcW w:w="7508" w:type="dxa"/>
            <w:gridSpan w:val="2"/>
          </w:tcPr>
          <w:p w14:paraId="65FEE75B" w14:textId="77777777" w:rsidR="00676ACD" w:rsidRDefault="00676ACD" w:rsidP="007B5579">
            <w:pPr>
              <w:pStyle w:val="DVABulletnoparaspace"/>
              <w:rPr>
                <w:sz w:val="16"/>
              </w:rPr>
            </w:pPr>
            <w:r>
              <w:rPr>
                <w:sz w:val="16"/>
              </w:rPr>
              <w:t>Changing the Cabinet Submission systems and templates to provide more information required to request funding from Cabinet has been quite successful.</w:t>
            </w:r>
          </w:p>
          <w:p w14:paraId="7EFE86FD" w14:textId="77777777" w:rsidR="00676ACD" w:rsidRPr="00E72B1E" w:rsidRDefault="00676ACD" w:rsidP="007B5579">
            <w:pPr>
              <w:pStyle w:val="DVABulletnoparaspace"/>
              <w:rPr>
                <w:sz w:val="16"/>
              </w:rPr>
            </w:pPr>
            <w:r>
              <w:rPr>
                <w:sz w:val="16"/>
              </w:rPr>
              <w:t>Having a program evaluation toolkit that provides guidance on needs assessments and relevant evidence banks and data warehouses has made it easier for people as they are aware of the evidence available and how to access it.</w:t>
            </w:r>
          </w:p>
        </w:tc>
      </w:tr>
      <w:tr w:rsidR="00676ACD" w:rsidRPr="00E72B1E" w14:paraId="2895D350" w14:textId="77777777" w:rsidTr="007B5579">
        <w:tc>
          <w:tcPr>
            <w:tcW w:w="1555" w:type="dxa"/>
            <w:shd w:val="clear" w:color="auto" w:fill="CDCDCD"/>
          </w:tcPr>
          <w:p w14:paraId="25089729" w14:textId="77777777" w:rsidR="00676ACD" w:rsidRPr="00E72B1E" w:rsidRDefault="00676ACD" w:rsidP="007B5579">
            <w:pPr>
              <w:pStyle w:val="DVABodytextwithparaspace"/>
              <w:spacing w:before="120" w:after="120"/>
              <w:rPr>
                <w:b/>
                <w:bCs/>
                <w:sz w:val="16"/>
                <w:szCs w:val="16"/>
              </w:rPr>
            </w:pPr>
            <w:r>
              <w:rPr>
                <w:b/>
                <w:bCs/>
                <w:sz w:val="16"/>
                <w:szCs w:val="16"/>
              </w:rPr>
              <w:t>How best to leverage existing materials on evaluations</w:t>
            </w:r>
          </w:p>
        </w:tc>
        <w:tc>
          <w:tcPr>
            <w:tcW w:w="7508" w:type="dxa"/>
            <w:gridSpan w:val="2"/>
          </w:tcPr>
          <w:p w14:paraId="559BD71C" w14:textId="77777777" w:rsidR="00676ACD" w:rsidRDefault="00676ACD" w:rsidP="007B5579">
            <w:pPr>
              <w:pStyle w:val="DVABulletnoparaspace"/>
              <w:rPr>
                <w:sz w:val="16"/>
              </w:rPr>
            </w:pPr>
            <w:r>
              <w:rPr>
                <w:sz w:val="16"/>
              </w:rPr>
              <w:t>NT acknowledged the usefulness of the Australian Public Sector Evaluation network, which has a SharePoint site where members can upload templates and good examples of evaluations. It is noted to be slightly inactive at times as it is run by volunteers.</w:t>
            </w:r>
          </w:p>
          <w:p w14:paraId="5698377E" w14:textId="77777777" w:rsidR="00676ACD" w:rsidRPr="00E72B1E" w:rsidRDefault="00676ACD" w:rsidP="007B5579">
            <w:pPr>
              <w:pStyle w:val="DVABulletnoparaspace"/>
              <w:rPr>
                <w:sz w:val="16"/>
              </w:rPr>
            </w:pPr>
            <w:r>
              <w:rPr>
                <w:sz w:val="16"/>
              </w:rPr>
              <w:t>The importance of coordinating evaluations was also highlighted – government organisations can work together to share evaluation schedules and see how to coordinate their evaluations accordingly to avoid duplications and gaps and to share lessons learned.</w:t>
            </w:r>
          </w:p>
        </w:tc>
      </w:tr>
      <w:tr w:rsidR="00676ACD" w:rsidRPr="00E72B1E" w14:paraId="66577253" w14:textId="77777777" w:rsidTr="007B5579">
        <w:tc>
          <w:tcPr>
            <w:tcW w:w="1555" w:type="dxa"/>
            <w:shd w:val="clear" w:color="auto" w:fill="CDCDCD"/>
          </w:tcPr>
          <w:p w14:paraId="16D8652E" w14:textId="77777777" w:rsidR="00676ACD" w:rsidRPr="00E72B1E" w:rsidRDefault="00676ACD" w:rsidP="007B5579">
            <w:pPr>
              <w:pStyle w:val="DVABodytextwithparaspace"/>
              <w:spacing w:before="120" w:after="120"/>
              <w:rPr>
                <w:b/>
                <w:bCs/>
                <w:sz w:val="16"/>
                <w:szCs w:val="16"/>
              </w:rPr>
            </w:pPr>
            <w:r>
              <w:rPr>
                <w:b/>
                <w:bCs/>
                <w:sz w:val="16"/>
                <w:szCs w:val="16"/>
              </w:rPr>
              <w:t>Approach to supporting Agencies to conduct evaluations</w:t>
            </w:r>
          </w:p>
        </w:tc>
        <w:tc>
          <w:tcPr>
            <w:tcW w:w="7508" w:type="dxa"/>
            <w:gridSpan w:val="2"/>
          </w:tcPr>
          <w:p w14:paraId="06AE4345" w14:textId="77777777" w:rsidR="00676ACD" w:rsidRPr="00E72B1E" w:rsidRDefault="00676ACD" w:rsidP="007B5579">
            <w:pPr>
              <w:pStyle w:val="DVABulletnoparaspace"/>
              <w:rPr>
                <w:sz w:val="16"/>
              </w:rPr>
            </w:pPr>
            <w:r>
              <w:rPr>
                <w:sz w:val="16"/>
              </w:rPr>
              <w:t>NT have provided guidance in a toolkit to encourage Agencies to think about how to approach evaluations, however, have left the design of evaluations up to Agencies, who are more familiar with the context.</w:t>
            </w:r>
          </w:p>
        </w:tc>
      </w:tr>
    </w:tbl>
    <w:p w14:paraId="2EC56985" w14:textId="60810E14" w:rsidR="00676ACD" w:rsidRDefault="00676ACD" w:rsidP="00676ACD">
      <w:pPr>
        <w:rPr>
          <w:rFonts w:ascii="Calibri" w:hAnsi="Calibri"/>
          <w:b/>
          <w:bCs/>
          <w:color w:val="747480"/>
          <w:sz w:val="16"/>
          <w:szCs w:val="18"/>
        </w:rPr>
      </w:pPr>
      <w:bookmarkStart w:id="208" w:name="_Ref105509777"/>
    </w:p>
    <w:p w14:paraId="666DE8BC" w14:textId="2E3434EB" w:rsidR="00676ACD" w:rsidRPr="003A042C" w:rsidRDefault="00676ACD" w:rsidP="00676ACD">
      <w:pPr>
        <w:pStyle w:val="Caption"/>
      </w:pPr>
      <w:bookmarkStart w:id="209" w:name="_Ref106703207"/>
      <w:bookmarkStart w:id="210" w:name="_Ref105598392"/>
      <w:r>
        <w:lastRenderedPageBreak/>
        <w:t xml:space="preserve">Table </w:t>
      </w:r>
      <w:r>
        <w:fldChar w:fldCharType="begin"/>
      </w:r>
      <w:r>
        <w:instrText xml:space="preserve"> SEQ Table \* ARABIC </w:instrText>
      </w:r>
      <w:r>
        <w:fldChar w:fldCharType="separate"/>
      </w:r>
      <w:r w:rsidR="00812188">
        <w:rPr>
          <w:noProof/>
        </w:rPr>
        <w:t>22</w:t>
      </w:r>
      <w:r>
        <w:fldChar w:fldCharType="end"/>
      </w:r>
      <w:bookmarkEnd w:id="208"/>
      <w:bookmarkEnd w:id="209"/>
      <w:r>
        <w:t>: Case Study II</w:t>
      </w:r>
      <w:bookmarkEnd w:id="210"/>
    </w:p>
    <w:tbl>
      <w:tblPr>
        <w:tblStyle w:val="TableGrid"/>
        <w:tblW w:w="0" w:type="auto"/>
        <w:tblLook w:val="04A0" w:firstRow="1" w:lastRow="0" w:firstColumn="1" w:lastColumn="0" w:noHBand="0" w:noVBand="1"/>
      </w:tblPr>
      <w:tblGrid>
        <w:gridCol w:w="1555"/>
        <w:gridCol w:w="708"/>
        <w:gridCol w:w="6800"/>
      </w:tblGrid>
      <w:tr w:rsidR="00676ACD" w:rsidRPr="00675BCE" w14:paraId="38D7E1BB" w14:textId="77777777" w:rsidTr="007B5579">
        <w:tc>
          <w:tcPr>
            <w:tcW w:w="9063" w:type="dxa"/>
            <w:gridSpan w:val="3"/>
            <w:shd w:val="clear" w:color="auto" w:fill="3C5893" w:themeFill="accent1"/>
          </w:tcPr>
          <w:p w14:paraId="218650D6" w14:textId="77777777" w:rsidR="00676ACD" w:rsidRPr="00675BCE" w:rsidRDefault="00676ACD" w:rsidP="007B5579">
            <w:pPr>
              <w:pStyle w:val="DVABodytextwithparaspace"/>
              <w:spacing w:after="120"/>
              <w:rPr>
                <w:b/>
                <w:color w:val="FFFFFF" w:themeColor="background1"/>
                <w:sz w:val="16"/>
                <w:szCs w:val="16"/>
              </w:rPr>
            </w:pPr>
            <w:r w:rsidRPr="00675BCE">
              <w:rPr>
                <w:b/>
                <w:color w:val="FFFFFF" w:themeColor="background1"/>
                <w:sz w:val="16"/>
                <w:szCs w:val="16"/>
              </w:rPr>
              <w:t>Strategic advisor to the NSW Ministry of Health</w:t>
            </w:r>
          </w:p>
        </w:tc>
      </w:tr>
      <w:tr w:rsidR="00676ACD" w:rsidRPr="00E72B1E" w14:paraId="14E8778F" w14:textId="77777777" w:rsidTr="007B5579">
        <w:tc>
          <w:tcPr>
            <w:tcW w:w="2263" w:type="dxa"/>
            <w:gridSpan w:val="2"/>
          </w:tcPr>
          <w:p w14:paraId="4CFBA16B" w14:textId="77777777" w:rsidR="00676ACD" w:rsidRPr="00E72B1E" w:rsidRDefault="00676ACD" w:rsidP="007B5579">
            <w:pPr>
              <w:pStyle w:val="DVABodytextwithparaspace"/>
              <w:spacing w:before="120" w:after="120"/>
              <w:rPr>
                <w:b/>
                <w:bCs/>
                <w:sz w:val="16"/>
                <w:szCs w:val="16"/>
              </w:rPr>
            </w:pPr>
            <w:r w:rsidRPr="00E72B1E">
              <w:rPr>
                <w:b/>
                <w:bCs/>
                <w:sz w:val="16"/>
                <w:szCs w:val="16"/>
              </w:rPr>
              <w:t>Interview date and time</w:t>
            </w:r>
          </w:p>
        </w:tc>
        <w:tc>
          <w:tcPr>
            <w:tcW w:w="6800" w:type="dxa"/>
          </w:tcPr>
          <w:p w14:paraId="6C6C6195" w14:textId="77777777" w:rsidR="00676ACD" w:rsidRPr="00E72B1E" w:rsidRDefault="00676ACD" w:rsidP="007B5579">
            <w:pPr>
              <w:pStyle w:val="DVABodytextwithparaspace"/>
              <w:spacing w:before="120" w:after="120"/>
              <w:rPr>
                <w:sz w:val="16"/>
                <w:szCs w:val="16"/>
              </w:rPr>
            </w:pPr>
            <w:r>
              <w:rPr>
                <w:sz w:val="16"/>
                <w:szCs w:val="16"/>
              </w:rPr>
              <w:t>Monday 06 June, 3:15pm – 3:45pm AEST</w:t>
            </w:r>
          </w:p>
        </w:tc>
      </w:tr>
      <w:tr w:rsidR="00676ACD" w:rsidRPr="00E72B1E" w14:paraId="2CF7115D" w14:textId="77777777" w:rsidTr="007B5579">
        <w:tc>
          <w:tcPr>
            <w:tcW w:w="1555" w:type="dxa"/>
            <w:shd w:val="clear" w:color="auto" w:fill="3C5893" w:themeFill="accent1"/>
          </w:tcPr>
          <w:p w14:paraId="5C89FF18" w14:textId="77777777" w:rsidR="00676ACD" w:rsidRPr="009B00C0" w:rsidRDefault="00676ACD" w:rsidP="007B5579">
            <w:pPr>
              <w:pStyle w:val="DVABodytextwithparaspace"/>
              <w:spacing w:before="120" w:after="120"/>
              <w:rPr>
                <w:b/>
                <w:bCs/>
                <w:color w:val="FFFFFF" w:themeColor="background1"/>
                <w:sz w:val="16"/>
                <w:szCs w:val="16"/>
              </w:rPr>
            </w:pPr>
            <w:r w:rsidRPr="009B00C0">
              <w:rPr>
                <w:b/>
                <w:bCs/>
                <w:color w:val="FFFFFF" w:themeColor="background1"/>
                <w:sz w:val="16"/>
                <w:szCs w:val="16"/>
              </w:rPr>
              <w:t>Theme</w:t>
            </w:r>
          </w:p>
        </w:tc>
        <w:tc>
          <w:tcPr>
            <w:tcW w:w="7508" w:type="dxa"/>
            <w:gridSpan w:val="2"/>
            <w:shd w:val="clear" w:color="auto" w:fill="3C5893" w:themeFill="accent1"/>
          </w:tcPr>
          <w:p w14:paraId="350C1E66" w14:textId="77777777" w:rsidR="00676ACD" w:rsidRPr="009B00C0" w:rsidRDefault="00676ACD" w:rsidP="007B5579">
            <w:pPr>
              <w:pStyle w:val="DVABodytextwithparaspace"/>
              <w:spacing w:before="120" w:after="120"/>
              <w:rPr>
                <w:b/>
                <w:bCs/>
                <w:color w:val="FFFFFF" w:themeColor="background1"/>
                <w:sz w:val="16"/>
                <w:szCs w:val="16"/>
              </w:rPr>
            </w:pPr>
            <w:r w:rsidRPr="009B00C0">
              <w:rPr>
                <w:b/>
                <w:bCs/>
                <w:color w:val="FFFFFF" w:themeColor="background1"/>
                <w:sz w:val="16"/>
                <w:szCs w:val="16"/>
              </w:rPr>
              <w:t>Key Findings</w:t>
            </w:r>
          </w:p>
        </w:tc>
      </w:tr>
      <w:tr w:rsidR="00676ACD" w:rsidRPr="00E72B1E" w14:paraId="2EA1E637" w14:textId="77777777" w:rsidTr="007B5579">
        <w:tc>
          <w:tcPr>
            <w:tcW w:w="1555" w:type="dxa"/>
            <w:shd w:val="clear" w:color="auto" w:fill="CDCDCD"/>
          </w:tcPr>
          <w:p w14:paraId="1D61DC40" w14:textId="77777777" w:rsidR="00676ACD" w:rsidRPr="00C428D8" w:rsidRDefault="00676ACD" w:rsidP="007B5579">
            <w:pPr>
              <w:pStyle w:val="DVABodytextwithparaspace"/>
              <w:spacing w:before="120" w:after="120"/>
              <w:rPr>
                <w:b/>
                <w:bCs/>
                <w:sz w:val="16"/>
                <w:szCs w:val="16"/>
              </w:rPr>
            </w:pPr>
            <w:r w:rsidRPr="00C428D8">
              <w:rPr>
                <w:b/>
                <w:bCs/>
                <w:sz w:val="16"/>
                <w:szCs w:val="16"/>
              </w:rPr>
              <w:t>Types of evaluations</w:t>
            </w:r>
            <w:r>
              <w:rPr>
                <w:b/>
                <w:bCs/>
                <w:sz w:val="16"/>
                <w:szCs w:val="16"/>
              </w:rPr>
              <w:t xml:space="preserve"> and approaches</w:t>
            </w:r>
          </w:p>
        </w:tc>
        <w:tc>
          <w:tcPr>
            <w:tcW w:w="7508" w:type="dxa"/>
            <w:gridSpan w:val="2"/>
          </w:tcPr>
          <w:p w14:paraId="4E4B5752" w14:textId="77777777" w:rsidR="00676ACD" w:rsidRDefault="00676ACD" w:rsidP="007B5579">
            <w:pPr>
              <w:pStyle w:val="DVABulletnoparaspace"/>
              <w:rPr>
                <w:sz w:val="16"/>
              </w:rPr>
            </w:pPr>
            <w:r>
              <w:rPr>
                <w:sz w:val="16"/>
              </w:rPr>
              <w:t>Typically two primary approaches to evaluations; program logic and helicopter. Program logic approach is deal, better at understanding the components at play that may need to be amended or which are working well. Helicopter evaluation more traditional and less useful in identifying areas needing improvement.</w:t>
            </w:r>
          </w:p>
          <w:p w14:paraId="3B61B6FC" w14:textId="77777777" w:rsidR="00676ACD" w:rsidRDefault="00676ACD" w:rsidP="007B5579">
            <w:pPr>
              <w:pStyle w:val="DVABulletnoparaspace"/>
              <w:rPr>
                <w:sz w:val="16"/>
              </w:rPr>
            </w:pPr>
            <w:r>
              <w:rPr>
                <w:sz w:val="16"/>
              </w:rPr>
              <w:t xml:space="preserve">Program logic </w:t>
            </w:r>
          </w:p>
          <w:p w14:paraId="2EB5C55A" w14:textId="77777777" w:rsidR="00676ACD" w:rsidRPr="00333EBD" w:rsidRDefault="00676ACD" w:rsidP="00676ACD">
            <w:pPr>
              <w:pStyle w:val="DVABulletnoparaspace"/>
              <w:numPr>
                <w:ilvl w:val="1"/>
                <w:numId w:val="21"/>
              </w:numPr>
              <w:ind w:left="742" w:hanging="283"/>
              <w:rPr>
                <w:sz w:val="16"/>
                <w:szCs w:val="12"/>
              </w:rPr>
            </w:pPr>
            <w:r w:rsidRPr="005B3AE8">
              <w:rPr>
                <w:sz w:val="16"/>
                <w:szCs w:val="12"/>
              </w:rPr>
              <w:t xml:space="preserve">Most useful for </w:t>
            </w:r>
            <w:r w:rsidRPr="005A11FB">
              <w:rPr>
                <w:sz w:val="16"/>
                <w:szCs w:val="12"/>
              </w:rPr>
              <w:t>programs with</w:t>
            </w:r>
            <w:r w:rsidRPr="000713A0">
              <w:rPr>
                <w:sz w:val="16"/>
                <w:szCs w:val="12"/>
              </w:rPr>
              <w:t xml:space="preserve"> outcome time</w:t>
            </w:r>
            <w:r w:rsidRPr="005F61F5">
              <w:rPr>
                <w:sz w:val="16"/>
                <w:szCs w:val="12"/>
              </w:rPr>
              <w:t>lines (</w:t>
            </w:r>
            <w:r w:rsidRPr="009E46BF">
              <w:rPr>
                <w:sz w:val="16"/>
                <w:szCs w:val="12"/>
              </w:rPr>
              <w:t>e.g. short and long term</w:t>
            </w:r>
            <w:r w:rsidRPr="00424E03">
              <w:rPr>
                <w:sz w:val="16"/>
                <w:szCs w:val="12"/>
              </w:rPr>
              <w:t xml:space="preserve"> outcomes</w:t>
            </w:r>
            <w:r w:rsidRPr="00297CCD">
              <w:rPr>
                <w:sz w:val="16"/>
                <w:szCs w:val="12"/>
              </w:rPr>
              <w:t>)</w:t>
            </w:r>
            <w:r w:rsidRPr="00333EBD">
              <w:rPr>
                <w:sz w:val="16"/>
                <w:szCs w:val="12"/>
              </w:rPr>
              <w:t xml:space="preserve">. </w:t>
            </w:r>
          </w:p>
          <w:p w14:paraId="0E60E571" w14:textId="77777777" w:rsidR="00676ACD" w:rsidRPr="001C365A" w:rsidRDefault="00676ACD" w:rsidP="00676ACD">
            <w:pPr>
              <w:pStyle w:val="DVABulletnoparaspace"/>
              <w:numPr>
                <w:ilvl w:val="1"/>
                <w:numId w:val="21"/>
              </w:numPr>
              <w:ind w:left="742" w:hanging="283"/>
              <w:rPr>
                <w:sz w:val="16"/>
                <w:szCs w:val="12"/>
              </w:rPr>
            </w:pPr>
            <w:r w:rsidRPr="00BC4B2A">
              <w:rPr>
                <w:sz w:val="16"/>
                <w:szCs w:val="12"/>
              </w:rPr>
              <w:t xml:space="preserve">Can help pick out </w:t>
            </w:r>
            <w:r w:rsidRPr="00D64824">
              <w:rPr>
                <w:sz w:val="16"/>
                <w:szCs w:val="12"/>
              </w:rPr>
              <w:t>fault</w:t>
            </w:r>
            <w:r w:rsidRPr="008032C7">
              <w:rPr>
                <w:sz w:val="16"/>
                <w:szCs w:val="12"/>
              </w:rPr>
              <w:t>s at play; e.g. not achieving desired outcomes due to lack of optimisation, basic model or design problems</w:t>
            </w:r>
            <w:r w:rsidRPr="00875633">
              <w:rPr>
                <w:sz w:val="16"/>
                <w:szCs w:val="12"/>
              </w:rPr>
              <w:t>.</w:t>
            </w:r>
          </w:p>
          <w:p w14:paraId="364EC810" w14:textId="77777777" w:rsidR="00676ACD" w:rsidRPr="001C365A" w:rsidRDefault="00676ACD" w:rsidP="00676ACD">
            <w:pPr>
              <w:pStyle w:val="DVABulletnoparaspace"/>
              <w:numPr>
                <w:ilvl w:val="1"/>
                <w:numId w:val="21"/>
              </w:numPr>
              <w:ind w:left="742" w:hanging="283"/>
              <w:rPr>
                <w:sz w:val="16"/>
                <w:szCs w:val="12"/>
              </w:rPr>
            </w:pPr>
            <w:r w:rsidRPr="001C365A">
              <w:rPr>
                <w:sz w:val="16"/>
                <w:szCs w:val="12"/>
              </w:rPr>
              <w:t>Help clarify assumptions of the program.</w:t>
            </w:r>
          </w:p>
          <w:p w14:paraId="075DE781" w14:textId="77777777" w:rsidR="00676ACD" w:rsidRPr="001C365A" w:rsidRDefault="00676ACD" w:rsidP="00676ACD">
            <w:pPr>
              <w:pStyle w:val="DVABulletnoparaspace"/>
              <w:numPr>
                <w:ilvl w:val="1"/>
                <w:numId w:val="21"/>
              </w:numPr>
              <w:ind w:left="742" w:hanging="283"/>
              <w:rPr>
                <w:sz w:val="16"/>
                <w:szCs w:val="12"/>
              </w:rPr>
            </w:pPr>
            <w:r w:rsidRPr="001C365A">
              <w:rPr>
                <w:sz w:val="16"/>
                <w:szCs w:val="12"/>
              </w:rPr>
              <w:t xml:space="preserve">Help guide in identifying and achieving desired outcomes over time. </w:t>
            </w:r>
          </w:p>
          <w:p w14:paraId="38870399" w14:textId="77777777" w:rsidR="00676ACD" w:rsidRPr="008F4968" w:rsidRDefault="00676ACD" w:rsidP="007B5579">
            <w:pPr>
              <w:pStyle w:val="DVABulletnoparaspace"/>
              <w:rPr>
                <w:sz w:val="16"/>
              </w:rPr>
            </w:pPr>
            <w:r>
              <w:rPr>
                <w:sz w:val="16"/>
              </w:rPr>
              <w:t>Theories of change is another useful methodology; however it is less useful when there are time dependent outcomes.</w:t>
            </w:r>
          </w:p>
        </w:tc>
      </w:tr>
      <w:tr w:rsidR="00676ACD" w:rsidRPr="00E72B1E" w14:paraId="27CFD73F" w14:textId="77777777" w:rsidTr="007B5579">
        <w:tc>
          <w:tcPr>
            <w:tcW w:w="1555" w:type="dxa"/>
            <w:shd w:val="clear" w:color="auto" w:fill="CDCDCD"/>
          </w:tcPr>
          <w:p w14:paraId="14099976" w14:textId="77777777" w:rsidR="00676ACD" w:rsidRPr="00C428D8" w:rsidRDefault="00676ACD" w:rsidP="007B5579">
            <w:pPr>
              <w:pStyle w:val="DVABodytextwithparaspace"/>
              <w:spacing w:before="120" w:after="120"/>
              <w:rPr>
                <w:b/>
                <w:bCs/>
                <w:sz w:val="16"/>
                <w:szCs w:val="16"/>
              </w:rPr>
            </w:pPr>
            <w:r>
              <w:rPr>
                <w:b/>
                <w:bCs/>
                <w:sz w:val="16"/>
                <w:szCs w:val="16"/>
              </w:rPr>
              <w:t>Purpose of evaluation</w:t>
            </w:r>
          </w:p>
        </w:tc>
        <w:tc>
          <w:tcPr>
            <w:tcW w:w="7508" w:type="dxa"/>
            <w:gridSpan w:val="2"/>
          </w:tcPr>
          <w:p w14:paraId="4F50F04D" w14:textId="77777777" w:rsidR="00676ACD" w:rsidRDefault="00676ACD" w:rsidP="007B5579">
            <w:pPr>
              <w:pStyle w:val="DVABulletnoparaspace"/>
              <w:rPr>
                <w:sz w:val="16"/>
              </w:rPr>
            </w:pPr>
            <w:r>
              <w:rPr>
                <w:sz w:val="16"/>
              </w:rPr>
              <w:t>Evaluations can serve as a method to better understand where faults lie, identifying potential causes of unfulfilled outcomes.</w:t>
            </w:r>
          </w:p>
          <w:p w14:paraId="6F1F88CB" w14:textId="77777777" w:rsidR="00676ACD" w:rsidRDefault="00676ACD" w:rsidP="007B5579">
            <w:pPr>
              <w:pStyle w:val="DVABulletnoparaspace"/>
              <w:rPr>
                <w:sz w:val="16"/>
              </w:rPr>
            </w:pPr>
            <w:r>
              <w:rPr>
                <w:sz w:val="16"/>
              </w:rPr>
              <w:t>Important to recognise any underlying assumptions in order to identify potential fault areas.</w:t>
            </w:r>
          </w:p>
        </w:tc>
      </w:tr>
      <w:tr w:rsidR="00676ACD" w:rsidRPr="00E72B1E" w14:paraId="6F54CC00" w14:textId="77777777" w:rsidTr="007B5579">
        <w:tc>
          <w:tcPr>
            <w:tcW w:w="1555" w:type="dxa"/>
            <w:shd w:val="clear" w:color="auto" w:fill="CDCDCD"/>
          </w:tcPr>
          <w:p w14:paraId="6B815D55" w14:textId="77777777" w:rsidR="00676ACD" w:rsidRDefault="00676ACD" w:rsidP="007B5579">
            <w:pPr>
              <w:pStyle w:val="DVABodytextwithparaspace"/>
              <w:spacing w:before="120" w:after="120"/>
              <w:rPr>
                <w:b/>
                <w:bCs/>
                <w:sz w:val="16"/>
                <w:szCs w:val="16"/>
              </w:rPr>
            </w:pPr>
            <w:r>
              <w:rPr>
                <w:b/>
                <w:bCs/>
                <w:sz w:val="16"/>
                <w:szCs w:val="16"/>
              </w:rPr>
              <w:t>Embedded evaluation into program implementation</w:t>
            </w:r>
          </w:p>
        </w:tc>
        <w:tc>
          <w:tcPr>
            <w:tcW w:w="7508" w:type="dxa"/>
            <w:gridSpan w:val="2"/>
          </w:tcPr>
          <w:p w14:paraId="5CE670BA" w14:textId="77777777" w:rsidR="00676ACD" w:rsidRDefault="00676ACD" w:rsidP="007B5579">
            <w:pPr>
              <w:pStyle w:val="DVABulletnoparaspace"/>
              <w:rPr>
                <w:sz w:val="16"/>
              </w:rPr>
            </w:pPr>
            <w:r>
              <w:rPr>
                <w:sz w:val="16"/>
              </w:rPr>
              <w:t>Applied evaluation approach, which involves embedding evaluation with program rollout or expansion can aid in ensuring evaluation results have practical use.</w:t>
            </w:r>
          </w:p>
          <w:p w14:paraId="0F7F6A50" w14:textId="77777777" w:rsidR="00676ACD" w:rsidRDefault="00676ACD" w:rsidP="007B5579">
            <w:pPr>
              <w:pStyle w:val="DVABulletnoparaspace"/>
              <w:rPr>
                <w:sz w:val="16"/>
              </w:rPr>
            </w:pPr>
            <w:r>
              <w:rPr>
                <w:sz w:val="16"/>
              </w:rPr>
              <w:t xml:space="preserve">There has been a major shift towards this method in the past 10 years, rather than a separate external evaluation process. Now evaluation is commonly a significant part of continuous improvement cycles of program implementation, rather than a ‘petri dish’ one off evaluation approach.  </w:t>
            </w:r>
          </w:p>
          <w:p w14:paraId="261E3144" w14:textId="77777777" w:rsidR="00676ACD" w:rsidRPr="00C428D8" w:rsidRDefault="00676ACD" w:rsidP="007B5579">
            <w:pPr>
              <w:pStyle w:val="DVABulletnoparaspace"/>
              <w:numPr>
                <w:ilvl w:val="0"/>
                <w:numId w:val="0"/>
              </w:numPr>
              <w:ind w:left="360"/>
              <w:rPr>
                <w:sz w:val="16"/>
              </w:rPr>
            </w:pPr>
            <w:r>
              <w:rPr>
                <w:sz w:val="16"/>
              </w:rPr>
              <w:t xml:space="preserve">E.g. giving feedback from evaluation to participants to help improve program implementation. </w:t>
            </w:r>
          </w:p>
        </w:tc>
      </w:tr>
      <w:tr w:rsidR="00676ACD" w:rsidRPr="00E72B1E" w14:paraId="7B27552B" w14:textId="77777777" w:rsidTr="007B5579">
        <w:tc>
          <w:tcPr>
            <w:tcW w:w="1555" w:type="dxa"/>
            <w:shd w:val="clear" w:color="auto" w:fill="CDCDCD"/>
          </w:tcPr>
          <w:p w14:paraId="23231516" w14:textId="77777777" w:rsidR="00676ACD" w:rsidRPr="00C428D8" w:rsidRDefault="00676ACD" w:rsidP="007B5579">
            <w:pPr>
              <w:pStyle w:val="DVABodytextwithparaspace"/>
              <w:spacing w:before="120" w:after="120"/>
              <w:rPr>
                <w:b/>
                <w:bCs/>
                <w:sz w:val="16"/>
                <w:szCs w:val="16"/>
              </w:rPr>
            </w:pPr>
            <w:r>
              <w:rPr>
                <w:b/>
                <w:bCs/>
                <w:sz w:val="16"/>
                <w:szCs w:val="16"/>
              </w:rPr>
              <w:t xml:space="preserve">Importance of comparison </w:t>
            </w:r>
          </w:p>
        </w:tc>
        <w:tc>
          <w:tcPr>
            <w:tcW w:w="7508" w:type="dxa"/>
            <w:gridSpan w:val="2"/>
          </w:tcPr>
          <w:p w14:paraId="13ECB4DA" w14:textId="77777777" w:rsidR="00676ACD" w:rsidRDefault="00676ACD" w:rsidP="007B5579">
            <w:pPr>
              <w:pStyle w:val="DVABulletnoparaspace"/>
              <w:rPr>
                <w:sz w:val="16"/>
              </w:rPr>
            </w:pPr>
            <w:r>
              <w:rPr>
                <w:sz w:val="16"/>
              </w:rPr>
              <w:t>Even if exact RCT framework is not possible, important to still have a baseline comparison of some sort.</w:t>
            </w:r>
          </w:p>
          <w:p w14:paraId="7AE2CA16" w14:textId="77777777" w:rsidR="00676ACD" w:rsidRDefault="00676ACD" w:rsidP="007B5579">
            <w:pPr>
              <w:pStyle w:val="DVABulletnoparaspace"/>
              <w:numPr>
                <w:ilvl w:val="0"/>
                <w:numId w:val="0"/>
              </w:numPr>
              <w:ind w:left="360"/>
              <w:rPr>
                <w:sz w:val="16"/>
              </w:rPr>
            </w:pPr>
            <w:r>
              <w:rPr>
                <w:sz w:val="16"/>
              </w:rPr>
              <w:t>E.g. if a health program shows great results but the baseline comparison group does too, questionable benefits.</w:t>
            </w:r>
          </w:p>
          <w:p w14:paraId="696FA55A" w14:textId="77777777" w:rsidR="00676ACD" w:rsidRPr="001C5305" w:rsidRDefault="00676ACD" w:rsidP="007B5579">
            <w:pPr>
              <w:pStyle w:val="DVABulletnoparaspace"/>
            </w:pPr>
            <w:r>
              <w:rPr>
                <w:sz w:val="16"/>
              </w:rPr>
              <w:t>Important to separate program effects from natural progression, clarify program benefits.</w:t>
            </w:r>
          </w:p>
        </w:tc>
      </w:tr>
      <w:tr w:rsidR="00676ACD" w:rsidRPr="00E72B1E" w14:paraId="1A191B8E" w14:textId="77777777" w:rsidTr="007B5579">
        <w:tc>
          <w:tcPr>
            <w:tcW w:w="1555" w:type="dxa"/>
            <w:shd w:val="clear" w:color="auto" w:fill="CDCDCD"/>
          </w:tcPr>
          <w:p w14:paraId="2EFB4CE8" w14:textId="77777777" w:rsidR="00676ACD" w:rsidRPr="00C428D8" w:rsidRDefault="00676ACD" w:rsidP="007B5579">
            <w:pPr>
              <w:pStyle w:val="DVABodytextwithparaspace"/>
              <w:spacing w:before="120" w:after="120"/>
              <w:rPr>
                <w:b/>
                <w:bCs/>
                <w:sz w:val="16"/>
                <w:szCs w:val="16"/>
              </w:rPr>
            </w:pPr>
            <w:r>
              <w:rPr>
                <w:b/>
                <w:bCs/>
                <w:sz w:val="16"/>
                <w:szCs w:val="16"/>
              </w:rPr>
              <w:t xml:space="preserve">Collecting useful data </w:t>
            </w:r>
          </w:p>
        </w:tc>
        <w:tc>
          <w:tcPr>
            <w:tcW w:w="7508" w:type="dxa"/>
            <w:gridSpan w:val="2"/>
          </w:tcPr>
          <w:p w14:paraId="79C2248A" w14:textId="77777777" w:rsidR="00676ACD" w:rsidRDefault="00676ACD" w:rsidP="007B5579">
            <w:pPr>
              <w:pStyle w:val="DVABulletnoparaspace"/>
              <w:rPr>
                <w:sz w:val="16"/>
              </w:rPr>
            </w:pPr>
            <w:r>
              <w:rPr>
                <w:sz w:val="16"/>
              </w:rPr>
              <w:t>Mixed methods is an ideal approach; the a ‘single number’ approach to collecting data is phasing out.</w:t>
            </w:r>
          </w:p>
          <w:p w14:paraId="2800AE2E" w14:textId="77777777" w:rsidR="00676ACD" w:rsidRDefault="00676ACD" w:rsidP="007B5579">
            <w:pPr>
              <w:pStyle w:val="DVABulletnoparaspace"/>
              <w:rPr>
                <w:sz w:val="16"/>
              </w:rPr>
            </w:pPr>
            <w:r>
              <w:rPr>
                <w:sz w:val="16"/>
              </w:rPr>
              <w:t>There are now more robust ways to collect qualitative data, these data are a key component of driving innovation.</w:t>
            </w:r>
          </w:p>
          <w:p w14:paraId="3D26F1DA" w14:textId="77777777" w:rsidR="00676ACD" w:rsidRPr="00C428D8" w:rsidRDefault="00676ACD" w:rsidP="007B5579">
            <w:pPr>
              <w:pStyle w:val="DVABulletnoparaspace"/>
              <w:rPr>
                <w:sz w:val="16"/>
              </w:rPr>
            </w:pPr>
            <w:r>
              <w:rPr>
                <w:sz w:val="16"/>
              </w:rPr>
              <w:t>Important to frame data collection around future use of data; consider more broadly what the data will be used for (e.g. inform policy) and ensure data collection methods can gather this information as directly as possible.</w:t>
            </w:r>
          </w:p>
        </w:tc>
      </w:tr>
      <w:tr w:rsidR="00676ACD" w:rsidRPr="00E72B1E" w14:paraId="30E56ED1" w14:textId="77777777" w:rsidTr="007B5579">
        <w:tc>
          <w:tcPr>
            <w:tcW w:w="1555" w:type="dxa"/>
            <w:shd w:val="clear" w:color="auto" w:fill="CDCDCD"/>
          </w:tcPr>
          <w:p w14:paraId="5042C484" w14:textId="77777777" w:rsidR="00676ACD" w:rsidRDefault="00676ACD" w:rsidP="007B5579">
            <w:pPr>
              <w:pStyle w:val="DVABodytextwithparaspace"/>
              <w:spacing w:before="120" w:after="120"/>
              <w:rPr>
                <w:b/>
                <w:bCs/>
                <w:sz w:val="16"/>
                <w:szCs w:val="16"/>
              </w:rPr>
            </w:pPr>
            <w:r>
              <w:rPr>
                <w:b/>
                <w:bCs/>
                <w:sz w:val="16"/>
                <w:szCs w:val="16"/>
              </w:rPr>
              <w:t>High value healthcare</w:t>
            </w:r>
          </w:p>
        </w:tc>
        <w:tc>
          <w:tcPr>
            <w:tcW w:w="7508" w:type="dxa"/>
            <w:gridSpan w:val="2"/>
          </w:tcPr>
          <w:p w14:paraId="2C79E30E" w14:textId="77777777" w:rsidR="00676ACD" w:rsidRDefault="00676ACD" w:rsidP="007B5579">
            <w:pPr>
              <w:pStyle w:val="DVABulletnoparaspace"/>
              <w:rPr>
                <w:sz w:val="16"/>
              </w:rPr>
            </w:pPr>
            <w:r>
              <w:rPr>
                <w:sz w:val="16"/>
              </w:rPr>
              <w:t>Common frame of reference/metric for the key components of quality healthcare.</w:t>
            </w:r>
          </w:p>
          <w:p w14:paraId="5B086787" w14:textId="77777777" w:rsidR="00676ACD" w:rsidRDefault="00676ACD" w:rsidP="007B5579">
            <w:pPr>
              <w:pStyle w:val="DVABulletnoparaspace"/>
              <w:rPr>
                <w:sz w:val="16"/>
              </w:rPr>
            </w:pPr>
            <w:r>
              <w:rPr>
                <w:sz w:val="16"/>
              </w:rPr>
              <w:t xml:space="preserve">Key components include providers and patients; their respective experiences can be found in qualitative data that can help clarify stakeholder attitudes and behaviours e.g. is there a human error element affecting efficiency or effectiveness or programs, are providers unhappy and unlikely to continue with the program long-term, etc. </w:t>
            </w:r>
          </w:p>
          <w:p w14:paraId="6C787EE8" w14:textId="77777777" w:rsidR="00676ACD" w:rsidRDefault="00676ACD" w:rsidP="007B5579">
            <w:pPr>
              <w:pStyle w:val="DVABulletnoparaspace"/>
              <w:rPr>
                <w:sz w:val="16"/>
              </w:rPr>
            </w:pPr>
            <w:r>
              <w:rPr>
                <w:sz w:val="16"/>
              </w:rPr>
              <w:t>Better health outcomes of patients are becoming a larger focus of government regulatory authorities.</w:t>
            </w:r>
          </w:p>
          <w:p w14:paraId="65A97474" w14:textId="77777777" w:rsidR="00676ACD" w:rsidRDefault="00676ACD" w:rsidP="007B5579">
            <w:pPr>
              <w:pStyle w:val="DVABulletnoparaspace"/>
              <w:rPr>
                <w:sz w:val="16"/>
              </w:rPr>
            </w:pPr>
            <w:r>
              <w:rPr>
                <w:sz w:val="16"/>
              </w:rPr>
              <w:t xml:space="preserve">A relative new component to high value healthcare is equity; this relates to culturally appropriate care and diversity, and population health. </w:t>
            </w:r>
          </w:p>
        </w:tc>
      </w:tr>
      <w:tr w:rsidR="00676ACD" w:rsidRPr="00E72B1E" w14:paraId="7A7F1A8B" w14:textId="77777777" w:rsidTr="007B5579">
        <w:tc>
          <w:tcPr>
            <w:tcW w:w="1555" w:type="dxa"/>
            <w:shd w:val="clear" w:color="auto" w:fill="CDCDCD"/>
          </w:tcPr>
          <w:p w14:paraId="6CD9183F" w14:textId="77777777" w:rsidR="00676ACD" w:rsidRDefault="00676ACD" w:rsidP="007B5579">
            <w:pPr>
              <w:pStyle w:val="DVABodytextwithparaspace"/>
              <w:spacing w:before="120" w:after="120"/>
              <w:rPr>
                <w:b/>
                <w:bCs/>
                <w:sz w:val="16"/>
                <w:szCs w:val="16"/>
              </w:rPr>
            </w:pPr>
            <w:r>
              <w:rPr>
                <w:b/>
                <w:bCs/>
                <w:sz w:val="16"/>
                <w:szCs w:val="16"/>
              </w:rPr>
              <w:t>Wellbeing</w:t>
            </w:r>
          </w:p>
        </w:tc>
        <w:tc>
          <w:tcPr>
            <w:tcW w:w="7508" w:type="dxa"/>
            <w:gridSpan w:val="2"/>
          </w:tcPr>
          <w:p w14:paraId="5F841E4C" w14:textId="77777777" w:rsidR="00676ACD" w:rsidRDefault="00676ACD" w:rsidP="007B5579">
            <w:pPr>
              <w:pStyle w:val="DVABulletnoparaspace"/>
              <w:rPr>
                <w:sz w:val="16"/>
              </w:rPr>
            </w:pPr>
            <w:r>
              <w:rPr>
                <w:sz w:val="16"/>
              </w:rPr>
              <w:t>There has been a pivot to target wellbeing in the public sector, as support schemes are not independent of well-being type outcomes. This is likely driven by a change in attitudes towards mental health, and acknowledgement that personal life inevitably affects work life.</w:t>
            </w:r>
          </w:p>
          <w:p w14:paraId="6A8B3BB9" w14:textId="77777777" w:rsidR="00676ACD" w:rsidRDefault="00676ACD" w:rsidP="007B5579">
            <w:pPr>
              <w:pStyle w:val="DVABulletnoparaspace"/>
              <w:rPr>
                <w:sz w:val="16"/>
              </w:rPr>
            </w:pPr>
            <w:r>
              <w:rPr>
                <w:sz w:val="16"/>
              </w:rPr>
              <w:t>Larger focus of compensation schemes on social responsibility and improving public health.</w:t>
            </w:r>
          </w:p>
        </w:tc>
      </w:tr>
      <w:tr w:rsidR="00676ACD" w:rsidRPr="00E72B1E" w14:paraId="358E957F" w14:textId="77777777" w:rsidTr="007B5579">
        <w:tc>
          <w:tcPr>
            <w:tcW w:w="1555" w:type="dxa"/>
            <w:shd w:val="clear" w:color="auto" w:fill="CDCDCD"/>
          </w:tcPr>
          <w:p w14:paraId="792A4DBD" w14:textId="77777777" w:rsidR="00676ACD" w:rsidRPr="00C428D8" w:rsidRDefault="00676ACD" w:rsidP="007B5579">
            <w:pPr>
              <w:pStyle w:val="DVABodytextwithparaspace"/>
              <w:spacing w:before="120" w:after="120"/>
              <w:rPr>
                <w:b/>
                <w:bCs/>
                <w:sz w:val="16"/>
                <w:szCs w:val="16"/>
              </w:rPr>
            </w:pPr>
            <w:r>
              <w:rPr>
                <w:b/>
                <w:bCs/>
                <w:sz w:val="16"/>
                <w:szCs w:val="16"/>
              </w:rPr>
              <w:t xml:space="preserve">Costing of evaluations </w:t>
            </w:r>
          </w:p>
        </w:tc>
        <w:tc>
          <w:tcPr>
            <w:tcW w:w="7508" w:type="dxa"/>
            <w:gridSpan w:val="2"/>
          </w:tcPr>
          <w:p w14:paraId="66F5469E" w14:textId="77777777" w:rsidR="00676ACD" w:rsidRDefault="00676ACD" w:rsidP="007B5579">
            <w:pPr>
              <w:pStyle w:val="DVABulletnoparaspace"/>
              <w:rPr>
                <w:sz w:val="16"/>
              </w:rPr>
            </w:pPr>
            <w:r>
              <w:rPr>
                <w:sz w:val="16"/>
              </w:rPr>
              <w:t>No known rubric/matrix for evaluation costing, but anecdotally, organisations often allocate a significant amount of funding into implementation of health programs, but little/not enough into evaluation.</w:t>
            </w:r>
          </w:p>
          <w:p w14:paraId="6AA2F815" w14:textId="77777777" w:rsidR="00676ACD" w:rsidRDefault="00676ACD" w:rsidP="007B5579">
            <w:pPr>
              <w:pStyle w:val="DVABulletnoparaspace"/>
              <w:rPr>
                <w:sz w:val="16"/>
              </w:rPr>
            </w:pPr>
            <w:r>
              <w:rPr>
                <w:sz w:val="16"/>
              </w:rPr>
              <w:t>Many factors influencing evaluation pricing, and there is much variation in health programs, e.g. smaller programs may cost more to implement but may be less expensive to scale up.</w:t>
            </w:r>
          </w:p>
          <w:p w14:paraId="091431EC" w14:textId="77777777" w:rsidR="00676ACD" w:rsidRDefault="00676ACD" w:rsidP="007B5579">
            <w:pPr>
              <w:pStyle w:val="DVABulletnoparaspace"/>
              <w:rPr>
                <w:sz w:val="16"/>
              </w:rPr>
            </w:pPr>
            <w:r>
              <w:rPr>
                <w:sz w:val="16"/>
              </w:rPr>
              <w:t>A key factor of evaluation costs is the ease and availability of capturing data.</w:t>
            </w:r>
          </w:p>
          <w:p w14:paraId="66CBDA9D" w14:textId="77777777" w:rsidR="00676ACD" w:rsidRPr="00C428D8" w:rsidRDefault="00676ACD" w:rsidP="007B5579">
            <w:pPr>
              <w:pStyle w:val="DVABulletnoparaspace"/>
              <w:rPr>
                <w:sz w:val="16"/>
              </w:rPr>
            </w:pPr>
            <w:r>
              <w:rPr>
                <w:sz w:val="16"/>
              </w:rPr>
              <w:t xml:space="preserve">Some forms of collecting data are time intensive such as focus groups or interviews, and are more difficult to capture. While these types of data are important, it is more difficult to capture, more expensive, and therefore less commonly collected. </w:t>
            </w:r>
          </w:p>
        </w:tc>
      </w:tr>
      <w:tr w:rsidR="00676ACD" w:rsidRPr="00E72B1E" w14:paraId="6ACFC97C" w14:textId="77777777" w:rsidTr="007B5579">
        <w:tc>
          <w:tcPr>
            <w:tcW w:w="1555" w:type="dxa"/>
            <w:shd w:val="clear" w:color="auto" w:fill="CDCDCD"/>
          </w:tcPr>
          <w:p w14:paraId="3A0A0885" w14:textId="77777777" w:rsidR="00676ACD" w:rsidRPr="00C428D8" w:rsidRDefault="00676ACD" w:rsidP="007B5579">
            <w:pPr>
              <w:pStyle w:val="DVABodytextwithparaspace"/>
              <w:spacing w:before="120" w:after="120"/>
              <w:rPr>
                <w:b/>
                <w:bCs/>
                <w:sz w:val="16"/>
                <w:szCs w:val="16"/>
              </w:rPr>
            </w:pPr>
            <w:r>
              <w:rPr>
                <w:b/>
                <w:bCs/>
                <w:sz w:val="16"/>
                <w:szCs w:val="16"/>
              </w:rPr>
              <w:t xml:space="preserve">DVA observations </w:t>
            </w:r>
          </w:p>
        </w:tc>
        <w:tc>
          <w:tcPr>
            <w:tcW w:w="7508" w:type="dxa"/>
            <w:gridSpan w:val="2"/>
          </w:tcPr>
          <w:p w14:paraId="2DF5B8EC" w14:textId="77777777" w:rsidR="00676ACD" w:rsidRDefault="00676ACD" w:rsidP="007B5579">
            <w:pPr>
              <w:pStyle w:val="DVABulletnoparaspace"/>
              <w:rPr>
                <w:sz w:val="16"/>
              </w:rPr>
            </w:pPr>
            <w:r>
              <w:rPr>
                <w:sz w:val="16"/>
              </w:rPr>
              <w:t>DVA appears to have a useful closed system of providers and consumers.</w:t>
            </w:r>
          </w:p>
          <w:p w14:paraId="46C41112" w14:textId="77777777" w:rsidR="00676ACD" w:rsidRPr="00C428D8" w:rsidRDefault="00676ACD" w:rsidP="007B5579">
            <w:pPr>
              <w:pStyle w:val="DVABulletnoparaspace"/>
              <w:rPr>
                <w:sz w:val="16"/>
              </w:rPr>
            </w:pPr>
            <w:r>
              <w:rPr>
                <w:sz w:val="16"/>
              </w:rPr>
              <w:t>This alongside high quality, longitudinal utilisation and costing data places them in a strong position for new data analytics e.g. dynamic simulation modelling or forecasting for burden of ill health.</w:t>
            </w:r>
          </w:p>
        </w:tc>
      </w:tr>
    </w:tbl>
    <w:p w14:paraId="604BA59A" w14:textId="77777777" w:rsidR="00676ACD" w:rsidRDefault="00676ACD" w:rsidP="00676ACD">
      <w:pPr>
        <w:rPr>
          <w:rFonts w:ascii="Calibri" w:hAnsi="Calibri"/>
          <w:b/>
          <w:bCs/>
          <w:color w:val="747480"/>
          <w:sz w:val="16"/>
          <w:szCs w:val="18"/>
        </w:rPr>
      </w:pPr>
      <w:bookmarkStart w:id="211" w:name="_Ref105509824"/>
      <w:r>
        <w:br w:type="page"/>
      </w:r>
    </w:p>
    <w:p w14:paraId="511CDDF6" w14:textId="32AB03C5" w:rsidR="00676ACD" w:rsidRDefault="00676ACD" w:rsidP="009846BC">
      <w:pPr>
        <w:pStyle w:val="Caption"/>
      </w:pPr>
      <w:bookmarkStart w:id="212" w:name="_Ref105596795"/>
      <w:r>
        <w:lastRenderedPageBreak/>
        <w:t xml:space="preserve">Table </w:t>
      </w:r>
      <w:r>
        <w:fldChar w:fldCharType="begin"/>
      </w:r>
      <w:r>
        <w:instrText xml:space="preserve"> SEQ Table \* ARABIC </w:instrText>
      </w:r>
      <w:r>
        <w:fldChar w:fldCharType="separate"/>
      </w:r>
      <w:r w:rsidR="00812188">
        <w:rPr>
          <w:noProof/>
        </w:rPr>
        <w:t>23</w:t>
      </w:r>
      <w:r>
        <w:fldChar w:fldCharType="end"/>
      </w:r>
      <w:bookmarkEnd w:id="211"/>
      <w:r>
        <w:t>: Case Study III</w:t>
      </w:r>
      <w:bookmarkEnd w:id="212"/>
    </w:p>
    <w:tbl>
      <w:tblPr>
        <w:tblStyle w:val="TableGrid"/>
        <w:tblW w:w="0" w:type="auto"/>
        <w:tblLook w:val="04A0" w:firstRow="1" w:lastRow="0" w:firstColumn="1" w:lastColumn="0" w:noHBand="0" w:noVBand="1"/>
      </w:tblPr>
      <w:tblGrid>
        <w:gridCol w:w="1555"/>
        <w:gridCol w:w="708"/>
        <w:gridCol w:w="6800"/>
      </w:tblGrid>
      <w:tr w:rsidR="00D45A94" w14:paraId="5954DFE7" w14:textId="77777777" w:rsidTr="00D45A94">
        <w:tc>
          <w:tcPr>
            <w:tcW w:w="9063" w:type="dxa"/>
            <w:gridSpan w:val="3"/>
            <w:tcBorders>
              <w:top w:val="single" w:sz="4" w:space="0" w:color="auto"/>
              <w:left w:val="single" w:sz="4" w:space="0" w:color="auto"/>
              <w:bottom w:val="single" w:sz="4" w:space="0" w:color="auto"/>
              <w:right w:val="single" w:sz="4" w:space="0" w:color="auto"/>
            </w:tcBorders>
            <w:shd w:val="clear" w:color="auto" w:fill="3C5893" w:themeFill="accent1"/>
            <w:hideMark/>
          </w:tcPr>
          <w:p w14:paraId="16586CDC" w14:textId="4796C86F" w:rsidR="00D45A94" w:rsidRDefault="00DC56FE">
            <w:pPr>
              <w:pStyle w:val="DVABodytextwithparaspace"/>
              <w:spacing w:after="120"/>
              <w:rPr>
                <w:b/>
                <w:sz w:val="16"/>
                <w:szCs w:val="16"/>
                <w:lang w:val="en-US"/>
              </w:rPr>
            </w:pPr>
            <w:r>
              <w:rPr>
                <w:b/>
                <w:color w:val="FFFFFF" w:themeColor="background1"/>
                <w:sz w:val="16"/>
                <w:szCs w:val="16"/>
                <w:lang w:val="en-US"/>
              </w:rPr>
              <w:t xml:space="preserve">Australian Government </w:t>
            </w:r>
            <w:r w:rsidR="00D45A94">
              <w:rPr>
                <w:b/>
                <w:color w:val="FFFFFF" w:themeColor="background1"/>
                <w:sz w:val="16"/>
                <w:szCs w:val="16"/>
                <w:lang w:val="en-US"/>
              </w:rPr>
              <w:t>Department of Finance</w:t>
            </w:r>
            <w:r w:rsidR="00504EDE">
              <w:rPr>
                <w:b/>
                <w:color w:val="FFFFFF" w:themeColor="background1"/>
                <w:sz w:val="16"/>
                <w:szCs w:val="16"/>
                <w:lang w:val="en-US"/>
              </w:rPr>
              <w:t xml:space="preserve"> </w:t>
            </w:r>
            <w:r w:rsidR="00504EDE" w:rsidRPr="00504EDE">
              <w:rPr>
                <w:b/>
                <w:color w:val="FFFFFF" w:themeColor="background1"/>
                <w:sz w:val="16"/>
                <w:szCs w:val="16"/>
                <w:lang w:val="en-US"/>
              </w:rPr>
              <w:t>(now Australian Centre for Evaluation)</w:t>
            </w:r>
          </w:p>
        </w:tc>
      </w:tr>
      <w:tr w:rsidR="00D45A94" w14:paraId="20E01C51" w14:textId="77777777" w:rsidTr="00D45A94">
        <w:tc>
          <w:tcPr>
            <w:tcW w:w="2263" w:type="dxa"/>
            <w:gridSpan w:val="2"/>
            <w:tcBorders>
              <w:top w:val="single" w:sz="4" w:space="0" w:color="auto"/>
              <w:left w:val="single" w:sz="4" w:space="0" w:color="auto"/>
              <w:bottom w:val="single" w:sz="4" w:space="0" w:color="auto"/>
              <w:right w:val="single" w:sz="4" w:space="0" w:color="auto"/>
            </w:tcBorders>
            <w:hideMark/>
          </w:tcPr>
          <w:p w14:paraId="281E92A9" w14:textId="77777777" w:rsidR="00D45A94" w:rsidRDefault="00D45A94">
            <w:pPr>
              <w:pStyle w:val="DVABodytextwithparaspace"/>
              <w:spacing w:before="120" w:after="120"/>
              <w:rPr>
                <w:b/>
                <w:bCs/>
                <w:sz w:val="16"/>
                <w:szCs w:val="16"/>
                <w:lang w:val="en-US"/>
              </w:rPr>
            </w:pPr>
            <w:r>
              <w:rPr>
                <w:b/>
                <w:bCs/>
                <w:sz w:val="16"/>
                <w:szCs w:val="16"/>
                <w:lang w:val="en-US"/>
              </w:rPr>
              <w:t>Interview date and time</w:t>
            </w:r>
          </w:p>
        </w:tc>
        <w:tc>
          <w:tcPr>
            <w:tcW w:w="6800" w:type="dxa"/>
            <w:tcBorders>
              <w:top w:val="single" w:sz="4" w:space="0" w:color="auto"/>
              <w:left w:val="single" w:sz="4" w:space="0" w:color="auto"/>
              <w:bottom w:val="single" w:sz="4" w:space="0" w:color="auto"/>
              <w:right w:val="single" w:sz="4" w:space="0" w:color="auto"/>
            </w:tcBorders>
            <w:hideMark/>
          </w:tcPr>
          <w:p w14:paraId="37ED2CE5" w14:textId="77777777" w:rsidR="00D45A94" w:rsidRDefault="00D45A94">
            <w:pPr>
              <w:pStyle w:val="DVABodytextwithparaspace"/>
              <w:spacing w:before="120" w:after="120"/>
              <w:rPr>
                <w:sz w:val="16"/>
                <w:szCs w:val="16"/>
                <w:lang w:val="en-US"/>
              </w:rPr>
            </w:pPr>
            <w:r>
              <w:rPr>
                <w:sz w:val="16"/>
                <w:szCs w:val="16"/>
                <w:lang w:val="en-US"/>
              </w:rPr>
              <w:t>Tuesday 07 June, 2:00pm – 2:30pm AEST</w:t>
            </w:r>
          </w:p>
        </w:tc>
      </w:tr>
      <w:tr w:rsidR="00D45A94" w14:paraId="4D0371C3"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3C5893" w:themeFill="accent1"/>
            <w:hideMark/>
          </w:tcPr>
          <w:p w14:paraId="50AB2212" w14:textId="77777777" w:rsidR="00D45A94" w:rsidRDefault="00D45A94">
            <w:pPr>
              <w:pStyle w:val="DVABodytextwithparaspace"/>
              <w:spacing w:before="120" w:after="120"/>
              <w:rPr>
                <w:b/>
                <w:bCs/>
                <w:color w:val="FFFFFF" w:themeColor="background1"/>
                <w:sz w:val="16"/>
                <w:szCs w:val="16"/>
                <w:lang w:val="en-US"/>
              </w:rPr>
            </w:pPr>
            <w:r>
              <w:rPr>
                <w:b/>
                <w:bCs/>
                <w:color w:val="FFFFFF" w:themeColor="background1"/>
                <w:sz w:val="16"/>
                <w:szCs w:val="16"/>
                <w:lang w:val="en-US"/>
              </w:rPr>
              <w:t>Theme</w:t>
            </w:r>
          </w:p>
        </w:tc>
        <w:tc>
          <w:tcPr>
            <w:tcW w:w="7508" w:type="dxa"/>
            <w:gridSpan w:val="2"/>
            <w:tcBorders>
              <w:top w:val="single" w:sz="4" w:space="0" w:color="auto"/>
              <w:left w:val="single" w:sz="4" w:space="0" w:color="auto"/>
              <w:bottom w:val="single" w:sz="4" w:space="0" w:color="auto"/>
              <w:right w:val="single" w:sz="4" w:space="0" w:color="auto"/>
            </w:tcBorders>
            <w:shd w:val="clear" w:color="auto" w:fill="3C5893" w:themeFill="accent1"/>
            <w:hideMark/>
          </w:tcPr>
          <w:p w14:paraId="5046F3CA" w14:textId="77777777" w:rsidR="00D45A94" w:rsidRDefault="00D45A94">
            <w:pPr>
              <w:pStyle w:val="DVABodytextwithparaspace"/>
              <w:spacing w:before="120" w:after="120"/>
              <w:rPr>
                <w:b/>
                <w:bCs/>
                <w:color w:val="FFFFFF" w:themeColor="background1"/>
                <w:sz w:val="16"/>
                <w:szCs w:val="16"/>
                <w:lang w:val="en-US"/>
              </w:rPr>
            </w:pPr>
            <w:r>
              <w:rPr>
                <w:b/>
                <w:bCs/>
                <w:color w:val="FFFFFF" w:themeColor="background1"/>
                <w:sz w:val="16"/>
                <w:szCs w:val="16"/>
                <w:lang w:val="en-US"/>
              </w:rPr>
              <w:t>Key Findings</w:t>
            </w:r>
          </w:p>
        </w:tc>
      </w:tr>
      <w:tr w:rsidR="00D45A94" w14:paraId="1FE517B9"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18301677" w14:textId="77777777" w:rsidR="00D45A94" w:rsidRDefault="00D45A94">
            <w:pPr>
              <w:pStyle w:val="DVABodytextwithparaspace"/>
              <w:spacing w:before="120" w:after="120"/>
              <w:rPr>
                <w:b/>
                <w:bCs/>
                <w:sz w:val="16"/>
                <w:szCs w:val="16"/>
                <w:lang w:val="en-US"/>
              </w:rPr>
            </w:pPr>
            <w:r>
              <w:rPr>
                <w:b/>
                <w:bCs/>
                <w:sz w:val="16"/>
                <w:szCs w:val="16"/>
                <w:lang w:val="en-US"/>
              </w:rPr>
              <w:t>Principles of best practice evaluation</w:t>
            </w:r>
          </w:p>
        </w:tc>
        <w:tc>
          <w:tcPr>
            <w:tcW w:w="7508" w:type="dxa"/>
            <w:gridSpan w:val="2"/>
            <w:tcBorders>
              <w:top w:val="single" w:sz="4" w:space="0" w:color="auto"/>
              <w:left w:val="single" w:sz="4" w:space="0" w:color="auto"/>
              <w:bottom w:val="single" w:sz="4" w:space="0" w:color="auto"/>
              <w:right w:val="single" w:sz="4" w:space="0" w:color="auto"/>
            </w:tcBorders>
            <w:hideMark/>
          </w:tcPr>
          <w:p w14:paraId="07DA97CB" w14:textId="0522B9BF" w:rsidR="00D45A94" w:rsidRDefault="00D45A94" w:rsidP="00D45A94">
            <w:pPr>
              <w:pStyle w:val="DVABulletnoparaspace"/>
              <w:numPr>
                <w:ilvl w:val="0"/>
                <w:numId w:val="47"/>
              </w:numPr>
              <w:tabs>
                <w:tab w:val="left" w:pos="720"/>
              </w:tabs>
              <w:rPr>
                <w:sz w:val="16"/>
                <w:lang w:val="en-US"/>
              </w:rPr>
            </w:pPr>
            <w:r>
              <w:rPr>
                <w:sz w:val="16"/>
                <w:lang w:val="en-US"/>
              </w:rPr>
              <w:t>Better practice approaches typically have a strategy around evaluations to appropriately prioritise and plan evaluations and make sure evaluation activities are proportional.</w:t>
            </w:r>
          </w:p>
          <w:p w14:paraId="67FE01F0" w14:textId="203C8D7C" w:rsidR="00D45A94" w:rsidRDefault="00D45A94" w:rsidP="00D45A94">
            <w:pPr>
              <w:pStyle w:val="DVABulletnoparaspace"/>
              <w:numPr>
                <w:ilvl w:val="0"/>
                <w:numId w:val="47"/>
              </w:numPr>
              <w:tabs>
                <w:tab w:val="left" w:pos="720"/>
              </w:tabs>
              <w:rPr>
                <w:sz w:val="16"/>
                <w:lang w:val="en-US"/>
              </w:rPr>
            </w:pPr>
            <w:r>
              <w:rPr>
                <w:sz w:val="16"/>
                <w:lang w:val="en-US"/>
              </w:rPr>
              <w:t xml:space="preserve">Evaluation </w:t>
            </w:r>
            <w:r>
              <w:rPr>
                <w:rFonts w:cs="Calibri"/>
                <w:color w:val="000000"/>
                <w:sz w:val="16"/>
                <w:lang w:val="en-US"/>
              </w:rPr>
              <w:t xml:space="preserve">activity must be robust, ethical and culturally appropriate </w:t>
            </w:r>
            <w:r>
              <w:rPr>
                <w:sz w:val="16"/>
                <w:lang w:val="en-US"/>
              </w:rPr>
              <w:t>– particularly with health programs where there may be sensitivities.</w:t>
            </w:r>
          </w:p>
          <w:p w14:paraId="169D4110" w14:textId="77777777" w:rsidR="00D45A94" w:rsidRDefault="00D45A94" w:rsidP="00D45A94">
            <w:pPr>
              <w:pStyle w:val="DVABulletnoparaspace"/>
              <w:numPr>
                <w:ilvl w:val="0"/>
                <w:numId w:val="47"/>
              </w:numPr>
              <w:tabs>
                <w:tab w:val="left" w:pos="720"/>
              </w:tabs>
              <w:rPr>
                <w:sz w:val="16"/>
                <w:lang w:val="en-US"/>
              </w:rPr>
            </w:pPr>
            <w:r>
              <w:rPr>
                <w:sz w:val="16"/>
                <w:lang w:val="en-US"/>
              </w:rPr>
              <w:t>Each program should have a monitoring and evaluation framework, this will allow the evaluator to take a risk-based approach to understanding which programs should be evaluated and how they should be evaluated.</w:t>
            </w:r>
          </w:p>
          <w:p w14:paraId="29D5B35E" w14:textId="4E0C9142" w:rsidR="00D45A94" w:rsidRDefault="00D45A94" w:rsidP="00D45A94">
            <w:pPr>
              <w:pStyle w:val="DVABulletnoparaspace"/>
              <w:numPr>
                <w:ilvl w:val="0"/>
                <w:numId w:val="47"/>
              </w:numPr>
              <w:tabs>
                <w:tab w:val="left" w:pos="720"/>
              </w:tabs>
              <w:rPr>
                <w:sz w:val="16"/>
                <w:lang w:val="en-US"/>
              </w:rPr>
            </w:pPr>
            <w:r>
              <w:rPr>
                <w:sz w:val="16"/>
                <w:lang w:val="en-US"/>
              </w:rPr>
              <w:t xml:space="preserve">Understanding where the risks lie in terms of programs will help </w:t>
            </w:r>
            <w:r>
              <w:rPr>
                <w:rFonts w:cs="Calibri"/>
                <w:color w:val="000000"/>
                <w:sz w:val="16"/>
                <w:lang w:val="en-US"/>
              </w:rPr>
              <w:t xml:space="preserve">to prioritise </w:t>
            </w:r>
            <w:r>
              <w:rPr>
                <w:sz w:val="16"/>
                <w:lang w:val="en-US"/>
              </w:rPr>
              <w:t>which programs need to be evaluated.</w:t>
            </w:r>
          </w:p>
          <w:p w14:paraId="064EEB9A" w14:textId="77777777" w:rsidR="00D45A94" w:rsidRDefault="00D45A94" w:rsidP="00D45A94">
            <w:pPr>
              <w:pStyle w:val="DVABulletnoparaspace"/>
              <w:numPr>
                <w:ilvl w:val="0"/>
                <w:numId w:val="47"/>
              </w:numPr>
              <w:tabs>
                <w:tab w:val="left" w:pos="720"/>
              </w:tabs>
              <w:rPr>
                <w:sz w:val="16"/>
                <w:lang w:val="en-US"/>
              </w:rPr>
            </w:pPr>
            <w:r>
              <w:rPr>
                <w:sz w:val="16"/>
                <w:lang w:val="en-US"/>
              </w:rPr>
              <w:t>It is important to understand existing administrative data, as this can be leveraged to support evaluations to drive continuous improvement. A data development agenda may also be needed to guide future collection of data so that it is available when needed.</w:t>
            </w:r>
          </w:p>
          <w:p w14:paraId="1CB12D3E" w14:textId="5FA83DCC" w:rsidR="00D45A94" w:rsidRDefault="00D45A94" w:rsidP="00D45A94">
            <w:pPr>
              <w:pStyle w:val="DVABulletnoparaspace"/>
              <w:numPr>
                <w:ilvl w:val="0"/>
                <w:numId w:val="47"/>
              </w:numPr>
              <w:tabs>
                <w:tab w:val="left" w:pos="720"/>
              </w:tabs>
              <w:rPr>
                <w:sz w:val="16"/>
                <w:lang w:val="en-US"/>
              </w:rPr>
            </w:pPr>
            <w:r>
              <w:rPr>
                <w:sz w:val="16"/>
                <w:lang w:val="en-US"/>
              </w:rPr>
              <w:t xml:space="preserve">Understand how evaluation findings can influence government </w:t>
            </w:r>
            <w:r>
              <w:rPr>
                <w:rFonts w:cs="Calibri"/>
                <w:color w:val="000000"/>
                <w:sz w:val="16"/>
                <w:lang w:val="en-US"/>
              </w:rPr>
              <w:t>decision-making and how this will impact internal decision making processes and use of resources</w:t>
            </w:r>
            <w:r>
              <w:rPr>
                <w:sz w:val="16"/>
                <w:lang w:val="en-US"/>
              </w:rPr>
              <w:t xml:space="preserve">. Prioritise and schedule evaluation </w:t>
            </w:r>
            <w:r>
              <w:rPr>
                <w:rFonts w:cs="Calibri"/>
                <w:color w:val="000000"/>
                <w:sz w:val="16"/>
                <w:lang w:val="en-US"/>
              </w:rPr>
              <w:t>activities to take account of the Budget and Cabinet timeframes to maximise opportunities for findings to be communicated in timely and influential ways</w:t>
            </w:r>
            <w:r>
              <w:rPr>
                <w:sz w:val="16"/>
                <w:lang w:val="en-US"/>
              </w:rPr>
              <w:t>.</w:t>
            </w:r>
          </w:p>
          <w:p w14:paraId="54216323" w14:textId="77777777" w:rsidR="00D45A94" w:rsidRDefault="00D45A94" w:rsidP="00D45A94">
            <w:pPr>
              <w:pStyle w:val="DVABulletnoparaspace"/>
              <w:numPr>
                <w:ilvl w:val="0"/>
                <w:numId w:val="47"/>
              </w:numPr>
              <w:tabs>
                <w:tab w:val="left" w:pos="720"/>
              </w:tabs>
              <w:rPr>
                <w:sz w:val="16"/>
                <w:lang w:val="en-US"/>
              </w:rPr>
            </w:pPr>
            <w:r>
              <w:rPr>
                <w:sz w:val="16"/>
                <w:lang w:val="en-US"/>
              </w:rPr>
              <w:t>Feedback loop is critical – evaluation findings need to be used in an effective way.</w:t>
            </w:r>
          </w:p>
        </w:tc>
      </w:tr>
      <w:tr w:rsidR="00D45A94" w14:paraId="0A70BDF4"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32CBDE2A" w14:textId="77777777" w:rsidR="00D45A94" w:rsidRDefault="00D45A94">
            <w:pPr>
              <w:pStyle w:val="DVABodytextwithparaspace"/>
              <w:spacing w:before="120" w:after="120"/>
              <w:rPr>
                <w:b/>
                <w:bCs/>
                <w:sz w:val="16"/>
                <w:szCs w:val="16"/>
                <w:lang w:val="en-US"/>
              </w:rPr>
            </w:pPr>
            <w:r>
              <w:rPr>
                <w:b/>
                <w:bCs/>
                <w:sz w:val="16"/>
                <w:szCs w:val="16"/>
                <w:lang w:val="en-US"/>
              </w:rPr>
              <w:t>Size and value of evaluations for different programs</w:t>
            </w:r>
          </w:p>
        </w:tc>
        <w:tc>
          <w:tcPr>
            <w:tcW w:w="7508" w:type="dxa"/>
            <w:gridSpan w:val="2"/>
            <w:tcBorders>
              <w:top w:val="single" w:sz="4" w:space="0" w:color="auto"/>
              <w:left w:val="single" w:sz="4" w:space="0" w:color="auto"/>
              <w:bottom w:val="single" w:sz="4" w:space="0" w:color="auto"/>
              <w:right w:val="single" w:sz="4" w:space="0" w:color="auto"/>
            </w:tcBorders>
            <w:hideMark/>
          </w:tcPr>
          <w:p w14:paraId="5216AF73" w14:textId="1A813E9C" w:rsidR="00D45A94" w:rsidRDefault="00D45A94" w:rsidP="00D45A94">
            <w:pPr>
              <w:pStyle w:val="DVABulletnoparaspace"/>
              <w:numPr>
                <w:ilvl w:val="0"/>
                <w:numId w:val="47"/>
              </w:numPr>
              <w:tabs>
                <w:tab w:val="left" w:pos="720"/>
              </w:tabs>
              <w:rPr>
                <w:sz w:val="16"/>
                <w:lang w:val="en-US"/>
              </w:rPr>
            </w:pPr>
            <w:r>
              <w:rPr>
                <w:sz w:val="16"/>
                <w:lang w:val="en-US"/>
              </w:rPr>
              <w:t xml:space="preserve">Some departments use a ‘rule of thumb’ approach to funding evaluations (for example, 5%), however, the Department of Finance </w:t>
            </w:r>
            <w:r w:rsidR="00504EDE" w:rsidRPr="00504EDE">
              <w:rPr>
                <w:sz w:val="16"/>
              </w:rPr>
              <w:t xml:space="preserve">(now Australian Centre for Evaluation) </w:t>
            </w:r>
            <w:r>
              <w:rPr>
                <w:sz w:val="16"/>
                <w:lang w:val="en-US"/>
              </w:rPr>
              <w:t>believes that evaluations need to be fit-for-purpose and a range of factors are relevant to influencing the cost of an evaluation.</w:t>
            </w:r>
          </w:p>
          <w:p w14:paraId="4B559F7A" w14:textId="77777777" w:rsidR="00D45A94" w:rsidRDefault="00D45A94" w:rsidP="00D45A94">
            <w:pPr>
              <w:pStyle w:val="DVABulletnoparaspace"/>
              <w:numPr>
                <w:ilvl w:val="0"/>
                <w:numId w:val="47"/>
              </w:numPr>
              <w:tabs>
                <w:tab w:val="left" w:pos="720"/>
              </w:tabs>
              <w:rPr>
                <w:sz w:val="16"/>
                <w:lang w:val="en-US"/>
              </w:rPr>
            </w:pPr>
            <w:r>
              <w:rPr>
                <w:sz w:val="16"/>
                <w:lang w:val="en-US"/>
              </w:rPr>
              <w:t>Availability of data are a factor in the cost of an evaluation – some programs have administrative systems in place that collect a significant amount of data already, which needs to be accounted for in the cost of the evaluation.</w:t>
            </w:r>
          </w:p>
          <w:p w14:paraId="2ED3D6D9" w14:textId="7DEC2EC4" w:rsidR="00D45A94" w:rsidRDefault="00D45A94" w:rsidP="00D45A94">
            <w:pPr>
              <w:pStyle w:val="DVABulletnoparaspace"/>
              <w:numPr>
                <w:ilvl w:val="0"/>
                <w:numId w:val="47"/>
              </w:numPr>
              <w:tabs>
                <w:tab w:val="left" w:pos="720"/>
              </w:tabs>
              <w:rPr>
                <w:sz w:val="16"/>
                <w:lang w:val="en-US"/>
              </w:rPr>
            </w:pPr>
            <w:r>
              <w:rPr>
                <w:sz w:val="16"/>
                <w:lang w:val="en-US"/>
              </w:rPr>
              <w:t xml:space="preserve">Different programs differ in cost to run, and the level of risk also differs – a rule of thumb approach may not be sufficient for programs that are inexpensive to run but </w:t>
            </w:r>
            <w:r>
              <w:rPr>
                <w:rFonts w:cs="Calibri"/>
                <w:color w:val="000000"/>
                <w:sz w:val="16"/>
                <w:lang w:val="en-US"/>
              </w:rPr>
              <w:t xml:space="preserve">a high risk profile </w:t>
            </w:r>
            <w:r>
              <w:rPr>
                <w:sz w:val="16"/>
                <w:lang w:val="en-US"/>
              </w:rPr>
              <w:t>– these evaluations may be more expensive proportionally as they need to investigate whether the program is delivering what is expected.</w:t>
            </w:r>
          </w:p>
          <w:p w14:paraId="0FE62045" w14:textId="68CB013F" w:rsidR="00D45A94" w:rsidRDefault="00D45A94" w:rsidP="00D45A94">
            <w:pPr>
              <w:pStyle w:val="DVABulletnoparaspace"/>
              <w:numPr>
                <w:ilvl w:val="0"/>
                <w:numId w:val="47"/>
              </w:numPr>
              <w:tabs>
                <w:tab w:val="left" w:pos="720"/>
              </w:tabs>
              <w:rPr>
                <w:sz w:val="16"/>
                <w:lang w:val="en-US"/>
              </w:rPr>
            </w:pPr>
            <w:r>
              <w:rPr>
                <w:sz w:val="16"/>
                <w:lang w:val="en-US"/>
              </w:rPr>
              <w:t xml:space="preserve">Evaluation </w:t>
            </w:r>
            <w:r>
              <w:rPr>
                <w:rFonts w:cs="Calibri"/>
                <w:color w:val="000000"/>
                <w:sz w:val="16"/>
                <w:lang w:val="en-US"/>
              </w:rPr>
              <w:t xml:space="preserve">is one </w:t>
            </w:r>
            <w:r>
              <w:rPr>
                <w:sz w:val="16"/>
                <w:lang w:val="en-US"/>
              </w:rPr>
              <w:t>aspect of a broader set of assurance mechanisms.</w:t>
            </w:r>
          </w:p>
        </w:tc>
      </w:tr>
      <w:tr w:rsidR="00D45A94" w14:paraId="4FB7D6AC"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2233E6AD" w14:textId="77777777" w:rsidR="00D45A94" w:rsidRDefault="00D45A94">
            <w:pPr>
              <w:pStyle w:val="DVABodytextwithparaspace"/>
              <w:spacing w:before="120" w:after="120"/>
              <w:rPr>
                <w:b/>
                <w:bCs/>
                <w:sz w:val="16"/>
                <w:szCs w:val="16"/>
                <w:lang w:val="en-US"/>
              </w:rPr>
            </w:pPr>
            <w:r>
              <w:rPr>
                <w:b/>
                <w:bCs/>
                <w:sz w:val="16"/>
                <w:szCs w:val="16"/>
                <w:lang w:val="en-US"/>
              </w:rPr>
              <w:t>Type of data to use</w:t>
            </w:r>
          </w:p>
        </w:tc>
        <w:tc>
          <w:tcPr>
            <w:tcW w:w="7508" w:type="dxa"/>
            <w:gridSpan w:val="2"/>
            <w:tcBorders>
              <w:top w:val="single" w:sz="4" w:space="0" w:color="auto"/>
              <w:left w:val="single" w:sz="4" w:space="0" w:color="auto"/>
              <w:bottom w:val="single" w:sz="4" w:space="0" w:color="auto"/>
              <w:right w:val="single" w:sz="4" w:space="0" w:color="auto"/>
            </w:tcBorders>
            <w:hideMark/>
          </w:tcPr>
          <w:p w14:paraId="3C2534B1" w14:textId="4EFBCB64" w:rsidR="00D45A94" w:rsidRDefault="00D45A94" w:rsidP="00D45A94">
            <w:pPr>
              <w:pStyle w:val="DVABulletnoparaspace"/>
              <w:numPr>
                <w:ilvl w:val="0"/>
                <w:numId w:val="47"/>
              </w:numPr>
              <w:tabs>
                <w:tab w:val="left" w:pos="720"/>
              </w:tabs>
              <w:rPr>
                <w:sz w:val="16"/>
                <w:lang w:val="en-US"/>
              </w:rPr>
            </w:pPr>
            <w:r>
              <w:rPr>
                <w:sz w:val="16"/>
                <w:lang w:val="en-US"/>
              </w:rPr>
              <w:t>A mixed methods approach to data is ideal.</w:t>
            </w:r>
          </w:p>
          <w:p w14:paraId="7A634CD4" w14:textId="77777777" w:rsidR="00D45A94" w:rsidRDefault="00D45A94" w:rsidP="00D45A94">
            <w:pPr>
              <w:pStyle w:val="DVABulletnoparaspace"/>
              <w:numPr>
                <w:ilvl w:val="0"/>
                <w:numId w:val="47"/>
              </w:numPr>
              <w:tabs>
                <w:tab w:val="left" w:pos="720"/>
              </w:tabs>
              <w:rPr>
                <w:sz w:val="16"/>
                <w:lang w:val="en-US"/>
              </w:rPr>
            </w:pPr>
            <w:r>
              <w:rPr>
                <w:sz w:val="16"/>
                <w:lang w:val="en-US"/>
              </w:rPr>
              <w:t>Quantitative data from administrative systems are important but do not tell the whole picture.</w:t>
            </w:r>
          </w:p>
          <w:p w14:paraId="4E875BBF" w14:textId="2CB69EAF" w:rsidR="00D45A94" w:rsidRDefault="00D45A94" w:rsidP="00D45A94">
            <w:pPr>
              <w:pStyle w:val="DVABulletnoparaspace"/>
              <w:numPr>
                <w:ilvl w:val="0"/>
                <w:numId w:val="47"/>
              </w:numPr>
              <w:tabs>
                <w:tab w:val="left" w:pos="720"/>
              </w:tabs>
              <w:rPr>
                <w:sz w:val="16"/>
                <w:lang w:val="en-US"/>
              </w:rPr>
            </w:pPr>
            <w:r>
              <w:rPr>
                <w:sz w:val="16"/>
                <w:lang w:val="en-US"/>
              </w:rPr>
              <w:t xml:space="preserve">Qualitative lived experience is </w:t>
            </w:r>
            <w:r>
              <w:rPr>
                <w:rFonts w:cs="Calibri"/>
                <w:color w:val="000000"/>
                <w:sz w:val="16"/>
                <w:lang w:val="en-US"/>
              </w:rPr>
              <w:t xml:space="preserve">equally valid </w:t>
            </w:r>
            <w:r>
              <w:rPr>
                <w:sz w:val="16"/>
                <w:lang w:val="en-US"/>
              </w:rPr>
              <w:t>as quantitative data.</w:t>
            </w:r>
          </w:p>
          <w:p w14:paraId="39D79C9B" w14:textId="77777777" w:rsidR="00D45A94" w:rsidRDefault="00D45A94" w:rsidP="00D45A94">
            <w:pPr>
              <w:pStyle w:val="DVABulletnoparaspace"/>
              <w:numPr>
                <w:ilvl w:val="0"/>
                <w:numId w:val="47"/>
              </w:numPr>
              <w:tabs>
                <w:tab w:val="left" w:pos="720"/>
              </w:tabs>
              <w:rPr>
                <w:sz w:val="16"/>
                <w:lang w:val="en-US"/>
              </w:rPr>
            </w:pPr>
            <w:r>
              <w:rPr>
                <w:sz w:val="16"/>
                <w:lang w:val="en-US"/>
              </w:rPr>
              <w:t>The content and context of data are equally important – for example, the environmental context of programs delivered during COVID-19 needs to be considered.</w:t>
            </w:r>
          </w:p>
          <w:p w14:paraId="1F9FC791" w14:textId="77777777" w:rsidR="00D45A94" w:rsidRDefault="00D45A94" w:rsidP="00D45A94">
            <w:pPr>
              <w:pStyle w:val="DVABulletnoparaspace"/>
              <w:numPr>
                <w:ilvl w:val="0"/>
                <w:numId w:val="47"/>
              </w:numPr>
              <w:tabs>
                <w:tab w:val="left" w:pos="720"/>
              </w:tabs>
              <w:rPr>
                <w:sz w:val="16"/>
                <w:lang w:val="en-US"/>
              </w:rPr>
            </w:pPr>
            <w:r>
              <w:rPr>
                <w:sz w:val="16"/>
                <w:lang w:val="en-US"/>
              </w:rPr>
              <w:t>Qualitative data enables the evaluator to tell a powerful story which makes an evaluation more influential – one of the important goals of evaluations is to influence decision making.</w:t>
            </w:r>
          </w:p>
        </w:tc>
      </w:tr>
      <w:tr w:rsidR="00D45A94" w14:paraId="434FFB53"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5AB36BE2" w14:textId="77777777" w:rsidR="00D45A94" w:rsidRDefault="00D45A94">
            <w:pPr>
              <w:pStyle w:val="DVABodytextwithparaspace"/>
              <w:spacing w:before="120" w:after="120"/>
              <w:rPr>
                <w:b/>
                <w:bCs/>
                <w:sz w:val="16"/>
                <w:szCs w:val="16"/>
                <w:lang w:val="en-US"/>
              </w:rPr>
            </w:pPr>
            <w:r>
              <w:rPr>
                <w:b/>
                <w:bCs/>
                <w:sz w:val="16"/>
                <w:szCs w:val="16"/>
                <w:lang w:val="en-US"/>
              </w:rPr>
              <w:t>Types of evaluations</w:t>
            </w:r>
          </w:p>
        </w:tc>
        <w:tc>
          <w:tcPr>
            <w:tcW w:w="7508" w:type="dxa"/>
            <w:gridSpan w:val="2"/>
            <w:tcBorders>
              <w:top w:val="single" w:sz="4" w:space="0" w:color="auto"/>
              <w:left w:val="single" w:sz="4" w:space="0" w:color="auto"/>
              <w:bottom w:val="single" w:sz="4" w:space="0" w:color="auto"/>
              <w:right w:val="single" w:sz="4" w:space="0" w:color="auto"/>
            </w:tcBorders>
            <w:hideMark/>
          </w:tcPr>
          <w:p w14:paraId="303EB06B" w14:textId="77777777" w:rsidR="00D45A94" w:rsidRDefault="00D45A94" w:rsidP="00D45A94">
            <w:pPr>
              <w:pStyle w:val="DVABulletnoparaspace"/>
              <w:numPr>
                <w:ilvl w:val="0"/>
                <w:numId w:val="47"/>
              </w:numPr>
              <w:tabs>
                <w:tab w:val="left" w:pos="720"/>
              </w:tabs>
              <w:rPr>
                <w:sz w:val="16"/>
                <w:lang w:val="en-US"/>
              </w:rPr>
            </w:pPr>
            <w:r>
              <w:rPr>
                <w:sz w:val="16"/>
                <w:lang w:val="en-US"/>
              </w:rPr>
              <w:t>The type of evaluation to run is dependent on where a program is in its program lifecycle.</w:t>
            </w:r>
          </w:p>
          <w:p w14:paraId="7002C140" w14:textId="77777777" w:rsidR="00D45A94" w:rsidRDefault="00D45A94" w:rsidP="00D45A94">
            <w:pPr>
              <w:pStyle w:val="DVABulletnoparaspace"/>
              <w:numPr>
                <w:ilvl w:val="0"/>
                <w:numId w:val="47"/>
              </w:numPr>
              <w:tabs>
                <w:tab w:val="left" w:pos="720"/>
              </w:tabs>
              <w:rPr>
                <w:sz w:val="16"/>
                <w:lang w:val="en-US"/>
              </w:rPr>
            </w:pPr>
            <w:r>
              <w:rPr>
                <w:sz w:val="16"/>
                <w:lang w:val="en-US"/>
              </w:rPr>
              <w:t>As most DVA programs have been in place for a long time, impact evaluations would be more relevant, or, DVA could potentially revisit some formative evaluations to see if there were any issues during implementation of programs.</w:t>
            </w:r>
          </w:p>
          <w:p w14:paraId="34BC9FEC" w14:textId="77777777" w:rsidR="00D45A94" w:rsidRDefault="00D45A94" w:rsidP="00D45A94">
            <w:pPr>
              <w:pStyle w:val="DVABulletnoparaspace"/>
              <w:numPr>
                <w:ilvl w:val="0"/>
                <w:numId w:val="47"/>
              </w:numPr>
              <w:tabs>
                <w:tab w:val="left" w:pos="720"/>
              </w:tabs>
              <w:rPr>
                <w:sz w:val="16"/>
                <w:lang w:val="en-US"/>
              </w:rPr>
            </w:pPr>
            <w:r>
              <w:rPr>
                <w:sz w:val="16"/>
                <w:lang w:val="en-US"/>
              </w:rPr>
              <w:t>Important to understand the aim of the evaluation – need to ensure that you are conducting a program level evaluation to understand population level outcomes – this has been a challenge of previous evaluations where evaluators expect the evaluation to answer high level questions, when the program is only a part of that.</w:t>
            </w:r>
          </w:p>
        </w:tc>
      </w:tr>
      <w:tr w:rsidR="00D45A94" w14:paraId="689C4F45"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6E6969C7" w14:textId="77777777" w:rsidR="00D45A94" w:rsidRDefault="00D45A94">
            <w:pPr>
              <w:pStyle w:val="DVABodytextwithparaspace"/>
              <w:spacing w:before="120" w:after="120"/>
              <w:rPr>
                <w:b/>
                <w:bCs/>
                <w:sz w:val="16"/>
                <w:szCs w:val="16"/>
                <w:lang w:val="en-US"/>
              </w:rPr>
            </w:pPr>
            <w:r>
              <w:rPr>
                <w:b/>
                <w:bCs/>
                <w:sz w:val="16"/>
                <w:szCs w:val="16"/>
                <w:lang w:val="en-US"/>
              </w:rPr>
              <w:t>Time to see evaluation impacts</w:t>
            </w:r>
          </w:p>
        </w:tc>
        <w:tc>
          <w:tcPr>
            <w:tcW w:w="7508" w:type="dxa"/>
            <w:gridSpan w:val="2"/>
            <w:tcBorders>
              <w:top w:val="single" w:sz="4" w:space="0" w:color="auto"/>
              <w:left w:val="single" w:sz="4" w:space="0" w:color="auto"/>
              <w:bottom w:val="single" w:sz="4" w:space="0" w:color="auto"/>
              <w:right w:val="single" w:sz="4" w:space="0" w:color="auto"/>
            </w:tcBorders>
            <w:hideMark/>
          </w:tcPr>
          <w:p w14:paraId="5D0BF432" w14:textId="77777777" w:rsidR="00D45A94" w:rsidRDefault="00D45A94" w:rsidP="00D45A94">
            <w:pPr>
              <w:pStyle w:val="DVABulletnoparaspace"/>
              <w:numPr>
                <w:ilvl w:val="0"/>
                <w:numId w:val="47"/>
              </w:numPr>
              <w:tabs>
                <w:tab w:val="left" w:pos="720"/>
              </w:tabs>
              <w:rPr>
                <w:sz w:val="16"/>
                <w:lang w:val="en-US"/>
              </w:rPr>
            </w:pPr>
            <w:r>
              <w:rPr>
                <w:sz w:val="16"/>
                <w:lang w:val="en-US"/>
              </w:rPr>
              <w:t xml:space="preserve">6 months into a program is the first ‘early attention point’ where there are indicators whether an investment in a particular area is on track to deliver the desired benefits – it is important to be realistic about the extent that this can show, as mental health </w:t>
            </w:r>
            <w:r>
              <w:rPr>
                <w:rFonts w:cs="Calibri"/>
                <w:color w:val="000000"/>
                <w:sz w:val="16"/>
                <w:lang w:val="en-US"/>
              </w:rPr>
              <w:t xml:space="preserve">programs, for example, can </w:t>
            </w:r>
            <w:r>
              <w:rPr>
                <w:sz w:val="16"/>
                <w:lang w:val="en-US"/>
              </w:rPr>
              <w:t>take multiple years before benefits can be fully visible.</w:t>
            </w:r>
          </w:p>
          <w:p w14:paraId="2EA41A93" w14:textId="77777777" w:rsidR="00D45A94" w:rsidRDefault="00D45A94" w:rsidP="00D45A94">
            <w:pPr>
              <w:pStyle w:val="DVABulletnoparaspace"/>
              <w:numPr>
                <w:ilvl w:val="0"/>
                <w:numId w:val="47"/>
              </w:numPr>
              <w:tabs>
                <w:tab w:val="left" w:pos="720"/>
              </w:tabs>
              <w:rPr>
                <w:sz w:val="16"/>
                <w:lang w:val="en-US"/>
              </w:rPr>
            </w:pPr>
            <w:r>
              <w:rPr>
                <w:sz w:val="16"/>
                <w:lang w:val="en-US"/>
              </w:rPr>
              <w:t>There is an opportunity to leverage learnings from across jurisdictions, including both nationally and internationally to understand benchmarks for timeframes for different programs.</w:t>
            </w:r>
          </w:p>
        </w:tc>
      </w:tr>
      <w:tr w:rsidR="00D45A94" w14:paraId="2F345692" w14:textId="77777777" w:rsidTr="00D45A94">
        <w:tc>
          <w:tcPr>
            <w:tcW w:w="1555" w:type="dxa"/>
            <w:tcBorders>
              <w:top w:val="single" w:sz="4" w:space="0" w:color="auto"/>
              <w:left w:val="single" w:sz="4" w:space="0" w:color="auto"/>
              <w:bottom w:val="single" w:sz="4" w:space="0" w:color="auto"/>
              <w:right w:val="single" w:sz="4" w:space="0" w:color="auto"/>
            </w:tcBorders>
            <w:shd w:val="clear" w:color="auto" w:fill="CDCDCD"/>
            <w:hideMark/>
          </w:tcPr>
          <w:p w14:paraId="4F99EA0D" w14:textId="77777777" w:rsidR="00D45A94" w:rsidRDefault="00D45A94">
            <w:pPr>
              <w:pStyle w:val="DVABodytextwithparaspace"/>
              <w:spacing w:before="120" w:after="120"/>
              <w:rPr>
                <w:b/>
                <w:bCs/>
                <w:sz w:val="16"/>
                <w:szCs w:val="16"/>
                <w:lang w:val="en-US"/>
              </w:rPr>
            </w:pPr>
            <w:r>
              <w:rPr>
                <w:b/>
                <w:bCs/>
                <w:sz w:val="16"/>
                <w:szCs w:val="16"/>
                <w:lang w:val="en-US"/>
              </w:rPr>
              <w:t>Change in evaluation practices over time</w:t>
            </w:r>
          </w:p>
        </w:tc>
        <w:tc>
          <w:tcPr>
            <w:tcW w:w="7508" w:type="dxa"/>
            <w:gridSpan w:val="2"/>
            <w:tcBorders>
              <w:top w:val="single" w:sz="4" w:space="0" w:color="auto"/>
              <w:left w:val="single" w:sz="4" w:space="0" w:color="auto"/>
              <w:bottom w:val="single" w:sz="4" w:space="0" w:color="auto"/>
              <w:right w:val="single" w:sz="4" w:space="0" w:color="auto"/>
            </w:tcBorders>
            <w:hideMark/>
          </w:tcPr>
          <w:p w14:paraId="5EB4C259" w14:textId="74F273DE" w:rsidR="00D45A94" w:rsidRDefault="00D45A94" w:rsidP="00D45A94">
            <w:pPr>
              <w:pStyle w:val="DVABulletnoparaspace"/>
              <w:numPr>
                <w:ilvl w:val="0"/>
                <w:numId w:val="47"/>
              </w:numPr>
              <w:tabs>
                <w:tab w:val="left" w:pos="720"/>
              </w:tabs>
              <w:rPr>
                <w:sz w:val="16"/>
                <w:lang w:val="en-US"/>
              </w:rPr>
            </w:pPr>
            <w:r>
              <w:rPr>
                <w:sz w:val="16"/>
                <w:lang w:val="en-US"/>
              </w:rPr>
              <w:t>The APS Review found evaluation practices over the last few decades have declined.</w:t>
            </w:r>
          </w:p>
          <w:p w14:paraId="5790B110" w14:textId="24133BAB" w:rsidR="00D45A94" w:rsidRDefault="00D45A94" w:rsidP="00D45A94">
            <w:pPr>
              <w:pStyle w:val="DVABulletnoparaspace"/>
              <w:numPr>
                <w:ilvl w:val="0"/>
                <w:numId w:val="47"/>
              </w:numPr>
              <w:tabs>
                <w:tab w:val="left" w:pos="720"/>
              </w:tabs>
              <w:rPr>
                <w:sz w:val="16"/>
                <w:lang w:val="en-US"/>
              </w:rPr>
            </w:pPr>
            <w:r>
              <w:rPr>
                <w:sz w:val="16"/>
                <w:lang w:val="en-US"/>
              </w:rPr>
              <w:t>The Review indicated that at a Commonwealth level, few organisations had retained evaluation expertise and a lot of external providers have been used to fill skills gaps in evaluation.</w:t>
            </w:r>
          </w:p>
          <w:p w14:paraId="64E59FC2" w14:textId="6EC64BF2" w:rsidR="00D45A94" w:rsidRDefault="00D45A94" w:rsidP="00D45A94">
            <w:pPr>
              <w:pStyle w:val="DVABulletnoparaspace"/>
              <w:numPr>
                <w:ilvl w:val="0"/>
                <w:numId w:val="47"/>
              </w:numPr>
              <w:tabs>
                <w:tab w:val="left" w:pos="720"/>
              </w:tabs>
              <w:rPr>
                <w:sz w:val="16"/>
                <w:lang w:val="en-US"/>
              </w:rPr>
            </w:pPr>
            <w:r>
              <w:rPr>
                <w:sz w:val="16"/>
                <w:lang w:val="en-US"/>
              </w:rPr>
              <w:t xml:space="preserve">The Commonwealth is at the beginning of a long change journey to rebuild evaluation </w:t>
            </w:r>
            <w:r>
              <w:rPr>
                <w:rFonts w:cs="Calibri"/>
                <w:color w:val="000000"/>
                <w:sz w:val="16"/>
                <w:lang w:val="en-US"/>
              </w:rPr>
              <w:t>capability across the APS</w:t>
            </w:r>
            <w:r>
              <w:rPr>
                <w:sz w:val="16"/>
                <w:lang w:val="en-US"/>
              </w:rPr>
              <w:t>.</w:t>
            </w:r>
          </w:p>
          <w:p w14:paraId="582EB35C" w14:textId="485C7D32" w:rsidR="00D45A94" w:rsidRDefault="00D45A94" w:rsidP="00D45A94">
            <w:pPr>
              <w:pStyle w:val="DVABulletnoparaspace"/>
              <w:numPr>
                <w:ilvl w:val="0"/>
                <w:numId w:val="47"/>
              </w:numPr>
              <w:tabs>
                <w:tab w:val="left" w:pos="720"/>
              </w:tabs>
              <w:rPr>
                <w:sz w:val="16"/>
                <w:lang w:val="en-US"/>
              </w:rPr>
            </w:pPr>
            <w:r>
              <w:rPr>
                <w:sz w:val="16"/>
                <w:lang w:val="en-US"/>
              </w:rPr>
              <w:t xml:space="preserve">There is a move </w:t>
            </w:r>
            <w:r>
              <w:rPr>
                <w:rFonts w:cs="Calibri"/>
                <w:color w:val="000000"/>
                <w:sz w:val="16"/>
                <w:lang w:val="en-US"/>
              </w:rPr>
              <w:t>from past approaches where evaluations were seen as a ‘</w:t>
            </w:r>
            <w:r>
              <w:rPr>
                <w:sz w:val="16"/>
                <w:lang w:val="en-US"/>
              </w:rPr>
              <w:t>tick and flick’ exercise towards a continuous improvement approach.</w:t>
            </w:r>
          </w:p>
          <w:p w14:paraId="12A3C11E" w14:textId="1F3BD1CA" w:rsidR="00D45A94" w:rsidRDefault="00D45A94" w:rsidP="00D45A94">
            <w:pPr>
              <w:pStyle w:val="DVABulletnoparaspace"/>
              <w:numPr>
                <w:ilvl w:val="0"/>
                <w:numId w:val="47"/>
              </w:numPr>
              <w:tabs>
                <w:tab w:val="left" w:pos="720"/>
              </w:tabs>
              <w:rPr>
                <w:sz w:val="16"/>
                <w:lang w:val="en-US"/>
              </w:rPr>
            </w:pPr>
            <w:r>
              <w:rPr>
                <w:sz w:val="16"/>
                <w:lang w:val="en-US"/>
              </w:rPr>
              <w:t xml:space="preserve">Evaluations need to be seen as </w:t>
            </w:r>
            <w:r>
              <w:rPr>
                <w:rFonts w:cs="Calibri"/>
                <w:color w:val="000000"/>
                <w:sz w:val="16"/>
                <w:lang w:val="en-US"/>
              </w:rPr>
              <w:t xml:space="preserve">a constructive part of organisational learning processes </w:t>
            </w:r>
            <w:r>
              <w:rPr>
                <w:sz w:val="16"/>
                <w:lang w:val="en-US"/>
              </w:rPr>
              <w:t>– a culture change needs to happen to help people understand that evaluations are an integral part of performance management and effective program delivery.</w:t>
            </w:r>
          </w:p>
        </w:tc>
      </w:tr>
    </w:tbl>
    <w:p w14:paraId="2826EEBE" w14:textId="77777777" w:rsidR="00E7021A" w:rsidRPr="009846BC" w:rsidRDefault="00E7021A" w:rsidP="009846BC">
      <w:pPr>
        <w:spacing w:after="0" w:line="240" w:lineRule="auto"/>
        <w:rPr>
          <w:sz w:val="10"/>
        </w:rPr>
      </w:pPr>
    </w:p>
    <w:sectPr w:rsidR="00E7021A" w:rsidRPr="009846BC" w:rsidSect="00BA720D">
      <w:headerReference w:type="default" r:id="rId34"/>
      <w:footerReference w:type="default" r:id="rId35"/>
      <w:headerReference w:type="first" r:id="rId36"/>
      <w:pgSz w:w="11907" w:h="16839" w:code="9"/>
      <w:pgMar w:top="1985" w:right="1134" w:bottom="1418" w:left="1134" w:header="595"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459D" w14:textId="77777777" w:rsidR="00CD6CF1" w:rsidRDefault="00CD6CF1" w:rsidP="005F5C2D">
      <w:r>
        <w:separator/>
      </w:r>
    </w:p>
  </w:endnote>
  <w:endnote w:type="continuationSeparator" w:id="0">
    <w:p w14:paraId="50D3B981" w14:textId="77777777" w:rsidR="00CD6CF1" w:rsidRDefault="00CD6CF1" w:rsidP="005F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YInterstate Regular">
    <w:altName w:val="Corbel"/>
    <w:charset w:val="00"/>
    <w:family w:val="auto"/>
    <w:pitch w:val="variable"/>
    <w:sig w:usb0="800002AF" w:usb1="5000204A"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0551" w14:textId="77777777" w:rsidR="00B87903" w:rsidRDefault="00B87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8899" w14:textId="77777777" w:rsidR="00B87903" w:rsidRDefault="00B87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89BAA" w14:textId="77777777" w:rsidR="00B87903" w:rsidRDefault="00B879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45B9D" w14:textId="5F84EEB9" w:rsidR="00B87903" w:rsidRPr="00094D83" w:rsidRDefault="00B87903" w:rsidP="007B557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817E" w14:textId="77777777" w:rsidR="00B87903" w:rsidRDefault="00B87903" w:rsidP="00072D61">
    <w:pPr>
      <w:pStyle w:val="Footer"/>
    </w:pPr>
  </w:p>
  <w:p w14:paraId="5D4BAB58" w14:textId="77777777" w:rsidR="00B87903" w:rsidRPr="00AB3299" w:rsidRDefault="00B87903" w:rsidP="002436FA">
    <w:pPr>
      <w:pStyle w:val="Footer"/>
      <w:tabs>
        <w:tab w:val="left" w:pos="5823"/>
      </w:tabs>
      <w:rPr>
        <w:b/>
        <w:sz w:val="18"/>
      </w:rPr>
    </w:pPr>
    <w:r>
      <w:rPr>
        <w:b/>
        <w:sz w:val="18"/>
      </w:rPr>
      <w:tab/>
    </w: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E518E" w14:textId="77777777" w:rsidR="00CD6CF1" w:rsidRDefault="00CD6CF1" w:rsidP="005F5C2D">
      <w:r>
        <w:separator/>
      </w:r>
    </w:p>
  </w:footnote>
  <w:footnote w:type="continuationSeparator" w:id="0">
    <w:p w14:paraId="69775595" w14:textId="77777777" w:rsidR="00CD6CF1" w:rsidRDefault="00CD6CF1" w:rsidP="005F5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62A59" w14:textId="77777777" w:rsidR="00B87903" w:rsidRDefault="00B87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6F55" w14:textId="320B31AE" w:rsidR="00B87903" w:rsidRPr="00990CBB" w:rsidRDefault="00B87903">
    <w:pPr>
      <w:pStyle w:val="Header"/>
      <w:jc w:val="right"/>
      <w:rPr>
        <w:rFonts w:cstheme="minorHAnsi"/>
        <w:sz w:val="12"/>
        <w:szCs w:val="12"/>
      </w:rPr>
    </w:pPr>
    <w:r>
      <w:rPr>
        <w:noProof/>
        <w:lang w:val="en-AU" w:eastAsia="en-AU"/>
      </w:rPr>
      <w:drawing>
        <wp:anchor distT="0" distB="0" distL="114300" distR="114300" simplePos="0" relativeHeight="251661312" behindDoc="1" locked="0" layoutInCell="1" allowOverlap="1" wp14:anchorId="2C47280D" wp14:editId="4614AABE">
          <wp:simplePos x="0" y="0"/>
          <wp:positionH relativeFrom="page">
            <wp:align>right</wp:align>
          </wp:positionH>
          <wp:positionV relativeFrom="paragraph">
            <wp:posOffset>-457200</wp:posOffset>
          </wp:positionV>
          <wp:extent cx="7550785" cy="106851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5145"/>
                  </a:xfrm>
                  <a:prstGeom prst="rect">
                    <a:avLst/>
                  </a:prstGeom>
                </pic:spPr>
              </pic:pic>
            </a:graphicData>
          </a:graphic>
          <wp14:sizeRelH relativeFrom="page">
            <wp14:pctWidth>0</wp14:pctWidth>
          </wp14:sizeRelH>
          <wp14:sizeRelV relativeFrom="page">
            <wp14:pctHeight>0</wp14:pctHeight>
          </wp14:sizeRelV>
        </wp:anchor>
      </w:drawing>
    </w:r>
    <w:sdt>
      <w:sdtPr>
        <w:id w:val="-1583831251"/>
        <w:docPartObj>
          <w:docPartGallery w:val="Page Numbers (Top of Page)"/>
          <w:docPartUnique/>
        </w:docPartObj>
      </w:sdtPr>
      <w:sdtEndPr>
        <w:rPr>
          <w:rFonts w:cstheme="minorHAnsi"/>
          <w:noProof/>
          <w:sz w:val="12"/>
          <w:szCs w:val="12"/>
        </w:rPr>
      </w:sdtEndPr>
      <w:sdtContent>
        <w:r w:rsidRPr="00990CBB">
          <w:rPr>
            <w:rFonts w:cstheme="minorHAnsi"/>
            <w:sz w:val="12"/>
            <w:szCs w:val="12"/>
          </w:rPr>
          <w:fldChar w:fldCharType="begin"/>
        </w:r>
        <w:r w:rsidRPr="00990CBB">
          <w:rPr>
            <w:rFonts w:cstheme="minorHAnsi"/>
            <w:sz w:val="12"/>
            <w:szCs w:val="12"/>
          </w:rPr>
          <w:instrText xml:space="preserve"> PAGE   \* MERGEFORMAT </w:instrText>
        </w:r>
        <w:r w:rsidRPr="00990CBB">
          <w:rPr>
            <w:rFonts w:cstheme="minorHAnsi"/>
            <w:sz w:val="12"/>
            <w:szCs w:val="12"/>
          </w:rPr>
          <w:fldChar w:fldCharType="separate"/>
        </w:r>
        <w:r w:rsidR="00D657CC">
          <w:rPr>
            <w:rFonts w:cstheme="minorHAnsi"/>
            <w:noProof/>
            <w:sz w:val="12"/>
            <w:szCs w:val="12"/>
          </w:rPr>
          <w:t>23</w:t>
        </w:r>
        <w:r w:rsidRPr="00990CBB">
          <w:rPr>
            <w:rFonts w:cstheme="minorHAnsi"/>
            <w:noProof/>
            <w:sz w:val="12"/>
            <w:szCs w:val="12"/>
          </w:rPr>
          <w:fldChar w:fldCharType="end"/>
        </w:r>
      </w:sdtContent>
    </w:sdt>
  </w:p>
  <w:p w14:paraId="00A3CC93" w14:textId="1B8A41E2" w:rsidR="00B87903" w:rsidRPr="00E462BE" w:rsidRDefault="00B87903" w:rsidP="007B557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93708" w14:textId="41BC5DBE" w:rsidR="00B87903" w:rsidRDefault="00B87903">
    <w:pPr>
      <w:pStyle w:val="Header"/>
    </w:pPr>
    <w:r>
      <w:rPr>
        <w:noProof/>
        <w:lang w:val="en-AU" w:eastAsia="en-AU"/>
      </w:rPr>
      <w:drawing>
        <wp:anchor distT="0" distB="0" distL="114300" distR="114300" simplePos="0" relativeHeight="251659264" behindDoc="1" locked="0" layoutInCell="1" allowOverlap="1" wp14:anchorId="72652AC5" wp14:editId="72283B19">
          <wp:simplePos x="0" y="0"/>
          <wp:positionH relativeFrom="page">
            <wp:align>right</wp:align>
          </wp:positionH>
          <wp:positionV relativeFrom="paragraph">
            <wp:posOffset>-461645</wp:posOffset>
          </wp:positionV>
          <wp:extent cx="7550774" cy="10685298"/>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_A4 Portrait.png"/>
                  <pic:cNvPicPr/>
                </pic:nvPicPr>
                <pic:blipFill>
                  <a:blip r:embed="rId1">
                    <a:extLst>
                      <a:ext uri="{28A0092B-C50C-407E-A947-70E740481C1C}">
                        <a14:useLocalDpi xmlns:a14="http://schemas.microsoft.com/office/drawing/2010/main" val="0"/>
                      </a:ext>
                    </a:extLst>
                  </a:blip>
                  <a:stretch>
                    <a:fillRect/>
                  </a:stretch>
                </pic:blipFill>
                <pic:spPr>
                  <a:xfrm>
                    <a:off x="0" y="0"/>
                    <a:ext cx="7550774" cy="106852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9E2D7" w14:textId="5B54A208" w:rsidR="00B87903" w:rsidRPr="00990CBB" w:rsidRDefault="00B87903">
    <w:pPr>
      <w:pStyle w:val="Header"/>
      <w:jc w:val="right"/>
      <w:rPr>
        <w:rFonts w:cstheme="minorHAnsi"/>
        <w:sz w:val="12"/>
        <w:szCs w:val="12"/>
      </w:rPr>
    </w:pPr>
    <w:r>
      <w:rPr>
        <w:noProof/>
        <w:lang w:val="en-AU" w:eastAsia="en-AU"/>
      </w:rPr>
      <w:drawing>
        <wp:anchor distT="0" distB="0" distL="114300" distR="114300" simplePos="0" relativeHeight="251663360" behindDoc="1" locked="0" layoutInCell="1" allowOverlap="1" wp14:anchorId="7E9067CC" wp14:editId="01CF8388">
          <wp:simplePos x="0" y="0"/>
          <wp:positionH relativeFrom="page">
            <wp:align>right</wp:align>
          </wp:positionH>
          <wp:positionV relativeFrom="paragraph">
            <wp:posOffset>-450215</wp:posOffset>
          </wp:positionV>
          <wp:extent cx="10694035" cy="7543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10694035" cy="7543800"/>
                  </a:xfrm>
                  <a:prstGeom prst="rect">
                    <a:avLst/>
                  </a:prstGeom>
                </pic:spPr>
              </pic:pic>
            </a:graphicData>
          </a:graphic>
          <wp14:sizeRelH relativeFrom="page">
            <wp14:pctWidth>0</wp14:pctWidth>
          </wp14:sizeRelH>
          <wp14:sizeRelV relativeFrom="page">
            <wp14:pctHeight>0</wp14:pctHeight>
          </wp14:sizeRelV>
        </wp:anchor>
      </w:drawing>
    </w:r>
    <w:sdt>
      <w:sdtPr>
        <w:id w:val="-1807383566"/>
        <w:docPartObj>
          <w:docPartGallery w:val="Page Numbers (Top of Page)"/>
          <w:docPartUnique/>
        </w:docPartObj>
      </w:sdtPr>
      <w:sdtEndPr>
        <w:rPr>
          <w:rFonts w:cstheme="minorHAnsi"/>
          <w:noProof/>
          <w:sz w:val="12"/>
          <w:szCs w:val="12"/>
        </w:rPr>
      </w:sdtEndPr>
      <w:sdtContent>
        <w:r w:rsidRPr="00990CBB">
          <w:rPr>
            <w:rFonts w:cstheme="minorHAnsi"/>
            <w:sz w:val="12"/>
            <w:szCs w:val="12"/>
          </w:rPr>
          <w:fldChar w:fldCharType="begin"/>
        </w:r>
        <w:r w:rsidRPr="00990CBB">
          <w:rPr>
            <w:rFonts w:cstheme="minorHAnsi"/>
            <w:sz w:val="12"/>
            <w:szCs w:val="12"/>
          </w:rPr>
          <w:instrText xml:space="preserve"> PAGE   \* MERGEFORMAT </w:instrText>
        </w:r>
        <w:r w:rsidRPr="00990CBB">
          <w:rPr>
            <w:rFonts w:cstheme="minorHAnsi"/>
            <w:sz w:val="12"/>
            <w:szCs w:val="12"/>
          </w:rPr>
          <w:fldChar w:fldCharType="separate"/>
        </w:r>
        <w:r w:rsidR="00D657CC">
          <w:rPr>
            <w:rFonts w:cstheme="minorHAnsi"/>
            <w:noProof/>
            <w:sz w:val="12"/>
            <w:szCs w:val="12"/>
          </w:rPr>
          <w:t>24</w:t>
        </w:r>
        <w:r w:rsidRPr="00990CBB">
          <w:rPr>
            <w:rFonts w:cstheme="minorHAnsi"/>
            <w:noProof/>
            <w:sz w:val="12"/>
            <w:szCs w:val="12"/>
          </w:rPr>
          <w:fldChar w:fldCharType="end"/>
        </w:r>
      </w:sdtContent>
    </w:sdt>
  </w:p>
  <w:p w14:paraId="10E00E47" w14:textId="066C0FBD" w:rsidR="00B87903" w:rsidRPr="00E462BE" w:rsidRDefault="00B87903" w:rsidP="007B557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DC93A" w14:textId="28DD1DBE" w:rsidR="00B87903" w:rsidRPr="00990CBB" w:rsidRDefault="00B87903">
    <w:pPr>
      <w:pStyle w:val="Header"/>
      <w:jc w:val="right"/>
      <w:rPr>
        <w:rFonts w:cstheme="minorHAnsi"/>
        <w:sz w:val="12"/>
        <w:szCs w:val="12"/>
      </w:rPr>
    </w:pPr>
    <w:r>
      <w:rPr>
        <w:noProof/>
        <w:lang w:val="en-AU" w:eastAsia="en-AU"/>
      </w:rPr>
      <w:drawing>
        <wp:anchor distT="0" distB="0" distL="114300" distR="114300" simplePos="0" relativeHeight="251665408" behindDoc="1" locked="0" layoutInCell="1" allowOverlap="1" wp14:anchorId="2F3ADAB7" wp14:editId="7FE5698E">
          <wp:simplePos x="0" y="0"/>
          <wp:positionH relativeFrom="page">
            <wp:align>right</wp:align>
          </wp:positionH>
          <wp:positionV relativeFrom="paragraph">
            <wp:posOffset>-457200</wp:posOffset>
          </wp:positionV>
          <wp:extent cx="7550785" cy="106851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5145"/>
                  </a:xfrm>
                  <a:prstGeom prst="rect">
                    <a:avLst/>
                  </a:prstGeom>
                </pic:spPr>
              </pic:pic>
            </a:graphicData>
          </a:graphic>
          <wp14:sizeRelH relativeFrom="page">
            <wp14:pctWidth>0</wp14:pctWidth>
          </wp14:sizeRelH>
          <wp14:sizeRelV relativeFrom="page">
            <wp14:pctHeight>0</wp14:pctHeight>
          </wp14:sizeRelV>
        </wp:anchor>
      </w:drawing>
    </w:r>
    <w:sdt>
      <w:sdtPr>
        <w:id w:val="-1125694096"/>
        <w:docPartObj>
          <w:docPartGallery w:val="Page Numbers (Top of Page)"/>
          <w:docPartUnique/>
        </w:docPartObj>
      </w:sdtPr>
      <w:sdtEndPr>
        <w:rPr>
          <w:rFonts w:cstheme="minorHAnsi"/>
          <w:noProof/>
          <w:sz w:val="12"/>
          <w:szCs w:val="12"/>
        </w:rPr>
      </w:sdtEndPr>
      <w:sdtContent>
        <w:r w:rsidRPr="00990CBB">
          <w:rPr>
            <w:rFonts w:cstheme="minorHAnsi"/>
            <w:sz w:val="12"/>
            <w:szCs w:val="12"/>
          </w:rPr>
          <w:fldChar w:fldCharType="begin"/>
        </w:r>
        <w:r w:rsidRPr="00990CBB">
          <w:rPr>
            <w:rFonts w:cstheme="minorHAnsi"/>
            <w:sz w:val="12"/>
            <w:szCs w:val="12"/>
          </w:rPr>
          <w:instrText xml:space="preserve"> PAGE   \* MERGEFORMAT </w:instrText>
        </w:r>
        <w:r w:rsidRPr="00990CBB">
          <w:rPr>
            <w:rFonts w:cstheme="minorHAnsi"/>
            <w:sz w:val="12"/>
            <w:szCs w:val="12"/>
          </w:rPr>
          <w:fldChar w:fldCharType="separate"/>
        </w:r>
        <w:r w:rsidR="00D657CC">
          <w:rPr>
            <w:rFonts w:cstheme="minorHAnsi"/>
            <w:noProof/>
            <w:sz w:val="12"/>
            <w:szCs w:val="12"/>
          </w:rPr>
          <w:t>37</w:t>
        </w:r>
        <w:r w:rsidRPr="00990CBB">
          <w:rPr>
            <w:rFonts w:cstheme="minorHAnsi"/>
            <w:noProof/>
            <w:sz w:val="12"/>
            <w:szCs w:val="12"/>
          </w:rPr>
          <w:fldChar w:fldCharType="end"/>
        </w:r>
      </w:sdtContent>
    </w:sdt>
  </w:p>
  <w:p w14:paraId="553D643A" w14:textId="77777777" w:rsidR="00B87903" w:rsidRPr="00E462BE" w:rsidRDefault="00B87903" w:rsidP="007B557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204E" w14:textId="3A961464" w:rsidR="00B87903" w:rsidRPr="00990CBB" w:rsidRDefault="00B87903">
    <w:pPr>
      <w:pStyle w:val="Header"/>
      <w:jc w:val="right"/>
      <w:rPr>
        <w:rFonts w:cstheme="minorHAnsi"/>
        <w:sz w:val="12"/>
        <w:szCs w:val="12"/>
      </w:rPr>
    </w:pPr>
    <w:r>
      <w:rPr>
        <w:noProof/>
        <w:lang w:val="en-AU" w:eastAsia="en-AU"/>
      </w:rPr>
      <w:drawing>
        <wp:anchor distT="0" distB="0" distL="114300" distR="114300" simplePos="0" relativeHeight="251667456" behindDoc="1" locked="0" layoutInCell="1" allowOverlap="1" wp14:anchorId="3F75BED9" wp14:editId="05DD0187">
          <wp:simplePos x="0" y="0"/>
          <wp:positionH relativeFrom="page">
            <wp:align>left</wp:align>
          </wp:positionH>
          <wp:positionV relativeFrom="paragraph">
            <wp:posOffset>-438785</wp:posOffset>
          </wp:positionV>
          <wp:extent cx="10694035" cy="7543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10694035" cy="7543800"/>
                  </a:xfrm>
                  <a:prstGeom prst="rect">
                    <a:avLst/>
                  </a:prstGeom>
                </pic:spPr>
              </pic:pic>
            </a:graphicData>
          </a:graphic>
          <wp14:sizeRelH relativeFrom="page">
            <wp14:pctWidth>0</wp14:pctWidth>
          </wp14:sizeRelH>
          <wp14:sizeRelV relativeFrom="page">
            <wp14:pctHeight>0</wp14:pctHeight>
          </wp14:sizeRelV>
        </wp:anchor>
      </w:drawing>
    </w:r>
    <w:sdt>
      <w:sdtPr>
        <w:id w:val="-1230309165"/>
        <w:docPartObj>
          <w:docPartGallery w:val="Page Numbers (Top of Page)"/>
          <w:docPartUnique/>
        </w:docPartObj>
      </w:sdtPr>
      <w:sdtEndPr>
        <w:rPr>
          <w:rFonts w:cstheme="minorHAnsi"/>
          <w:noProof/>
          <w:sz w:val="12"/>
          <w:szCs w:val="12"/>
        </w:rPr>
      </w:sdtEndPr>
      <w:sdtContent>
        <w:r w:rsidRPr="00990CBB">
          <w:rPr>
            <w:rFonts w:cstheme="minorHAnsi"/>
            <w:sz w:val="12"/>
            <w:szCs w:val="12"/>
          </w:rPr>
          <w:fldChar w:fldCharType="begin"/>
        </w:r>
        <w:r w:rsidRPr="00990CBB">
          <w:rPr>
            <w:rFonts w:cstheme="minorHAnsi"/>
            <w:sz w:val="12"/>
            <w:szCs w:val="12"/>
          </w:rPr>
          <w:instrText xml:space="preserve"> PAGE   \* MERGEFORMAT </w:instrText>
        </w:r>
        <w:r w:rsidRPr="00990CBB">
          <w:rPr>
            <w:rFonts w:cstheme="minorHAnsi"/>
            <w:sz w:val="12"/>
            <w:szCs w:val="12"/>
          </w:rPr>
          <w:fldChar w:fldCharType="separate"/>
        </w:r>
        <w:r w:rsidR="00D657CC">
          <w:rPr>
            <w:rFonts w:cstheme="minorHAnsi"/>
            <w:noProof/>
            <w:sz w:val="12"/>
            <w:szCs w:val="12"/>
          </w:rPr>
          <w:t>48</w:t>
        </w:r>
        <w:r w:rsidRPr="00990CBB">
          <w:rPr>
            <w:rFonts w:cstheme="minorHAnsi"/>
            <w:noProof/>
            <w:sz w:val="12"/>
            <w:szCs w:val="12"/>
          </w:rPr>
          <w:fldChar w:fldCharType="end"/>
        </w:r>
      </w:sdtContent>
    </w:sdt>
  </w:p>
  <w:p w14:paraId="76A1F99E" w14:textId="77777777" w:rsidR="00B87903" w:rsidRPr="00E462BE" w:rsidRDefault="00B87903" w:rsidP="007B557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8545" w14:textId="36588B07" w:rsidR="00B87903" w:rsidRPr="00E7021A" w:rsidRDefault="00B87903" w:rsidP="00E7021A">
    <w:pPr>
      <w:pStyle w:val="Header"/>
    </w:pPr>
    <w:r>
      <w:rPr>
        <w:noProof/>
        <w:lang w:val="en-AU" w:eastAsia="en-AU"/>
      </w:rPr>
      <w:drawing>
        <wp:anchor distT="0" distB="0" distL="114300" distR="114300" simplePos="0" relativeHeight="251671552" behindDoc="1" locked="0" layoutInCell="1" allowOverlap="1" wp14:anchorId="7DDA6AC6" wp14:editId="2A3BDB70">
          <wp:simplePos x="0" y="0"/>
          <wp:positionH relativeFrom="page">
            <wp:align>right</wp:align>
          </wp:positionH>
          <wp:positionV relativeFrom="paragraph">
            <wp:posOffset>-495935</wp:posOffset>
          </wp:positionV>
          <wp:extent cx="7550785" cy="106851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CA54" w14:textId="2AA3AC05" w:rsidR="00B87903" w:rsidRDefault="00B87903">
    <w:pPr>
      <w:pStyle w:val="Header"/>
    </w:pPr>
    <w:r>
      <w:rPr>
        <w:noProof/>
        <w:lang w:val="en-AU" w:eastAsia="en-AU"/>
      </w:rPr>
      <w:drawing>
        <wp:anchor distT="0" distB="0" distL="114300" distR="114300" simplePos="0" relativeHeight="251669504" behindDoc="1" locked="0" layoutInCell="1" allowOverlap="1" wp14:anchorId="640B04B8" wp14:editId="11400472">
          <wp:simplePos x="0" y="0"/>
          <wp:positionH relativeFrom="page">
            <wp:align>right</wp:align>
          </wp:positionH>
          <wp:positionV relativeFrom="paragraph">
            <wp:posOffset>-429260</wp:posOffset>
          </wp:positionV>
          <wp:extent cx="7550785" cy="106851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A_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F3C3A0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5C514A8"/>
    <w:multiLevelType w:val="multilevel"/>
    <w:tmpl w:val="9E34D516"/>
    <w:lvl w:ilvl="0">
      <w:start w:val="1"/>
      <w:numFmt w:val="decimal"/>
      <w:lvlRestart w:val="0"/>
      <w:lvlText w:val="%1."/>
      <w:lvlJc w:val="left"/>
      <w:pPr>
        <w:ind w:left="851" w:hanging="851"/>
      </w:pPr>
      <w:rPr>
        <w:rFonts w:asciiTheme="minorHAnsi" w:hAnsiTheme="minorHAnsi" w:cstheme="minorHAnsi" w:hint="default"/>
        <w:b/>
        <w:i w:val="0"/>
        <w:color w:val="5B5B5B"/>
        <w:sz w:val="32"/>
      </w:rPr>
    </w:lvl>
    <w:lvl w:ilvl="1">
      <w:start w:val="1"/>
      <w:numFmt w:val="decimal"/>
      <w:lvlText w:val="%1.%2"/>
      <w:lvlJc w:val="left"/>
      <w:pPr>
        <w:tabs>
          <w:tab w:val="num" w:pos="0"/>
        </w:tabs>
        <w:ind w:left="851" w:hanging="851"/>
      </w:pPr>
      <w:rPr>
        <w:rFonts w:asciiTheme="minorHAnsi" w:hAnsiTheme="minorHAnsi" w:cstheme="minorHAnsi" w:hint="default"/>
        <w:b/>
        <w:i w:val="0"/>
        <w:color w:val="5B5B5B"/>
        <w:sz w:val="28"/>
      </w:rPr>
    </w:lvl>
    <w:lvl w:ilvl="2">
      <w:start w:val="1"/>
      <w:numFmt w:val="decimal"/>
      <w:pStyle w:val="DVAHeading3"/>
      <w:lvlText w:val="%1.%2.%3"/>
      <w:lvlJc w:val="left"/>
      <w:pPr>
        <w:tabs>
          <w:tab w:val="num" w:pos="0"/>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51" w:hanging="851"/>
      </w:pPr>
      <w:rPr>
        <w:rFonts w:ascii="EYInterstate Light" w:hAnsi="EYInterstate Light"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3" w15:restartNumberingAfterBreak="0">
    <w:nsid w:val="087513B8"/>
    <w:multiLevelType w:val="hybridMultilevel"/>
    <w:tmpl w:val="64081AC8"/>
    <w:lvl w:ilvl="0" w:tplc="0C090003">
      <w:start w:val="1"/>
      <w:numFmt w:val="bullet"/>
      <w:lvlText w:val="o"/>
      <w:lvlJc w:val="left"/>
      <w:pPr>
        <w:ind w:left="360" w:hanging="360"/>
      </w:pPr>
      <w:rPr>
        <w:rFonts w:ascii="Courier New" w:hAnsi="Courier New" w:cs="Courier New" w:hint="default"/>
        <w:color w:val="auto"/>
        <w:sz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D33ACD"/>
    <w:multiLevelType w:val="multilevel"/>
    <w:tmpl w:val="414EC0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8C31652"/>
    <w:multiLevelType w:val="hybridMultilevel"/>
    <w:tmpl w:val="44C6D72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B7B7949"/>
    <w:multiLevelType w:val="hybridMultilevel"/>
    <w:tmpl w:val="829E80C0"/>
    <w:lvl w:ilvl="0" w:tplc="BB58D2E0">
      <w:start w:val="1"/>
      <w:numFmt w:val="bullet"/>
      <w:pStyle w:val="DVABulletnoparaspace"/>
      <w:lvlText w:val="►"/>
      <w:lvlJc w:val="left"/>
      <w:pPr>
        <w:ind w:left="360" w:hanging="360"/>
      </w:pPr>
      <w:rPr>
        <w:rFonts w:ascii="Arial" w:hAnsi="Arial" w:hint="default"/>
        <w:color w:val="auto"/>
        <w:sz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CA5A9F"/>
    <w:multiLevelType w:val="hybridMultilevel"/>
    <w:tmpl w:val="558C6EC6"/>
    <w:lvl w:ilvl="0" w:tplc="24287DBE">
      <w:start w:val="1"/>
      <w:numFmt w:val="decimal"/>
      <w:lvlText w:val="%1."/>
      <w:lvlJc w:val="left"/>
      <w:pPr>
        <w:ind w:left="360" w:hanging="360"/>
      </w:pPr>
      <w:rPr>
        <w:rFonts w:ascii="Calibri" w:hAnsi="Calibri"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43653B"/>
    <w:multiLevelType w:val="multilevel"/>
    <w:tmpl w:val="62E45B76"/>
    <w:styleLink w:val="EYPlainBulletList"/>
    <w:lvl w:ilvl="0">
      <w:start w:val="1"/>
      <w:numFmt w:val="bullet"/>
      <w:lvlText w:val="►"/>
      <w:lvlJc w:val="left"/>
      <w:pPr>
        <w:ind w:left="425" w:hanging="425"/>
      </w:pPr>
      <w:rPr>
        <w:rFonts w:ascii="Arial" w:hAnsi="Arial" w:hint="default"/>
        <w:color w:val="auto"/>
        <w:sz w:val="12"/>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9" w15:restartNumberingAfterBreak="0">
    <w:nsid w:val="23DC5660"/>
    <w:multiLevelType w:val="hybridMultilevel"/>
    <w:tmpl w:val="D3920BF6"/>
    <w:lvl w:ilvl="0" w:tplc="0C090003">
      <w:start w:val="1"/>
      <w:numFmt w:val="bullet"/>
      <w:lvlText w:val="o"/>
      <w:lvlJc w:val="left"/>
      <w:pPr>
        <w:ind w:left="1210" w:hanging="360"/>
      </w:pPr>
      <w:rPr>
        <w:rFonts w:ascii="Courier New" w:hAnsi="Courier New" w:cs="Courier New"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0" w15:restartNumberingAfterBreak="0">
    <w:nsid w:val="26026413"/>
    <w:multiLevelType w:val="multilevel"/>
    <w:tmpl w:val="0BB4736C"/>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8C43114"/>
    <w:multiLevelType w:val="multilevel"/>
    <w:tmpl w:val="1B7CB728"/>
    <w:lvl w:ilvl="0">
      <w:start w:val="1"/>
      <w:numFmt w:val="bullet"/>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lvlText w:val=""/>
      <w:lvlJc w:val="left"/>
      <w:pPr>
        <w:tabs>
          <w:tab w:val="num" w:pos="567"/>
        </w:tabs>
        <w:ind w:left="567" w:hanging="283"/>
      </w:pPr>
      <w:rPr>
        <w:rFonts w:ascii="Symbol" w:hAnsi="Symbol"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12" w15:restartNumberingAfterBreak="0">
    <w:nsid w:val="3D2F69D6"/>
    <w:multiLevelType w:val="hybridMultilevel"/>
    <w:tmpl w:val="FC6C81D2"/>
    <w:lvl w:ilvl="0" w:tplc="0C090011">
      <w:start w:val="1"/>
      <w:numFmt w:val="decimal"/>
      <w:lvlText w:val="%1)"/>
      <w:lvlJc w:val="left"/>
      <w:pPr>
        <w:ind w:left="720" w:hanging="360"/>
      </w:pPr>
      <w:rPr>
        <w:rFonts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A7331F"/>
    <w:multiLevelType w:val="multilevel"/>
    <w:tmpl w:val="B9602BCA"/>
    <w:lvl w:ilvl="0">
      <w:start w:val="1"/>
      <w:numFmt w:val="upperLetter"/>
      <w:pStyle w:val="ListAlpha"/>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4" w15:restartNumberingAfterBreak="0">
    <w:nsid w:val="447E4E06"/>
    <w:multiLevelType w:val="multilevel"/>
    <w:tmpl w:val="2FA4FD72"/>
    <w:styleLink w:val="EYBulletList"/>
    <w:lvl w:ilvl="0">
      <w:start w:val="1"/>
      <w:numFmt w:val="bullet"/>
      <w:pStyle w:val="DVABulletedText1"/>
      <w:lvlText w:val="►"/>
      <w:lvlJc w:val="left"/>
      <w:pPr>
        <w:ind w:left="425" w:hanging="425"/>
      </w:pPr>
      <w:rPr>
        <w:rFonts w:ascii="Arial" w:hAnsi="Arial" w:hint="default"/>
        <w:color w:val="auto"/>
        <w:sz w:val="16"/>
        <w:szCs w:val="20"/>
      </w:rPr>
    </w:lvl>
    <w:lvl w:ilvl="1">
      <w:start w:val="1"/>
      <w:numFmt w:val="bullet"/>
      <w:pStyle w:val="EYBulletedText2"/>
      <w:lvlText w:val=""/>
      <w:lvlJc w:val="left"/>
      <w:pPr>
        <w:ind w:left="850" w:hanging="425"/>
      </w:pPr>
      <w:rPr>
        <w:rFonts w:ascii="Wingdings" w:hAnsi="Wingdings" w:hint="default"/>
        <w:sz w:val="16"/>
      </w:rPr>
    </w:lvl>
    <w:lvl w:ilvl="2">
      <w:start w:val="1"/>
      <w:numFmt w:val="bullet"/>
      <w:pStyle w:val="DVA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5" w15:restartNumberingAfterBreak="0">
    <w:nsid w:val="4814788C"/>
    <w:multiLevelType w:val="multilevel"/>
    <w:tmpl w:val="F99CA034"/>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4C18701D"/>
    <w:multiLevelType w:val="multilevel"/>
    <w:tmpl w:val="F1669212"/>
    <w:styleLink w:val="EYAlphaNumList"/>
    <w:lvl w:ilvl="0">
      <w:start w:val="1"/>
      <w:numFmt w:val="decimal"/>
      <w:pStyle w:val="DVA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0D1739"/>
    <w:multiLevelType w:val="hybridMultilevel"/>
    <w:tmpl w:val="2AD23F68"/>
    <w:lvl w:ilvl="0" w:tplc="0C090011">
      <w:start w:val="1"/>
      <w:numFmt w:val="decimal"/>
      <w:lvlText w:val="%1)"/>
      <w:lvlJc w:val="left"/>
      <w:pPr>
        <w:ind w:left="360" w:hanging="360"/>
      </w:pPr>
      <w:rPr>
        <w:rFonts w:hint="default"/>
        <w:color w:val="auto"/>
        <w:sz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E92735"/>
    <w:multiLevelType w:val="hybridMultilevel"/>
    <w:tmpl w:val="7D083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0C5D09"/>
    <w:multiLevelType w:val="multilevel"/>
    <w:tmpl w:val="EF7AB2DE"/>
    <w:lvl w:ilvl="0">
      <w:start w:val="1"/>
      <w:numFmt w:val="upperLetter"/>
      <w:pStyle w:val="DVAAppendix"/>
      <w:lvlText w:val="Appendix %1"/>
      <w:lvlJc w:val="left"/>
      <w:pPr>
        <w:tabs>
          <w:tab w:val="num" w:pos="2268"/>
        </w:tabs>
        <w:ind w:left="2268" w:hanging="2268"/>
      </w:pPr>
      <w:rPr>
        <w:rFonts w:hint="default"/>
        <w:color w:val="74748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1" w15:restartNumberingAfterBreak="0">
    <w:nsid w:val="66132E9B"/>
    <w:multiLevelType w:val="hybridMultilevel"/>
    <w:tmpl w:val="44C6D72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DBA3F82"/>
    <w:multiLevelType w:val="multilevel"/>
    <w:tmpl w:val="B5ECD1AA"/>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3" w15:restartNumberingAfterBreak="0">
    <w:nsid w:val="6FF43E59"/>
    <w:multiLevelType w:val="hybridMultilevel"/>
    <w:tmpl w:val="8A5ED1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139706E"/>
    <w:multiLevelType w:val="multilevel"/>
    <w:tmpl w:val="11C64328"/>
    <w:numStyleLink w:val="ListParagraph"/>
  </w:abstractNum>
  <w:abstractNum w:abstractNumId="25"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6"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1"/>
  </w:num>
  <w:num w:numId="2">
    <w:abstractNumId w:val="24"/>
  </w:num>
  <w:num w:numId="3">
    <w:abstractNumId w:val="10"/>
  </w:num>
  <w:num w:numId="4">
    <w:abstractNumId w:val="0"/>
  </w:num>
  <w:num w:numId="5">
    <w:abstractNumId w:val="15"/>
  </w:num>
  <w:num w:numId="6">
    <w:abstractNumId w:val="17"/>
  </w:num>
  <w:num w:numId="7">
    <w:abstractNumId w:val="13"/>
  </w:num>
  <w:num w:numId="8">
    <w:abstractNumId w:val="22"/>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
  </w:num>
  <w:num w:numId="15">
    <w:abstractNumId w:val="8"/>
  </w:num>
  <w:num w:numId="16">
    <w:abstractNumId w:val="20"/>
  </w:num>
  <w:num w:numId="17">
    <w:abstractNumId w:val="25"/>
  </w:num>
  <w:num w:numId="18">
    <w:abstractNumId w:val="16"/>
  </w:num>
  <w:num w:numId="19">
    <w:abstractNumId w:val="14"/>
  </w:num>
  <w:num w:numId="20">
    <w:abstractNumId w:val="26"/>
  </w:num>
  <w:num w:numId="21">
    <w:abstractNumId w:val="6"/>
  </w:num>
  <w:num w:numId="22">
    <w:abstractNumId w:val="21"/>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
  </w:num>
  <w:num w:numId="40">
    <w:abstractNumId w:val="12"/>
  </w:num>
  <w:num w:numId="41">
    <w:abstractNumId w:val="18"/>
  </w:num>
  <w:num w:numId="42">
    <w:abstractNumId w:val="16"/>
  </w:num>
  <w:num w:numId="43">
    <w:abstractNumId w:val="6"/>
  </w:num>
  <w:num w:numId="44">
    <w:abstractNumId w:val="6"/>
  </w:num>
  <w:num w:numId="45">
    <w:abstractNumId w:val="6"/>
  </w:num>
  <w:num w:numId="46">
    <w:abstractNumId w:val="6"/>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784"/>
    <w:rsid w:val="00015947"/>
    <w:rsid w:val="0003533F"/>
    <w:rsid w:val="000628B8"/>
    <w:rsid w:val="00072D61"/>
    <w:rsid w:val="00094DD5"/>
    <w:rsid w:val="000A5F8F"/>
    <w:rsid w:val="000B2C8F"/>
    <w:rsid w:val="000C5F39"/>
    <w:rsid w:val="000E52CB"/>
    <w:rsid w:val="00111BE4"/>
    <w:rsid w:val="00121542"/>
    <w:rsid w:val="00134582"/>
    <w:rsid w:val="001437BE"/>
    <w:rsid w:val="001726F5"/>
    <w:rsid w:val="00175875"/>
    <w:rsid w:val="00175FC2"/>
    <w:rsid w:val="00184768"/>
    <w:rsid w:val="001B0644"/>
    <w:rsid w:val="001C2A02"/>
    <w:rsid w:val="001D482F"/>
    <w:rsid w:val="001D77BE"/>
    <w:rsid w:val="00217142"/>
    <w:rsid w:val="002226EA"/>
    <w:rsid w:val="002436FA"/>
    <w:rsid w:val="002674A3"/>
    <w:rsid w:val="00273D2A"/>
    <w:rsid w:val="002A7D76"/>
    <w:rsid w:val="002B55E9"/>
    <w:rsid w:val="002E67C7"/>
    <w:rsid w:val="00333CFC"/>
    <w:rsid w:val="00341593"/>
    <w:rsid w:val="003469F5"/>
    <w:rsid w:val="00363139"/>
    <w:rsid w:val="003A0704"/>
    <w:rsid w:val="003C7923"/>
    <w:rsid w:val="003D1A76"/>
    <w:rsid w:val="003D6F49"/>
    <w:rsid w:val="003E1B70"/>
    <w:rsid w:val="003E1C0C"/>
    <w:rsid w:val="00403553"/>
    <w:rsid w:val="004065C0"/>
    <w:rsid w:val="00415823"/>
    <w:rsid w:val="004163EA"/>
    <w:rsid w:val="004467B3"/>
    <w:rsid w:val="004655B0"/>
    <w:rsid w:val="004707D2"/>
    <w:rsid w:val="00482A76"/>
    <w:rsid w:val="0048466A"/>
    <w:rsid w:val="00491FD7"/>
    <w:rsid w:val="00493CFF"/>
    <w:rsid w:val="004C107E"/>
    <w:rsid w:val="004C1645"/>
    <w:rsid w:val="004F58AD"/>
    <w:rsid w:val="00504EDE"/>
    <w:rsid w:val="005469B7"/>
    <w:rsid w:val="005565B7"/>
    <w:rsid w:val="005B5F08"/>
    <w:rsid w:val="005E4ECB"/>
    <w:rsid w:val="005F4820"/>
    <w:rsid w:val="005F5C2D"/>
    <w:rsid w:val="006312DD"/>
    <w:rsid w:val="0067118F"/>
    <w:rsid w:val="00676ACD"/>
    <w:rsid w:val="006923BF"/>
    <w:rsid w:val="00694C03"/>
    <w:rsid w:val="0069774E"/>
    <w:rsid w:val="006C68F1"/>
    <w:rsid w:val="006D10F5"/>
    <w:rsid w:val="006E28E4"/>
    <w:rsid w:val="00710993"/>
    <w:rsid w:val="00734A7A"/>
    <w:rsid w:val="007471BF"/>
    <w:rsid w:val="00752BA1"/>
    <w:rsid w:val="007A04B8"/>
    <w:rsid w:val="007A64F3"/>
    <w:rsid w:val="007B5579"/>
    <w:rsid w:val="007C328D"/>
    <w:rsid w:val="007C65F4"/>
    <w:rsid w:val="007D3649"/>
    <w:rsid w:val="00804F5C"/>
    <w:rsid w:val="00812188"/>
    <w:rsid w:val="00822EE7"/>
    <w:rsid w:val="00824E0B"/>
    <w:rsid w:val="00841DF5"/>
    <w:rsid w:val="00866FFA"/>
    <w:rsid w:val="008C0470"/>
    <w:rsid w:val="008C4CAA"/>
    <w:rsid w:val="008C5137"/>
    <w:rsid w:val="008E1140"/>
    <w:rsid w:val="008F73BC"/>
    <w:rsid w:val="009014F6"/>
    <w:rsid w:val="009340F5"/>
    <w:rsid w:val="00945EC4"/>
    <w:rsid w:val="00952AA2"/>
    <w:rsid w:val="009633AA"/>
    <w:rsid w:val="0096602E"/>
    <w:rsid w:val="00967589"/>
    <w:rsid w:val="009846BC"/>
    <w:rsid w:val="00987BC7"/>
    <w:rsid w:val="009A7936"/>
    <w:rsid w:val="009B43F8"/>
    <w:rsid w:val="009F1F6F"/>
    <w:rsid w:val="009F6977"/>
    <w:rsid w:val="00A42CF7"/>
    <w:rsid w:val="00A550AC"/>
    <w:rsid w:val="00A57B96"/>
    <w:rsid w:val="00A618E8"/>
    <w:rsid w:val="00A63407"/>
    <w:rsid w:val="00A848A0"/>
    <w:rsid w:val="00A86006"/>
    <w:rsid w:val="00AA6BAE"/>
    <w:rsid w:val="00AB3299"/>
    <w:rsid w:val="00AB524E"/>
    <w:rsid w:val="00AC133A"/>
    <w:rsid w:val="00B031C7"/>
    <w:rsid w:val="00B1189A"/>
    <w:rsid w:val="00B1583D"/>
    <w:rsid w:val="00B56BB5"/>
    <w:rsid w:val="00B65C2A"/>
    <w:rsid w:val="00B87903"/>
    <w:rsid w:val="00BA720D"/>
    <w:rsid w:val="00BB2784"/>
    <w:rsid w:val="00BC2C81"/>
    <w:rsid w:val="00BC4CD2"/>
    <w:rsid w:val="00BC6197"/>
    <w:rsid w:val="00BF2A42"/>
    <w:rsid w:val="00BF5D6D"/>
    <w:rsid w:val="00C40413"/>
    <w:rsid w:val="00C47B4D"/>
    <w:rsid w:val="00C92391"/>
    <w:rsid w:val="00C9286C"/>
    <w:rsid w:val="00CD4930"/>
    <w:rsid w:val="00CD6CF1"/>
    <w:rsid w:val="00D16FFC"/>
    <w:rsid w:val="00D20797"/>
    <w:rsid w:val="00D21E28"/>
    <w:rsid w:val="00D248C3"/>
    <w:rsid w:val="00D3180A"/>
    <w:rsid w:val="00D45A94"/>
    <w:rsid w:val="00D46DA4"/>
    <w:rsid w:val="00D55B31"/>
    <w:rsid w:val="00D5624D"/>
    <w:rsid w:val="00D657CC"/>
    <w:rsid w:val="00D74FE6"/>
    <w:rsid w:val="00D829BF"/>
    <w:rsid w:val="00D83811"/>
    <w:rsid w:val="00D94EE1"/>
    <w:rsid w:val="00DA2457"/>
    <w:rsid w:val="00DB3165"/>
    <w:rsid w:val="00DC56FE"/>
    <w:rsid w:val="00DE68F4"/>
    <w:rsid w:val="00E54EA6"/>
    <w:rsid w:val="00E7021A"/>
    <w:rsid w:val="00EA0EBB"/>
    <w:rsid w:val="00EC483D"/>
    <w:rsid w:val="00F1313B"/>
    <w:rsid w:val="00FA38C4"/>
    <w:rsid w:val="00FA5EBA"/>
    <w:rsid w:val="00FB1136"/>
    <w:rsid w:val="00FB4391"/>
    <w:rsid w:val="00FB5E2C"/>
    <w:rsid w:val="00FB7561"/>
    <w:rsid w:val="00FD56D2"/>
    <w:rsid w:val="00FE4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BAA2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0" w:unhideWhenUsed="1" w:qFormat="1"/>
    <w:lsdException w:name="List Number" w:semiHidden="1" w:uiPriority="2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0" w:unhideWhenUsed="1"/>
    <w:lsdException w:name="List Bullet 3" w:semiHidden="1" w:uiPriority="20" w:unhideWhenUsed="1"/>
    <w:lsdException w:name="List Bullet 4" w:semiHidden="1" w:uiPriority="20" w:unhideWhenUsed="1"/>
    <w:lsdException w:name="List Bullet 5" w:semiHidden="1" w:uiPriority="20"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C2A"/>
    <w:rPr>
      <w:rFonts w:asciiTheme="minorHAnsi" w:hAnsiTheme="minorHAnsi"/>
      <w:sz w:val="22"/>
      <w:szCs w:val="24"/>
    </w:rPr>
  </w:style>
  <w:style w:type="paragraph" w:styleId="Heading1">
    <w:name w:val="heading 1"/>
    <w:basedOn w:val="Normal"/>
    <w:next w:val="Normal"/>
    <w:link w:val="Heading1Char"/>
    <w:uiPriority w:val="9"/>
    <w:qFormat/>
    <w:rsid w:val="001D77BE"/>
    <w:pPr>
      <w:keepNext/>
      <w:spacing w:after="120"/>
      <w:outlineLvl w:val="0"/>
    </w:pPr>
    <w:rPr>
      <w:rFonts w:ascii="Rockwell" w:hAnsi="Rockwell"/>
      <w:b/>
      <w:color w:val="2D416E" w:themeColor="accent1" w:themeShade="BF"/>
      <w:sz w:val="28"/>
      <w:szCs w:val="22"/>
    </w:rPr>
  </w:style>
  <w:style w:type="paragraph" w:styleId="Heading2">
    <w:name w:val="heading 2"/>
    <w:basedOn w:val="Normal"/>
    <w:next w:val="Normal"/>
    <w:link w:val="Heading2Char"/>
    <w:unhideWhenUsed/>
    <w:qFormat/>
    <w:rsid w:val="000C5F39"/>
    <w:pPr>
      <w:keepNext/>
      <w:keepLines/>
      <w:spacing w:before="40" w:after="0"/>
      <w:outlineLvl w:val="1"/>
    </w:pPr>
    <w:rPr>
      <w:rFonts w:ascii="Calibri" w:eastAsiaTheme="majorEastAsia" w:hAnsi="Calibri" w:cstheme="majorBidi"/>
      <w:b/>
      <w:color w:val="4FBBC3" w:themeColor="accent2"/>
      <w:sz w:val="26"/>
      <w:szCs w:val="26"/>
    </w:rPr>
  </w:style>
  <w:style w:type="paragraph" w:styleId="Heading3">
    <w:name w:val="heading 3"/>
    <w:basedOn w:val="Normal"/>
    <w:next w:val="Normal"/>
    <w:link w:val="Heading3Char"/>
    <w:unhideWhenUsed/>
    <w:qFormat/>
    <w:rsid w:val="003C7923"/>
    <w:pPr>
      <w:keepNext/>
      <w:keepLines/>
      <w:spacing w:before="40" w:after="0"/>
      <w:outlineLvl w:val="2"/>
    </w:pPr>
    <w:rPr>
      <w:rFonts w:eastAsiaTheme="majorEastAsia" w:cstheme="majorBidi"/>
      <w:b/>
      <w:caps/>
      <w:color w:val="000000" w:themeColor="text1"/>
    </w:rPr>
  </w:style>
  <w:style w:type="paragraph" w:styleId="Heading4">
    <w:name w:val="heading 4"/>
    <w:basedOn w:val="Normal"/>
    <w:next w:val="Normal"/>
    <w:link w:val="Heading4Char"/>
    <w:unhideWhenUsed/>
    <w:qFormat/>
    <w:rsid w:val="003C7923"/>
    <w:pPr>
      <w:keepNext/>
      <w:keepLines/>
      <w:spacing w:before="40" w:after="0"/>
      <w:outlineLvl w:val="3"/>
    </w:pPr>
    <w:rPr>
      <w:rFonts w:eastAsiaTheme="majorEastAsia" w:cstheme="majorBidi"/>
      <w:i/>
      <w:iCs/>
      <w:color w:val="2D416E" w:themeColor="accent1" w:themeShade="BF"/>
    </w:rPr>
  </w:style>
  <w:style w:type="paragraph" w:styleId="Heading5">
    <w:name w:val="heading 5"/>
    <w:basedOn w:val="Normal"/>
    <w:next w:val="Normal"/>
    <w:link w:val="Heading5Char"/>
    <w:unhideWhenUsed/>
    <w:qFormat/>
    <w:rsid w:val="00BF2A42"/>
    <w:pPr>
      <w:keepNext/>
      <w:keepLines/>
      <w:spacing w:before="40" w:after="0"/>
      <w:outlineLvl w:val="4"/>
    </w:pPr>
    <w:rPr>
      <w:rFonts w:asciiTheme="majorHAnsi" w:eastAsiaTheme="majorEastAsia" w:hAnsiTheme="majorHAnsi" w:cstheme="majorBidi"/>
      <w:color w:val="2D416E" w:themeColor="accent1" w:themeShade="BF"/>
    </w:rPr>
  </w:style>
  <w:style w:type="paragraph" w:styleId="Heading6">
    <w:name w:val="heading 6"/>
    <w:basedOn w:val="Normal"/>
    <w:next w:val="DVABodytextwithparaspace"/>
    <w:link w:val="Heading6Char"/>
    <w:rsid w:val="00676ACD"/>
    <w:pPr>
      <w:autoSpaceDE w:val="0"/>
      <w:autoSpaceDN w:val="0"/>
      <w:adjustRightInd w:val="0"/>
      <w:spacing w:after="0" w:line="240" w:lineRule="auto"/>
      <w:outlineLvl w:val="5"/>
    </w:pPr>
    <w:rPr>
      <w:rFonts w:ascii="EYInterstate Light" w:eastAsia="Times New Roman" w:hAnsi="EYInterstate Light" w:cs="Times New Roman"/>
      <w:szCs w:val="20"/>
      <w:lang w:val="en-AU"/>
    </w:rPr>
  </w:style>
  <w:style w:type="paragraph" w:styleId="Heading7">
    <w:name w:val="heading 7"/>
    <w:basedOn w:val="Normal"/>
    <w:next w:val="DVABodytextwithparaspace"/>
    <w:link w:val="Heading7Char"/>
    <w:rsid w:val="00676ACD"/>
    <w:pPr>
      <w:autoSpaceDE w:val="0"/>
      <w:autoSpaceDN w:val="0"/>
      <w:adjustRightInd w:val="0"/>
      <w:spacing w:after="120" w:line="240" w:lineRule="auto"/>
      <w:outlineLvl w:val="6"/>
    </w:pPr>
    <w:rPr>
      <w:rFonts w:ascii="EYInterstate Light" w:eastAsia="Times New Roman" w:hAnsi="EYInterstate Light" w:cs="Times New Roman"/>
      <w:b/>
      <w:sz w:val="20"/>
      <w:szCs w:val="20"/>
      <w:lang w:val="en-AU"/>
    </w:rPr>
  </w:style>
  <w:style w:type="paragraph" w:styleId="Heading8">
    <w:name w:val="heading 8"/>
    <w:basedOn w:val="Normal"/>
    <w:next w:val="DVABodytextwithparaspace"/>
    <w:link w:val="Heading8Char"/>
    <w:rsid w:val="00676ACD"/>
    <w:pPr>
      <w:autoSpaceDE w:val="0"/>
      <w:autoSpaceDN w:val="0"/>
      <w:adjustRightInd w:val="0"/>
      <w:spacing w:after="120" w:line="240" w:lineRule="auto"/>
      <w:outlineLvl w:val="7"/>
    </w:pPr>
    <w:rPr>
      <w:rFonts w:ascii="EYInterstate Light" w:eastAsia="Times New Roman" w:hAnsi="EYInterstate Light" w:cs="Times New Roman"/>
      <w:sz w:val="20"/>
      <w:szCs w:val="20"/>
      <w:lang w:val="en-AU"/>
    </w:rPr>
  </w:style>
  <w:style w:type="paragraph" w:styleId="Heading9">
    <w:name w:val="heading 9"/>
    <w:basedOn w:val="Normal"/>
    <w:next w:val="DVABodytextwithparaspace"/>
    <w:link w:val="Heading9Char"/>
    <w:rsid w:val="00676ACD"/>
    <w:pPr>
      <w:autoSpaceDE w:val="0"/>
      <w:autoSpaceDN w:val="0"/>
      <w:adjustRightInd w:val="0"/>
      <w:spacing w:after="0" w:line="240" w:lineRule="auto"/>
      <w:outlineLvl w:val="8"/>
    </w:pPr>
    <w:rPr>
      <w:rFonts w:ascii="EYInterstate Light" w:eastAsia="Times New Roman" w:hAnsi="EYInterstate Light" w:cs="Times New Roman"/>
      <w: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A7A"/>
  </w:style>
  <w:style w:type="paragraph" w:styleId="Footer">
    <w:name w:val="footer"/>
    <w:aliases w:val="EY Footer"/>
    <w:basedOn w:val="Normal"/>
    <w:link w:val="FooterChar"/>
    <w:uiPriority w:val="99"/>
    <w:unhideWhenUsed/>
    <w:rsid w:val="00734A7A"/>
    <w:pPr>
      <w:tabs>
        <w:tab w:val="center" w:pos="4513"/>
        <w:tab w:val="right" w:pos="9026"/>
      </w:tabs>
      <w:spacing w:after="0" w:line="240" w:lineRule="auto"/>
    </w:pPr>
  </w:style>
  <w:style w:type="character" w:customStyle="1" w:styleId="FooterChar">
    <w:name w:val="Footer Char"/>
    <w:aliases w:val="EY Footer Char"/>
    <w:basedOn w:val="DefaultParagraphFont"/>
    <w:link w:val="Footer"/>
    <w:uiPriority w:val="99"/>
    <w:rsid w:val="00734A7A"/>
  </w:style>
  <w:style w:type="paragraph" w:styleId="Title">
    <w:name w:val="Title"/>
    <w:basedOn w:val="Normal"/>
    <w:next w:val="Normal"/>
    <w:link w:val="TitleChar"/>
    <w:uiPriority w:val="10"/>
    <w:qFormat/>
    <w:rsid w:val="00E7021A"/>
    <w:pPr>
      <w:spacing w:after="0" w:line="240" w:lineRule="auto"/>
      <w:contextualSpacing/>
    </w:pPr>
    <w:rPr>
      <w:rFonts w:ascii="Rockwell" w:eastAsiaTheme="majorEastAsia" w:hAnsi="Rockwell" w:cstheme="majorBidi"/>
      <w:color w:val="2D416E" w:themeColor="accent1" w:themeShade="BF"/>
      <w:spacing w:val="-10"/>
      <w:kern w:val="28"/>
      <w:sz w:val="48"/>
      <w:szCs w:val="48"/>
      <w:lang w:val="en-AU"/>
    </w:rPr>
  </w:style>
  <w:style w:type="character" w:customStyle="1" w:styleId="TitleChar">
    <w:name w:val="Title Char"/>
    <w:basedOn w:val="DefaultParagraphFont"/>
    <w:link w:val="Title"/>
    <w:uiPriority w:val="10"/>
    <w:rsid w:val="00E7021A"/>
    <w:rPr>
      <w:rFonts w:ascii="Rockwell" w:eastAsiaTheme="majorEastAsia" w:hAnsi="Rockwell" w:cstheme="majorBidi"/>
      <w:color w:val="2D416E" w:themeColor="accent1" w:themeShade="BF"/>
      <w:spacing w:val="-10"/>
      <w:kern w:val="28"/>
      <w:sz w:val="48"/>
      <w:szCs w:val="48"/>
      <w:lang w:val="en-AU"/>
    </w:rPr>
  </w:style>
  <w:style w:type="character" w:styleId="Strong">
    <w:name w:val="Strong"/>
    <w:basedOn w:val="DefaultParagraphFont"/>
    <w:uiPriority w:val="22"/>
    <w:qFormat/>
    <w:rsid w:val="00694C03"/>
    <w:rPr>
      <w:b/>
      <w:bCs/>
    </w:rPr>
  </w:style>
  <w:style w:type="character" w:customStyle="1" w:styleId="Heading1Char">
    <w:name w:val="Heading 1 Char"/>
    <w:basedOn w:val="DefaultParagraphFont"/>
    <w:link w:val="Heading1"/>
    <w:uiPriority w:val="9"/>
    <w:rsid w:val="001D77BE"/>
    <w:rPr>
      <w:rFonts w:ascii="Rockwell" w:hAnsi="Rockwell"/>
      <w:b/>
      <w:color w:val="2D416E" w:themeColor="accent1" w:themeShade="BF"/>
      <w:sz w:val="28"/>
    </w:rPr>
  </w:style>
  <w:style w:type="character" w:customStyle="1" w:styleId="Heading2Char">
    <w:name w:val="Heading 2 Char"/>
    <w:basedOn w:val="DefaultParagraphFont"/>
    <w:link w:val="Heading2"/>
    <w:uiPriority w:val="9"/>
    <w:rsid w:val="000C5F39"/>
    <w:rPr>
      <w:rFonts w:ascii="Calibri" w:eastAsiaTheme="majorEastAsia" w:hAnsi="Calibri" w:cstheme="majorBidi"/>
      <w:b/>
      <w:color w:val="4FBBC3" w:themeColor="accent2"/>
      <w:sz w:val="26"/>
      <w:szCs w:val="26"/>
    </w:rPr>
  </w:style>
  <w:style w:type="paragraph" w:customStyle="1" w:styleId="Tableheaderreversedtext">
    <w:name w:val="Table header reversed text"/>
    <w:basedOn w:val="Normal"/>
    <w:next w:val="Normal"/>
    <w:link w:val="TableheaderreversedtextChar"/>
    <w:qFormat/>
    <w:rsid w:val="00B1583D"/>
    <w:pPr>
      <w:spacing w:after="0" w:line="240" w:lineRule="auto"/>
    </w:pPr>
    <w:rPr>
      <w:rFonts w:eastAsia="Times New Roman" w:cs="Times New Roman"/>
      <w:b/>
      <w:color w:val="FFFFFF" w:themeColor="background1"/>
      <w:sz w:val="26"/>
      <w:szCs w:val="26"/>
      <w:lang w:val="en-AU" w:eastAsia="en-AU"/>
    </w:rPr>
  </w:style>
  <w:style w:type="paragraph" w:styleId="NoSpacing">
    <w:name w:val="No Spacing"/>
    <w:uiPriority w:val="1"/>
    <w:qFormat/>
    <w:rsid w:val="00B65C2A"/>
    <w:pPr>
      <w:spacing w:after="0" w:line="240" w:lineRule="auto"/>
    </w:pPr>
    <w:rPr>
      <w:rFonts w:asciiTheme="minorHAnsi" w:hAnsiTheme="minorHAnsi"/>
      <w:sz w:val="22"/>
      <w:szCs w:val="24"/>
    </w:rPr>
  </w:style>
  <w:style w:type="character" w:customStyle="1" w:styleId="TableheaderreversedtextChar">
    <w:name w:val="Table header reversed text Char"/>
    <w:basedOn w:val="DefaultParagraphFont"/>
    <w:link w:val="Tableheaderreversedtext"/>
    <w:rsid w:val="00B1583D"/>
    <w:rPr>
      <w:rFonts w:asciiTheme="minorHAnsi" w:eastAsia="Times New Roman" w:hAnsiTheme="minorHAnsi" w:cs="Times New Roman"/>
      <w:b/>
      <w:color w:val="FFFFFF" w:themeColor="background1"/>
      <w:sz w:val="26"/>
      <w:szCs w:val="26"/>
      <w:lang w:val="en-AU" w:eastAsia="en-AU"/>
    </w:rPr>
  </w:style>
  <w:style w:type="character" w:customStyle="1" w:styleId="Heading3Char">
    <w:name w:val="Heading 3 Char"/>
    <w:basedOn w:val="DefaultParagraphFont"/>
    <w:link w:val="Heading3"/>
    <w:uiPriority w:val="9"/>
    <w:rsid w:val="003C7923"/>
    <w:rPr>
      <w:rFonts w:asciiTheme="minorHAnsi" w:eastAsiaTheme="majorEastAsia" w:hAnsiTheme="minorHAnsi" w:cstheme="majorBidi"/>
      <w:b/>
      <w:caps/>
      <w:color w:val="000000" w:themeColor="text1"/>
      <w:sz w:val="22"/>
      <w:szCs w:val="24"/>
    </w:rPr>
  </w:style>
  <w:style w:type="character" w:customStyle="1" w:styleId="Heading4Char">
    <w:name w:val="Heading 4 Char"/>
    <w:basedOn w:val="DefaultParagraphFont"/>
    <w:link w:val="Heading4"/>
    <w:rsid w:val="003C7923"/>
    <w:rPr>
      <w:rFonts w:asciiTheme="minorHAnsi" w:eastAsiaTheme="majorEastAsia" w:hAnsiTheme="minorHAnsi" w:cstheme="majorBidi"/>
      <w:i/>
      <w:iCs/>
      <w:color w:val="2D416E" w:themeColor="accent1" w:themeShade="BF"/>
      <w:sz w:val="22"/>
      <w:szCs w:val="24"/>
    </w:rPr>
  </w:style>
  <w:style w:type="character" w:styleId="IntenseEmphasis">
    <w:name w:val="Intense Emphasis"/>
    <w:basedOn w:val="DefaultParagraphFont"/>
    <w:uiPriority w:val="21"/>
    <w:qFormat/>
    <w:rsid w:val="00FB4391"/>
    <w:rPr>
      <w:i/>
      <w:iCs/>
      <w:color w:val="3C5893" w:themeColor="accent1"/>
    </w:rPr>
  </w:style>
  <w:style w:type="paragraph" w:styleId="BalloonText">
    <w:name w:val="Balloon Text"/>
    <w:basedOn w:val="Normal"/>
    <w:link w:val="BalloonTextChar"/>
    <w:semiHidden/>
    <w:unhideWhenUsed/>
    <w:rsid w:val="00B65C2A"/>
    <w:pPr>
      <w:spacing w:after="0" w:line="240" w:lineRule="auto"/>
    </w:pPr>
    <w:rPr>
      <w:rFonts w:ascii="Segoe UI" w:hAnsi="Segoe UI" w:cs="Segoe UI"/>
      <w:sz w:val="18"/>
      <w:szCs w:val="18"/>
    </w:rPr>
  </w:style>
  <w:style w:type="table" w:customStyle="1" w:styleId="Tables-APBase">
    <w:name w:val="Tables - AP Base"/>
    <w:basedOn w:val="TableNormal"/>
    <w:rsid w:val="005565B7"/>
    <w:pPr>
      <w:spacing w:after="0" w:line="240" w:lineRule="auto"/>
    </w:pPr>
    <w:rPr>
      <w:rFonts w:ascii="Verdana" w:eastAsia="Times New Roman" w:hAnsi="Verdana" w:cs="Times New Roman"/>
      <w:sz w:val="22"/>
      <w:szCs w:val="21"/>
      <w:lang w:val="en-AU" w:eastAsia="en-AU"/>
    </w:rPr>
    <w:tblPr>
      <w:tblStyleRowBandSize w:val="1"/>
      <w:tblStyleColBandSize w:val="1"/>
      <w:tblBorders>
        <w:insideH w:val="dotted" w:sz="4" w:space="0" w:color="1F2C56" w:themeColor="text2"/>
      </w:tblBorders>
    </w:tblPr>
    <w:tcPr>
      <w:shd w:val="clear" w:color="auto" w:fill="auto"/>
      <w:tcMar>
        <w:top w:w="0" w:type="dxa"/>
        <w:left w:w="108" w:type="dxa"/>
        <w:bottom w:w="0" w:type="dxa"/>
        <w:right w:w="108" w:type="dxa"/>
      </w:tcMar>
    </w:tcPr>
    <w:tblStylePr w:type="firstRow">
      <w:pPr>
        <w:jc w:val="center"/>
      </w:pPr>
      <w:rPr>
        <w:rFonts w:ascii="Adobe Devanagari" w:hAnsi="Adobe Devanagari"/>
        <w:b w:val="0"/>
        <w:color w:val="auto"/>
      </w:rPr>
      <w:tblPr/>
      <w:tcPr>
        <w:shd w:val="clear" w:color="auto" w:fill="1F2C56" w:themeFill="text2"/>
        <w:vAlign w:val="bottom"/>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Adobe Devanagari" w:hAnsi="Adobe Devanagari"/>
        <w:sz w:val="22"/>
      </w:rPr>
    </w:tblStylePr>
    <w:tblStylePr w:type="nwCell">
      <w:pPr>
        <w:jc w:val="left"/>
      </w:pPr>
      <w:tblPr/>
      <w:tcPr>
        <w:vAlign w:val="bottom"/>
      </w:tcPr>
    </w:tblStylePr>
  </w:style>
  <w:style w:type="paragraph" w:customStyle="1" w:styleId="TableTextNormal">
    <w:name w:val="Table Text Normal"/>
    <w:uiPriority w:val="99"/>
    <w:qFormat/>
    <w:rsid w:val="003A0704"/>
    <w:pPr>
      <w:spacing w:before="60" w:after="60" w:line="240" w:lineRule="auto"/>
    </w:pPr>
    <w:rPr>
      <w:rFonts w:ascii="Calibri" w:eastAsia="Times New Roman" w:hAnsi="Calibri" w:cs="Times New Roman"/>
      <w:sz w:val="22"/>
      <w:szCs w:val="26"/>
      <w:lang w:val="en-AU" w:eastAsia="en-AU"/>
    </w:rPr>
  </w:style>
  <w:style w:type="paragraph" w:customStyle="1" w:styleId="TableColumnHead">
    <w:name w:val="Table Column Head"/>
    <w:uiPriority w:val="99"/>
    <w:qFormat/>
    <w:rsid w:val="003A0704"/>
    <w:pPr>
      <w:spacing w:before="80" w:after="80"/>
    </w:pPr>
    <w:rPr>
      <w:rFonts w:ascii="Calibri" w:hAnsi="Calibri"/>
      <w:b/>
      <w:color w:val="FFFFFF" w:themeColor="background1"/>
      <w:sz w:val="22"/>
    </w:rPr>
  </w:style>
  <w:style w:type="paragraph" w:customStyle="1" w:styleId="TableRowHead">
    <w:name w:val="Table Row Head"/>
    <w:qFormat/>
    <w:rsid w:val="003A0704"/>
    <w:pPr>
      <w:spacing w:before="60" w:after="60" w:line="240" w:lineRule="auto"/>
    </w:pPr>
    <w:rPr>
      <w:rFonts w:asciiTheme="minorHAnsi" w:eastAsia="Times New Roman" w:hAnsiTheme="minorHAnsi" w:cs="Times New Roman"/>
      <w:b/>
      <w:sz w:val="22"/>
      <w:szCs w:val="26"/>
      <w:lang w:val="en-AU" w:eastAsia="en-AU"/>
    </w:rPr>
  </w:style>
  <w:style w:type="table" w:customStyle="1" w:styleId="Tables-APBase9">
    <w:name w:val="Tables - AP Base9"/>
    <w:basedOn w:val="TableNormal"/>
    <w:rsid w:val="005565B7"/>
    <w:pPr>
      <w:spacing w:after="0" w:line="240" w:lineRule="auto"/>
    </w:pPr>
    <w:rPr>
      <w:rFonts w:ascii="Verdana" w:eastAsia="Times New Roman" w:hAnsi="Verdana" w:cs="Times New Roman"/>
      <w:sz w:val="22"/>
      <w:szCs w:val="21"/>
      <w:lang w:val="en-AU" w:eastAsia="en-AU"/>
    </w:rPr>
    <w:tblPr>
      <w:tblStyleRowBandSize w:val="1"/>
      <w:tblStyleColBandSize w:val="1"/>
      <w:tblBorders>
        <w:insideH w:val="dotted" w:sz="4" w:space="0" w:color="1F2C56" w:themeColor="text2"/>
      </w:tblBorders>
    </w:tblPr>
    <w:tcPr>
      <w:shd w:val="clear" w:color="auto" w:fill="auto"/>
      <w:tcMar>
        <w:top w:w="0" w:type="dxa"/>
        <w:left w:w="108" w:type="dxa"/>
        <w:bottom w:w="0" w:type="dxa"/>
        <w:right w:w="108" w:type="dxa"/>
      </w:tcMar>
    </w:tcPr>
    <w:tblStylePr w:type="firstRow">
      <w:pPr>
        <w:jc w:val="center"/>
      </w:pPr>
      <w:rPr>
        <w:rFonts w:ascii="Adobe Devanagari" w:hAnsi="Adobe Devanagari"/>
        <w:b w:val="0"/>
        <w:color w:val="auto"/>
      </w:rPr>
      <w:tblPr/>
      <w:tcPr>
        <w:shd w:val="clear" w:color="auto" w:fill="1F2C56" w:themeFill="text2"/>
        <w:vAlign w:val="bottom"/>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Adobe Devanagari" w:hAnsi="Adobe Devanagari"/>
        <w:sz w:val="22"/>
      </w:rPr>
    </w:tblStylePr>
    <w:tblStylePr w:type="nwCell">
      <w:pPr>
        <w:jc w:val="left"/>
      </w:pPr>
      <w:tblPr/>
      <w:tcPr>
        <w:vAlign w:val="bottom"/>
      </w:tcPr>
    </w:tblStylePr>
  </w:style>
  <w:style w:type="table" w:customStyle="1" w:styleId="Tables-APBase10">
    <w:name w:val="Tables - AP Base10"/>
    <w:basedOn w:val="TableNormal"/>
    <w:rsid w:val="005565B7"/>
    <w:pPr>
      <w:spacing w:after="0" w:line="240" w:lineRule="auto"/>
    </w:pPr>
    <w:rPr>
      <w:rFonts w:ascii="Verdana" w:eastAsia="Times New Roman" w:hAnsi="Verdana" w:cs="Times New Roman"/>
      <w:sz w:val="22"/>
      <w:szCs w:val="21"/>
      <w:lang w:val="en-AU" w:eastAsia="en-AU"/>
    </w:rPr>
    <w:tblPr>
      <w:tblStyleRowBandSize w:val="1"/>
      <w:tblStyleColBandSize w:val="1"/>
      <w:tblBorders>
        <w:insideH w:val="dotted" w:sz="4" w:space="0" w:color="1F2C56" w:themeColor="text2"/>
      </w:tblBorders>
    </w:tblPr>
    <w:tcPr>
      <w:shd w:val="clear" w:color="auto" w:fill="auto"/>
      <w:tcMar>
        <w:top w:w="0" w:type="dxa"/>
        <w:left w:w="108" w:type="dxa"/>
        <w:bottom w:w="0" w:type="dxa"/>
        <w:right w:w="108" w:type="dxa"/>
      </w:tcMar>
    </w:tcPr>
    <w:tblStylePr w:type="firstRow">
      <w:pPr>
        <w:jc w:val="center"/>
      </w:pPr>
      <w:rPr>
        <w:rFonts w:ascii="Adobe Devanagari" w:hAnsi="Adobe Devanagari"/>
        <w:b w:val="0"/>
        <w:color w:val="auto"/>
      </w:rPr>
      <w:tblPr/>
      <w:tcPr>
        <w:shd w:val="clear" w:color="auto" w:fill="1F2C56" w:themeFill="text2"/>
        <w:vAlign w:val="bottom"/>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Adobe Devanagari" w:hAnsi="Adobe Devanagari"/>
        <w:sz w:val="22"/>
      </w:rPr>
    </w:tblStylePr>
    <w:tblStylePr w:type="nwCell">
      <w:pPr>
        <w:jc w:val="left"/>
      </w:pPr>
      <w:tblPr/>
      <w:tcPr>
        <w:vAlign w:val="bottom"/>
      </w:tcPr>
    </w:tblStylePr>
  </w:style>
  <w:style w:type="table" w:customStyle="1" w:styleId="Tables-APBase12">
    <w:name w:val="Tables - AP Base12"/>
    <w:basedOn w:val="TableNormal"/>
    <w:rsid w:val="005565B7"/>
    <w:pPr>
      <w:spacing w:after="0" w:line="240" w:lineRule="auto"/>
    </w:pPr>
    <w:rPr>
      <w:rFonts w:ascii="Verdana" w:eastAsia="Times New Roman" w:hAnsi="Verdana" w:cs="Times New Roman"/>
      <w:sz w:val="22"/>
      <w:szCs w:val="21"/>
      <w:lang w:val="en-AU" w:eastAsia="en-AU"/>
    </w:rPr>
    <w:tblPr>
      <w:tblStyleRowBandSize w:val="1"/>
      <w:tblStyleColBandSize w:val="1"/>
      <w:tblBorders>
        <w:insideH w:val="dotted" w:sz="4" w:space="0" w:color="1F2C56" w:themeColor="text2"/>
      </w:tblBorders>
    </w:tblPr>
    <w:tcPr>
      <w:shd w:val="clear" w:color="auto" w:fill="auto"/>
      <w:tcMar>
        <w:top w:w="0" w:type="dxa"/>
        <w:left w:w="108" w:type="dxa"/>
        <w:bottom w:w="0" w:type="dxa"/>
        <w:right w:w="108" w:type="dxa"/>
      </w:tcMar>
    </w:tcPr>
    <w:tblStylePr w:type="firstRow">
      <w:pPr>
        <w:jc w:val="center"/>
      </w:pPr>
      <w:rPr>
        <w:rFonts w:ascii="Adobe Devanagari" w:hAnsi="Adobe Devanagari"/>
        <w:b w:val="0"/>
        <w:color w:val="auto"/>
      </w:rPr>
      <w:tblPr/>
      <w:tcPr>
        <w:shd w:val="clear" w:color="auto" w:fill="1F2C56" w:themeFill="text2"/>
        <w:vAlign w:val="bottom"/>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Adobe Devanagari" w:hAnsi="Adobe Devanagari"/>
        <w:sz w:val="22"/>
      </w:rPr>
    </w:tblStylePr>
    <w:tblStylePr w:type="nwCell">
      <w:pPr>
        <w:jc w:val="left"/>
      </w:pPr>
      <w:tblPr/>
      <w:tcPr>
        <w:vAlign w:val="bottom"/>
      </w:tcPr>
    </w:tblStylePr>
  </w:style>
  <w:style w:type="character" w:customStyle="1" w:styleId="BalloonTextChar">
    <w:name w:val="Balloon Text Char"/>
    <w:basedOn w:val="DefaultParagraphFont"/>
    <w:link w:val="BalloonText"/>
    <w:semiHidden/>
    <w:rsid w:val="00B65C2A"/>
    <w:rPr>
      <w:rFonts w:ascii="Segoe UI" w:hAnsi="Segoe UI" w:cs="Segoe UI"/>
      <w:sz w:val="18"/>
      <w:szCs w:val="18"/>
    </w:rPr>
  </w:style>
  <w:style w:type="character" w:styleId="SubtleEmphasis">
    <w:name w:val="Subtle Emphasis"/>
    <w:basedOn w:val="DefaultParagraphFont"/>
    <w:uiPriority w:val="19"/>
    <w:qFormat/>
    <w:rsid w:val="00AB3299"/>
    <w:rPr>
      <w:i/>
      <w:iCs/>
      <w:color w:val="404040" w:themeColor="text1" w:themeTint="BF"/>
    </w:rPr>
  </w:style>
  <w:style w:type="character" w:styleId="Emphasis">
    <w:name w:val="Emphasis"/>
    <w:basedOn w:val="DefaultParagraphFont"/>
    <w:uiPriority w:val="20"/>
    <w:qFormat/>
    <w:rsid w:val="00AB3299"/>
    <w:rPr>
      <w:i/>
      <w:iCs/>
    </w:rPr>
  </w:style>
  <w:style w:type="table" w:styleId="TableGrid">
    <w:name w:val="Table Grid"/>
    <w:aliases w:val="none,CV table,EP Table Grid,ICB Table,EY Question Table,EY Table"/>
    <w:basedOn w:val="TableNormal"/>
    <w:rsid w:val="002B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F2A42"/>
    <w:pPr>
      <w:spacing w:before="120" w:after="120" w:line="264" w:lineRule="auto"/>
    </w:pPr>
    <w:rPr>
      <w:rFonts w:eastAsia="Times New Roman" w:cs="Times New Roman"/>
      <w:sz w:val="20"/>
      <w:lang w:val="en-AU" w:eastAsia="en-AU"/>
    </w:rPr>
  </w:style>
  <w:style w:type="character" w:customStyle="1" w:styleId="BodyTextChar">
    <w:name w:val="Body Text Char"/>
    <w:basedOn w:val="DefaultParagraphFont"/>
    <w:link w:val="BodyText"/>
    <w:uiPriority w:val="1"/>
    <w:rsid w:val="00BF2A42"/>
    <w:rPr>
      <w:rFonts w:asciiTheme="minorHAnsi" w:eastAsia="Times New Roman" w:hAnsiTheme="minorHAnsi" w:cs="Times New Roman"/>
      <w:szCs w:val="24"/>
      <w:lang w:val="en-AU" w:eastAsia="en-AU"/>
    </w:rPr>
  </w:style>
  <w:style w:type="paragraph" w:styleId="ListParagraph0">
    <w:name w:val="List Paragraph"/>
    <w:aliases w:val="Bullet Point,Bullet point,Bulletr List Paragraph,CAB - List Bullet,Content descriptions,FooterText,L,List Bullet 1,List Bullet Cab,List Paragraph1,List Paragraph11,List Paragraph2,List Paragraph21,Listeafsnit1,NFP GP Bulleted List,リスト段,列"/>
    <w:basedOn w:val="Normal"/>
    <w:link w:val="ListParagraphChar"/>
    <w:uiPriority w:val="34"/>
    <w:qFormat/>
    <w:rsid w:val="00BF2A42"/>
    <w:pPr>
      <w:numPr>
        <w:numId w:val="2"/>
      </w:numPr>
      <w:spacing w:after="120" w:line="264" w:lineRule="auto"/>
    </w:pPr>
    <w:rPr>
      <w:rFonts w:eastAsia="Times New Roman" w:cs="Times New Roman"/>
      <w:sz w:val="20"/>
      <w:lang w:val="en-AU" w:eastAsia="en-AU"/>
    </w:rPr>
  </w:style>
  <w:style w:type="numbering" w:customStyle="1" w:styleId="ListParagraph">
    <w:name w:val="List_Paragraph"/>
    <w:uiPriority w:val="99"/>
    <w:rsid w:val="00BF2A42"/>
    <w:pPr>
      <w:numPr>
        <w:numId w:val="1"/>
      </w:numPr>
    </w:pPr>
  </w:style>
  <w:style w:type="paragraph" w:styleId="ListBullet2">
    <w:name w:val="List Bullet 2"/>
    <w:basedOn w:val="ListBullet"/>
    <w:uiPriority w:val="20"/>
    <w:rsid w:val="00BF2A42"/>
    <w:pPr>
      <w:numPr>
        <w:ilvl w:val="1"/>
      </w:numPr>
    </w:pPr>
  </w:style>
  <w:style w:type="paragraph" w:styleId="ListBullet3">
    <w:name w:val="List Bullet 3"/>
    <w:basedOn w:val="ListBullet"/>
    <w:uiPriority w:val="20"/>
    <w:rsid w:val="00BF2A42"/>
    <w:pPr>
      <w:numPr>
        <w:ilvl w:val="2"/>
      </w:numPr>
    </w:pPr>
  </w:style>
  <w:style w:type="paragraph" w:styleId="ListBullet4">
    <w:name w:val="List Bullet 4"/>
    <w:basedOn w:val="ListBullet"/>
    <w:uiPriority w:val="20"/>
    <w:rsid w:val="00BF2A42"/>
    <w:pPr>
      <w:numPr>
        <w:ilvl w:val="3"/>
      </w:numPr>
    </w:pPr>
  </w:style>
  <w:style w:type="paragraph" w:customStyle="1" w:styleId="ListParagraph2">
    <w:name w:val="List Paragraph 2"/>
    <w:basedOn w:val="ListParagraph0"/>
    <w:uiPriority w:val="19"/>
    <w:semiHidden/>
    <w:rsid w:val="00BF2A42"/>
    <w:pPr>
      <w:numPr>
        <w:ilvl w:val="1"/>
      </w:numPr>
      <w:tabs>
        <w:tab w:val="num" w:pos="360"/>
      </w:tabs>
    </w:pPr>
  </w:style>
  <w:style w:type="paragraph" w:customStyle="1" w:styleId="ListParagraph3">
    <w:name w:val="List Paragraph 3"/>
    <w:basedOn w:val="ListParagraph0"/>
    <w:uiPriority w:val="19"/>
    <w:semiHidden/>
    <w:rsid w:val="00BF2A42"/>
    <w:pPr>
      <w:numPr>
        <w:ilvl w:val="2"/>
      </w:numPr>
      <w:tabs>
        <w:tab w:val="num" w:pos="360"/>
      </w:tabs>
    </w:pPr>
  </w:style>
  <w:style w:type="paragraph" w:customStyle="1" w:styleId="ListParagraph4">
    <w:name w:val="List Paragraph 4"/>
    <w:basedOn w:val="ListParagraph0"/>
    <w:uiPriority w:val="19"/>
    <w:semiHidden/>
    <w:rsid w:val="00BF2A42"/>
    <w:pPr>
      <w:numPr>
        <w:ilvl w:val="3"/>
      </w:numPr>
      <w:tabs>
        <w:tab w:val="num" w:pos="360"/>
      </w:tabs>
    </w:pPr>
  </w:style>
  <w:style w:type="paragraph" w:customStyle="1" w:styleId="ListParagraph5">
    <w:name w:val="List Paragraph 5"/>
    <w:basedOn w:val="ListParagraph0"/>
    <w:uiPriority w:val="19"/>
    <w:semiHidden/>
    <w:rsid w:val="00BF2A42"/>
    <w:pPr>
      <w:numPr>
        <w:ilvl w:val="4"/>
      </w:numPr>
      <w:tabs>
        <w:tab w:val="num" w:pos="360"/>
      </w:tabs>
    </w:pPr>
  </w:style>
  <w:style w:type="paragraph" w:customStyle="1" w:styleId="ListParagraph6">
    <w:name w:val="List Paragraph 6"/>
    <w:basedOn w:val="ListParagraph0"/>
    <w:uiPriority w:val="19"/>
    <w:semiHidden/>
    <w:rsid w:val="00BF2A42"/>
    <w:pPr>
      <w:numPr>
        <w:ilvl w:val="5"/>
      </w:numPr>
      <w:tabs>
        <w:tab w:val="num" w:pos="360"/>
      </w:tabs>
    </w:pPr>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1 Char,List Paragraph11 Char,リスト段 Char"/>
    <w:basedOn w:val="DefaultParagraphFont"/>
    <w:link w:val="ListParagraph0"/>
    <w:uiPriority w:val="34"/>
    <w:locked/>
    <w:rsid w:val="00BF2A42"/>
    <w:rPr>
      <w:rFonts w:asciiTheme="minorHAnsi" w:eastAsia="Times New Roman" w:hAnsiTheme="minorHAnsi" w:cs="Times New Roman"/>
      <w:szCs w:val="24"/>
      <w:lang w:val="en-AU" w:eastAsia="en-AU"/>
    </w:rPr>
  </w:style>
  <w:style w:type="paragraph" w:styleId="ListBullet">
    <w:name w:val="List Bullet"/>
    <w:basedOn w:val="Normal"/>
    <w:uiPriority w:val="20"/>
    <w:qFormat/>
    <w:rsid w:val="00BF2A42"/>
    <w:pPr>
      <w:spacing w:before="120" w:after="120" w:line="264" w:lineRule="auto"/>
    </w:pPr>
    <w:rPr>
      <w:sz w:val="20"/>
      <w:szCs w:val="22"/>
      <w:lang w:val="en-AU"/>
    </w:rPr>
  </w:style>
  <w:style w:type="paragraph" w:styleId="ListBullet5">
    <w:name w:val="List Bullet 5"/>
    <w:basedOn w:val="Normal"/>
    <w:uiPriority w:val="20"/>
    <w:rsid w:val="00BF2A42"/>
    <w:pPr>
      <w:numPr>
        <w:numId w:val="4"/>
      </w:numPr>
      <w:spacing w:after="0" w:line="240" w:lineRule="auto"/>
      <w:contextualSpacing/>
    </w:pPr>
    <w:rPr>
      <w:sz w:val="20"/>
      <w:szCs w:val="22"/>
      <w:lang w:val="en-AU"/>
    </w:rPr>
  </w:style>
  <w:style w:type="paragraph" w:styleId="ListNumber">
    <w:name w:val="List Number"/>
    <w:basedOn w:val="ListBullet"/>
    <w:uiPriority w:val="21"/>
    <w:qFormat/>
    <w:rsid w:val="00BF2A42"/>
    <w:pPr>
      <w:numPr>
        <w:numId w:val="5"/>
      </w:numPr>
    </w:pPr>
  </w:style>
  <w:style w:type="paragraph" w:styleId="ListNumber2">
    <w:name w:val="List Number 2"/>
    <w:basedOn w:val="ListBullet2"/>
    <w:uiPriority w:val="21"/>
    <w:rsid w:val="00BF2A42"/>
    <w:pPr>
      <w:numPr>
        <w:numId w:val="5"/>
      </w:numPr>
    </w:pPr>
  </w:style>
  <w:style w:type="paragraph" w:styleId="ListNumber3">
    <w:name w:val="List Number 3"/>
    <w:basedOn w:val="ListBullet3"/>
    <w:uiPriority w:val="21"/>
    <w:rsid w:val="00BF2A42"/>
    <w:pPr>
      <w:numPr>
        <w:numId w:val="5"/>
      </w:numPr>
    </w:pPr>
  </w:style>
  <w:style w:type="paragraph" w:styleId="ListNumber4">
    <w:name w:val="List Number 4"/>
    <w:basedOn w:val="ListNumber"/>
    <w:uiPriority w:val="21"/>
    <w:rsid w:val="00BF2A42"/>
    <w:pPr>
      <w:numPr>
        <w:ilvl w:val="3"/>
      </w:numPr>
    </w:pPr>
  </w:style>
  <w:style w:type="paragraph" w:customStyle="1" w:styleId="ListAlpha">
    <w:name w:val="List Alpha"/>
    <w:basedOn w:val="Normal"/>
    <w:uiPriority w:val="22"/>
    <w:qFormat/>
    <w:rsid w:val="00BF2A42"/>
    <w:pPr>
      <w:numPr>
        <w:numId w:val="7"/>
      </w:numPr>
      <w:spacing w:after="120" w:line="264" w:lineRule="auto"/>
    </w:pPr>
    <w:rPr>
      <w:rFonts w:eastAsia="Times New Roman" w:cs="Times New Roman"/>
      <w:sz w:val="20"/>
      <w:lang w:val="en-AU" w:eastAsia="en-AU"/>
    </w:rPr>
  </w:style>
  <w:style w:type="paragraph" w:customStyle="1" w:styleId="ListAlpha4">
    <w:name w:val="List Alpha 4"/>
    <w:basedOn w:val="ListAlpha3"/>
    <w:uiPriority w:val="22"/>
    <w:rsid w:val="00BF2A42"/>
    <w:pPr>
      <w:numPr>
        <w:ilvl w:val="3"/>
      </w:numPr>
    </w:pPr>
  </w:style>
  <w:style w:type="paragraph" w:customStyle="1" w:styleId="ListAlpha5">
    <w:name w:val="List Alpha 5"/>
    <w:basedOn w:val="ListAlpha4"/>
    <w:uiPriority w:val="22"/>
    <w:rsid w:val="00BF2A42"/>
    <w:pPr>
      <w:numPr>
        <w:ilvl w:val="4"/>
      </w:numPr>
    </w:pPr>
  </w:style>
  <w:style w:type="paragraph" w:customStyle="1" w:styleId="ListAlpha3">
    <w:name w:val="List Alpha 3"/>
    <w:basedOn w:val="ListAlpha2"/>
    <w:uiPriority w:val="22"/>
    <w:rsid w:val="00BF2A42"/>
    <w:pPr>
      <w:numPr>
        <w:ilvl w:val="2"/>
      </w:numPr>
    </w:pPr>
  </w:style>
  <w:style w:type="paragraph" w:customStyle="1" w:styleId="ListAlpha2">
    <w:name w:val="List Alpha 2"/>
    <w:basedOn w:val="ListAlpha"/>
    <w:uiPriority w:val="22"/>
    <w:qFormat/>
    <w:rsid w:val="00BF2A42"/>
    <w:pPr>
      <w:numPr>
        <w:ilvl w:val="1"/>
        <w:numId w:val="6"/>
      </w:numPr>
    </w:pPr>
  </w:style>
  <w:style w:type="character" w:customStyle="1" w:styleId="Heading5Char">
    <w:name w:val="Heading 5 Char"/>
    <w:basedOn w:val="DefaultParagraphFont"/>
    <w:link w:val="Heading5"/>
    <w:rsid w:val="00BF2A42"/>
    <w:rPr>
      <w:rFonts w:asciiTheme="majorHAnsi" w:eastAsiaTheme="majorEastAsia" w:hAnsiTheme="majorHAnsi" w:cstheme="majorBidi"/>
      <w:color w:val="2D416E" w:themeColor="accent1" w:themeShade="BF"/>
      <w:sz w:val="22"/>
      <w:szCs w:val="24"/>
    </w:rPr>
  </w:style>
  <w:style w:type="paragraph" w:styleId="Quote">
    <w:name w:val="Quote"/>
    <w:basedOn w:val="Normal"/>
    <w:next w:val="Normal"/>
    <w:link w:val="QuoteChar"/>
    <w:uiPriority w:val="83"/>
    <w:qFormat/>
    <w:rsid w:val="00BF2A42"/>
    <w:pPr>
      <w:spacing w:before="240" w:line="264" w:lineRule="auto"/>
    </w:pPr>
    <w:rPr>
      <w:rFonts w:ascii="Arial" w:eastAsia="Arial" w:hAnsi="Arial" w:cs="Times New Roman"/>
      <w:color w:val="3C5893" w:themeColor="accent1"/>
      <w:sz w:val="40"/>
      <w:szCs w:val="40"/>
      <w:lang w:val="en-AU"/>
    </w:rPr>
  </w:style>
  <w:style w:type="character" w:customStyle="1" w:styleId="QuoteChar">
    <w:name w:val="Quote Char"/>
    <w:basedOn w:val="DefaultParagraphFont"/>
    <w:link w:val="Quote"/>
    <w:uiPriority w:val="83"/>
    <w:rsid w:val="00BF2A42"/>
    <w:rPr>
      <w:rFonts w:ascii="Arial" w:eastAsia="Arial" w:hAnsi="Arial" w:cs="Times New Roman"/>
      <w:color w:val="3C5893" w:themeColor="accent1"/>
      <w:sz w:val="40"/>
      <w:szCs w:val="40"/>
      <w:lang w:val="en-AU"/>
    </w:rPr>
  </w:style>
  <w:style w:type="table" w:customStyle="1" w:styleId="HomeAffairsTable">
    <w:name w:val="Home Affairs Table"/>
    <w:basedOn w:val="TableNormal"/>
    <w:uiPriority w:val="99"/>
    <w:rsid w:val="00BF2A42"/>
    <w:pPr>
      <w:spacing w:before="120" w:after="120" w:line="240" w:lineRule="auto"/>
    </w:pPr>
    <w:rPr>
      <w:rFonts w:asciiTheme="minorHAnsi" w:hAnsiTheme="minorHAnsi"/>
      <w:color w:val="000000" w:themeColor="text1"/>
      <w:szCs w:val="20"/>
      <w:lang w:val="en-AU"/>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3C5893"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customStyle="1" w:styleId="TableHeading">
    <w:name w:val="Table Heading"/>
    <w:basedOn w:val="Normal"/>
    <w:next w:val="BodyText"/>
    <w:uiPriority w:val="12"/>
    <w:qFormat/>
    <w:rsid w:val="00BF2A42"/>
    <w:pPr>
      <w:spacing w:before="120" w:after="120" w:line="240" w:lineRule="auto"/>
    </w:pPr>
    <w:rPr>
      <w:b/>
      <w:sz w:val="20"/>
      <w:szCs w:val="22"/>
      <w:lang w:val="en-AU"/>
    </w:rPr>
  </w:style>
  <w:style w:type="paragraph" w:styleId="Caption">
    <w:name w:val="caption"/>
    <w:aliases w:val="DVA Caption"/>
    <w:basedOn w:val="Normal"/>
    <w:next w:val="Normal"/>
    <w:qFormat/>
    <w:rsid w:val="00BF2A42"/>
    <w:pPr>
      <w:keepNext/>
      <w:tabs>
        <w:tab w:val="left" w:pos="1134"/>
      </w:tabs>
      <w:spacing w:before="120" w:after="240" w:line="264" w:lineRule="auto"/>
      <w:ind w:left="1134" w:hanging="1134"/>
    </w:pPr>
    <w:rPr>
      <w:b/>
      <w:i/>
      <w:sz w:val="18"/>
      <w:szCs w:val="18"/>
      <w:lang w:val="en-AU"/>
    </w:rPr>
  </w:style>
  <w:style w:type="paragraph" w:customStyle="1" w:styleId="Tablebody">
    <w:name w:val="Table body"/>
    <w:basedOn w:val="Normal"/>
    <w:uiPriority w:val="12"/>
    <w:qFormat/>
    <w:rsid w:val="00BF2A42"/>
    <w:pPr>
      <w:spacing w:before="120" w:after="120" w:line="240" w:lineRule="auto"/>
    </w:pPr>
    <w:rPr>
      <w:rFonts w:eastAsia="MS Mincho" w:cs="Times New Roman"/>
      <w:color w:val="000000" w:themeColor="text1"/>
      <w:sz w:val="20"/>
      <w:szCs w:val="20"/>
    </w:rPr>
  </w:style>
  <w:style w:type="paragraph" w:customStyle="1" w:styleId="Heading1numbered">
    <w:name w:val="Heading 1 (numbered)"/>
    <w:basedOn w:val="Heading1"/>
    <w:next w:val="BodyText"/>
    <w:uiPriority w:val="3"/>
    <w:qFormat/>
    <w:rsid w:val="00676ACD"/>
    <w:pPr>
      <w:numPr>
        <w:numId w:val="8"/>
      </w:numPr>
      <w:spacing w:before="120" w:after="240" w:line="264" w:lineRule="auto"/>
    </w:pPr>
    <w:rPr>
      <w:noProof/>
      <w:color w:val="000000" w:themeColor="text1"/>
      <w:sz w:val="40"/>
      <w:szCs w:val="40"/>
      <w:lang w:val="en-AU"/>
    </w:rPr>
  </w:style>
  <w:style w:type="paragraph" w:customStyle="1" w:styleId="Heading2numbered">
    <w:name w:val="Heading 2 (numbered)"/>
    <w:basedOn w:val="Heading2"/>
    <w:next w:val="BodyText"/>
    <w:uiPriority w:val="3"/>
    <w:qFormat/>
    <w:rsid w:val="00676ACD"/>
    <w:pPr>
      <w:keepLines w:val="0"/>
      <w:numPr>
        <w:ilvl w:val="1"/>
        <w:numId w:val="8"/>
      </w:numPr>
      <w:spacing w:before="360" w:after="240" w:line="264" w:lineRule="auto"/>
    </w:pPr>
    <w:rPr>
      <w:rFonts w:ascii="Rockwell" w:eastAsiaTheme="minorHAnsi" w:hAnsi="Rockwell" w:cstheme="minorBidi"/>
      <w:noProof/>
      <w:color w:val="000000" w:themeColor="text1"/>
      <w:sz w:val="28"/>
      <w:szCs w:val="28"/>
      <w:lang w:val="en-AU"/>
    </w:rPr>
  </w:style>
  <w:style w:type="paragraph" w:customStyle="1" w:styleId="Heading3numbered">
    <w:name w:val="Heading 3 (numbered)"/>
    <w:basedOn w:val="Heading3"/>
    <w:next w:val="BodyText"/>
    <w:uiPriority w:val="3"/>
    <w:qFormat/>
    <w:rsid w:val="00676ACD"/>
    <w:pPr>
      <w:keepLines w:val="0"/>
      <w:numPr>
        <w:ilvl w:val="2"/>
        <w:numId w:val="8"/>
      </w:numPr>
      <w:spacing w:before="240" w:after="120" w:line="264" w:lineRule="auto"/>
    </w:pPr>
    <w:rPr>
      <w:rFonts w:ascii="Rockwell" w:eastAsiaTheme="minorHAnsi" w:hAnsi="Rockwell" w:cstheme="minorBidi"/>
      <w:b w:val="0"/>
      <w:caps w:val="0"/>
      <w:sz w:val="24"/>
      <w:szCs w:val="20"/>
      <w:lang w:val="en-AU"/>
    </w:rPr>
  </w:style>
  <w:style w:type="paragraph" w:customStyle="1" w:styleId="Heading4numbered">
    <w:name w:val="Heading 4 (numbered)"/>
    <w:basedOn w:val="Heading4"/>
    <w:next w:val="BodyText"/>
    <w:uiPriority w:val="3"/>
    <w:qFormat/>
    <w:rsid w:val="00676ACD"/>
    <w:pPr>
      <w:keepLines w:val="0"/>
      <w:numPr>
        <w:ilvl w:val="3"/>
        <w:numId w:val="8"/>
      </w:numPr>
      <w:spacing w:before="240" w:after="120" w:line="264" w:lineRule="auto"/>
    </w:pPr>
    <w:rPr>
      <w:rFonts w:ascii="Rockwell" w:eastAsiaTheme="minorHAnsi" w:hAnsi="Rockwell" w:cstheme="minorBidi"/>
      <w:i w:val="0"/>
      <w:iCs w:val="0"/>
      <w:color w:val="000000" w:themeColor="text1"/>
      <w:sz w:val="20"/>
      <w:szCs w:val="20"/>
      <w:lang w:val="en-AU"/>
    </w:rPr>
  </w:style>
  <w:style w:type="paragraph" w:customStyle="1" w:styleId="Heading5numbered">
    <w:name w:val="Heading 5 (numbered)"/>
    <w:basedOn w:val="Heading5"/>
    <w:next w:val="BodyText"/>
    <w:uiPriority w:val="3"/>
    <w:qFormat/>
    <w:rsid w:val="00BF2A42"/>
    <w:pPr>
      <w:keepLines w:val="0"/>
      <w:numPr>
        <w:ilvl w:val="4"/>
        <w:numId w:val="8"/>
      </w:numPr>
      <w:spacing w:before="240" w:after="120" w:line="264" w:lineRule="auto"/>
    </w:pPr>
    <w:rPr>
      <w:rFonts w:asciiTheme="minorHAnsi" w:eastAsiaTheme="minorHAnsi" w:hAnsiTheme="minorHAnsi" w:cstheme="minorBidi"/>
      <w:b/>
      <w:i/>
      <w:color w:val="000000" w:themeColor="text1"/>
      <w:sz w:val="20"/>
      <w:szCs w:val="20"/>
      <w:lang w:val="en-AU"/>
    </w:rPr>
  </w:style>
  <w:style w:type="paragraph" w:styleId="FootnoteText">
    <w:name w:val="footnote text"/>
    <w:aliases w:val="fn,FT,ft,SD Footnote Text,Footnote Text AG"/>
    <w:basedOn w:val="Normal"/>
    <w:link w:val="FootnoteTextChar"/>
    <w:uiPriority w:val="99"/>
    <w:semiHidden/>
    <w:unhideWhenUsed/>
    <w:rsid w:val="00BF2A42"/>
    <w:pPr>
      <w:spacing w:after="0" w:line="240" w:lineRule="auto"/>
    </w:pPr>
    <w:rPr>
      <w:color w:val="A5A5A5" w:themeColor="accent3"/>
      <w:sz w:val="16"/>
      <w:szCs w:val="20"/>
      <w:lang w:val="en-AU"/>
    </w:rPr>
  </w:style>
  <w:style w:type="character" w:customStyle="1" w:styleId="FootnoteTextChar">
    <w:name w:val="Footnote Text Char"/>
    <w:aliases w:val="fn Char,FT Char,ft Char,SD Footnote Text Char,Footnote Text AG Char"/>
    <w:basedOn w:val="DefaultParagraphFont"/>
    <w:link w:val="FootnoteText"/>
    <w:uiPriority w:val="99"/>
    <w:semiHidden/>
    <w:rsid w:val="00BF2A42"/>
    <w:rPr>
      <w:rFonts w:asciiTheme="minorHAnsi" w:hAnsiTheme="minorHAnsi"/>
      <w:color w:val="A5A5A5" w:themeColor="accent3"/>
      <w:sz w:val="16"/>
      <w:szCs w:val="20"/>
      <w:lang w:val="en-AU"/>
    </w:rPr>
  </w:style>
  <w:style w:type="character" w:styleId="FootnoteReference">
    <w:name w:val="footnote reference"/>
    <w:aliases w:val="fr"/>
    <w:basedOn w:val="DefaultParagraphFont"/>
    <w:uiPriority w:val="99"/>
    <w:semiHidden/>
    <w:unhideWhenUsed/>
    <w:rsid w:val="00BF2A42"/>
    <w:rPr>
      <w:vertAlign w:val="superscript"/>
    </w:rPr>
  </w:style>
  <w:style w:type="paragraph" w:styleId="Subtitle">
    <w:name w:val="Subtitle"/>
    <w:basedOn w:val="Normal"/>
    <w:next w:val="Normal"/>
    <w:link w:val="SubtitleChar"/>
    <w:qFormat/>
    <w:rsid w:val="007D3649"/>
    <w:pPr>
      <w:numPr>
        <w:ilvl w:val="1"/>
      </w:numPr>
    </w:pPr>
    <w:rPr>
      <w:rFonts w:eastAsiaTheme="minorEastAsia"/>
      <w:color w:val="5A5A5A" w:themeColor="text1" w:themeTint="A5"/>
      <w:spacing w:val="15"/>
      <w:szCs w:val="22"/>
    </w:rPr>
  </w:style>
  <w:style w:type="character" w:customStyle="1" w:styleId="SubtitleChar">
    <w:name w:val="Subtitle Char"/>
    <w:basedOn w:val="DefaultParagraphFont"/>
    <w:link w:val="Subtitle"/>
    <w:rsid w:val="007D3649"/>
    <w:rPr>
      <w:rFonts w:asciiTheme="minorHAnsi" w:eastAsiaTheme="minorEastAsia" w:hAnsiTheme="minorHAnsi"/>
      <w:color w:val="5A5A5A" w:themeColor="text1" w:themeTint="A5"/>
      <w:spacing w:val="15"/>
      <w:sz w:val="22"/>
    </w:rPr>
  </w:style>
  <w:style w:type="paragraph" w:styleId="TOCHeading">
    <w:name w:val="TOC Heading"/>
    <w:basedOn w:val="Heading1"/>
    <w:next w:val="Normal"/>
    <w:uiPriority w:val="39"/>
    <w:unhideWhenUsed/>
    <w:qFormat/>
    <w:rsid w:val="003D6F49"/>
    <w:pPr>
      <w:keepLines/>
      <w:spacing w:before="240" w:after="0"/>
      <w:outlineLvl w:val="9"/>
    </w:pPr>
    <w:rPr>
      <w:rFonts w:asciiTheme="majorHAnsi" w:eastAsiaTheme="majorEastAsia" w:hAnsiTheme="majorHAnsi" w:cstheme="majorBidi"/>
      <w:b w:val="0"/>
      <w:sz w:val="32"/>
      <w:szCs w:val="32"/>
    </w:rPr>
  </w:style>
  <w:style w:type="paragraph" w:styleId="TOC1">
    <w:name w:val="toc 1"/>
    <w:basedOn w:val="Normal"/>
    <w:next w:val="Normal"/>
    <w:autoRedefine/>
    <w:uiPriority w:val="39"/>
    <w:unhideWhenUsed/>
    <w:rsid w:val="003D6F49"/>
    <w:pPr>
      <w:spacing w:after="100"/>
    </w:pPr>
  </w:style>
  <w:style w:type="paragraph" w:styleId="TOC2">
    <w:name w:val="toc 2"/>
    <w:basedOn w:val="Normal"/>
    <w:next w:val="Normal"/>
    <w:autoRedefine/>
    <w:uiPriority w:val="39"/>
    <w:unhideWhenUsed/>
    <w:rsid w:val="003D6F49"/>
    <w:pPr>
      <w:spacing w:after="100"/>
      <w:ind w:left="220"/>
    </w:pPr>
  </w:style>
  <w:style w:type="paragraph" w:styleId="TOC3">
    <w:name w:val="toc 3"/>
    <w:basedOn w:val="Normal"/>
    <w:next w:val="Normal"/>
    <w:autoRedefine/>
    <w:uiPriority w:val="39"/>
    <w:unhideWhenUsed/>
    <w:rsid w:val="003D6F49"/>
    <w:pPr>
      <w:spacing w:after="100"/>
      <w:ind w:left="440"/>
    </w:pPr>
  </w:style>
  <w:style w:type="character" w:styleId="Hyperlink">
    <w:name w:val="Hyperlink"/>
    <w:basedOn w:val="DefaultParagraphFont"/>
    <w:uiPriority w:val="99"/>
    <w:unhideWhenUsed/>
    <w:rsid w:val="003D6F49"/>
    <w:rPr>
      <w:color w:val="5773B1" w:themeColor="hyperlink"/>
      <w:u w:val="single"/>
    </w:rPr>
  </w:style>
  <w:style w:type="paragraph" w:customStyle="1" w:styleId="Bodytexttitlepage">
    <w:name w:val="Body text title page"/>
    <w:basedOn w:val="Normal"/>
    <w:rsid w:val="003D6F49"/>
    <w:pPr>
      <w:keepLines/>
      <w:widowControl w:val="0"/>
      <w:spacing w:after="60" w:line="240" w:lineRule="auto"/>
      <w:jc w:val="right"/>
    </w:pPr>
    <w:rPr>
      <w:rFonts w:ascii="Arial" w:eastAsia="Times New Roman" w:hAnsi="Arial" w:cs="Times New Roman"/>
      <w:sz w:val="20"/>
      <w:szCs w:val="20"/>
      <w:lang w:val="en-AU" w:eastAsia="zh-CN"/>
    </w:rPr>
  </w:style>
  <w:style w:type="character" w:customStyle="1" w:styleId="TabletextChar">
    <w:name w:val="Table text Char"/>
    <w:basedOn w:val="DefaultParagraphFont"/>
    <w:link w:val="Tabletext"/>
    <w:locked/>
    <w:rsid w:val="003D6F49"/>
    <w:rPr>
      <w:rFonts w:ascii="Arial" w:hAnsi="Arial" w:cs="Arial"/>
      <w:color w:val="000000"/>
      <w:szCs w:val="18"/>
      <w:lang w:eastAsia="zh-CN"/>
    </w:rPr>
  </w:style>
  <w:style w:type="paragraph" w:customStyle="1" w:styleId="Tabletext">
    <w:name w:val="Table text"/>
    <w:link w:val="TabletextChar"/>
    <w:rsid w:val="003D6F49"/>
    <w:pPr>
      <w:widowControl w:val="0"/>
      <w:tabs>
        <w:tab w:val="decimal" w:pos="0"/>
      </w:tabs>
      <w:spacing w:before="60" w:after="60" w:line="240" w:lineRule="auto"/>
    </w:pPr>
    <w:rPr>
      <w:rFonts w:ascii="Arial" w:hAnsi="Arial" w:cs="Arial"/>
      <w:color w:val="000000"/>
      <w:szCs w:val="18"/>
      <w:lang w:eastAsia="zh-CN"/>
    </w:rPr>
  </w:style>
  <w:style w:type="paragraph" w:customStyle="1" w:styleId="Tableheading0">
    <w:name w:val="Table heading"/>
    <w:basedOn w:val="Tabletext"/>
    <w:rsid w:val="003D6F49"/>
    <w:rPr>
      <w:b/>
      <w:bCs/>
    </w:rPr>
  </w:style>
  <w:style w:type="character" w:customStyle="1" w:styleId="Heading6Char">
    <w:name w:val="Heading 6 Char"/>
    <w:basedOn w:val="DefaultParagraphFont"/>
    <w:link w:val="Heading6"/>
    <w:rsid w:val="00676ACD"/>
    <w:rPr>
      <w:rFonts w:ascii="EYInterstate Light" w:eastAsia="Times New Roman" w:hAnsi="EYInterstate Light" w:cs="Times New Roman"/>
      <w:sz w:val="22"/>
      <w:szCs w:val="20"/>
      <w:lang w:val="en-AU"/>
    </w:rPr>
  </w:style>
  <w:style w:type="character" w:customStyle="1" w:styleId="Heading7Char">
    <w:name w:val="Heading 7 Char"/>
    <w:basedOn w:val="DefaultParagraphFont"/>
    <w:link w:val="Heading7"/>
    <w:rsid w:val="00676ACD"/>
    <w:rPr>
      <w:rFonts w:ascii="EYInterstate Light" w:eastAsia="Times New Roman" w:hAnsi="EYInterstate Light" w:cs="Times New Roman"/>
      <w:b/>
      <w:szCs w:val="20"/>
      <w:lang w:val="en-AU"/>
    </w:rPr>
  </w:style>
  <w:style w:type="character" w:customStyle="1" w:styleId="Heading8Char">
    <w:name w:val="Heading 8 Char"/>
    <w:basedOn w:val="DefaultParagraphFont"/>
    <w:link w:val="Heading8"/>
    <w:rsid w:val="00676ACD"/>
    <w:rPr>
      <w:rFonts w:ascii="EYInterstate Light" w:eastAsia="Times New Roman" w:hAnsi="EYInterstate Light" w:cs="Times New Roman"/>
      <w:szCs w:val="20"/>
      <w:lang w:val="en-AU"/>
    </w:rPr>
  </w:style>
  <w:style w:type="character" w:customStyle="1" w:styleId="Heading9Char">
    <w:name w:val="Heading 9 Char"/>
    <w:basedOn w:val="DefaultParagraphFont"/>
    <w:link w:val="Heading9"/>
    <w:rsid w:val="00676ACD"/>
    <w:rPr>
      <w:rFonts w:ascii="EYInterstate Light" w:eastAsia="Times New Roman" w:hAnsi="EYInterstate Light" w:cs="Times New Roman"/>
      <w:i/>
      <w:szCs w:val="20"/>
      <w:lang w:val="en-AU"/>
    </w:rPr>
  </w:style>
  <w:style w:type="paragraph" w:customStyle="1" w:styleId="DVABodytextwithparaspace">
    <w:name w:val="DVA Body text (with para space)"/>
    <w:basedOn w:val="EYNormal"/>
    <w:link w:val="DVABodytextwithparaspaceChar"/>
    <w:qFormat/>
    <w:rsid w:val="00676ACD"/>
    <w:pPr>
      <w:spacing w:after="240"/>
    </w:pPr>
    <w:rPr>
      <w:rFonts w:asciiTheme="minorHAnsi" w:hAnsiTheme="minorHAnsi"/>
    </w:rPr>
  </w:style>
  <w:style w:type="paragraph" w:customStyle="1" w:styleId="DVABodytextwithoutparaspace">
    <w:name w:val="DVA Body text (without para space)"/>
    <w:basedOn w:val="EYNormal"/>
    <w:qFormat/>
    <w:rsid w:val="00676ACD"/>
  </w:style>
  <w:style w:type="paragraph" w:customStyle="1" w:styleId="DVAAppendix">
    <w:name w:val="DVA Appendix"/>
    <w:basedOn w:val="EYNormal"/>
    <w:next w:val="DVABodytextwithparaspace"/>
    <w:qFormat/>
    <w:rsid w:val="00E54EA6"/>
    <w:pPr>
      <w:numPr>
        <w:numId w:val="16"/>
      </w:numPr>
      <w:autoSpaceDE/>
      <w:autoSpaceDN/>
      <w:adjustRightInd/>
      <w:spacing w:after="360"/>
      <w:outlineLvl w:val="0"/>
    </w:pPr>
    <w:rPr>
      <w:rFonts w:ascii="Rockwell" w:hAnsi="Rockwell"/>
      <w:b/>
      <w:color w:val="5B5B5B"/>
      <w:sz w:val="32"/>
      <w:szCs w:val="24"/>
    </w:rPr>
  </w:style>
  <w:style w:type="paragraph" w:customStyle="1" w:styleId="EYContents">
    <w:name w:val="EY Contents"/>
    <w:basedOn w:val="EYNormal"/>
    <w:next w:val="DVABodytextwithparaspace"/>
    <w:rsid w:val="00676ACD"/>
    <w:pPr>
      <w:keepNext/>
      <w:spacing w:after="240"/>
    </w:pPr>
    <w:rPr>
      <w:rFonts w:ascii="EYInterstate Regular" w:hAnsi="EYInterstate Regular"/>
      <w:color w:val="747480"/>
      <w:sz w:val="28"/>
      <w:szCs w:val="24"/>
    </w:rPr>
  </w:style>
  <w:style w:type="paragraph" w:customStyle="1" w:styleId="EYCoverTitle">
    <w:name w:val="EY Cover Title"/>
    <w:basedOn w:val="Normal"/>
    <w:rsid w:val="00676ACD"/>
    <w:pPr>
      <w:tabs>
        <w:tab w:val="right" w:pos="6750"/>
      </w:tabs>
      <w:autoSpaceDE w:val="0"/>
      <w:autoSpaceDN w:val="0"/>
      <w:adjustRightInd w:val="0"/>
      <w:spacing w:after="120" w:line="560" w:lineRule="atLeast"/>
    </w:pPr>
    <w:rPr>
      <w:rFonts w:ascii="EYInterstate Light" w:eastAsia="Times New Roman" w:hAnsi="EYInterstate Light" w:cs="Times New Roman"/>
      <w:color w:val="2E2E38"/>
      <w:sz w:val="48"/>
      <w:szCs w:val="48"/>
      <w:lang w:val="en-AU"/>
    </w:rPr>
  </w:style>
  <w:style w:type="paragraph" w:customStyle="1" w:styleId="EYIndent1">
    <w:name w:val="EY Indent 1"/>
    <w:basedOn w:val="EYNormal"/>
    <w:qFormat/>
    <w:rsid w:val="00676ACD"/>
    <w:pPr>
      <w:autoSpaceDE/>
      <w:autoSpaceDN/>
      <w:adjustRightInd/>
      <w:spacing w:after="240"/>
      <w:ind w:left="425"/>
    </w:pPr>
    <w:rPr>
      <w:kern w:val="12"/>
      <w:szCs w:val="24"/>
      <w:lang w:eastAsia="en-AU"/>
    </w:rPr>
  </w:style>
  <w:style w:type="paragraph" w:customStyle="1" w:styleId="EYSource">
    <w:name w:val="EY Source"/>
    <w:basedOn w:val="EYNormal"/>
    <w:next w:val="DVABodytextwithparaspace"/>
    <w:qFormat/>
    <w:rsid w:val="00676ACD"/>
    <w:pPr>
      <w:autoSpaceDE/>
      <w:autoSpaceDN/>
      <w:adjustRightInd/>
      <w:spacing w:before="60" w:after="60"/>
    </w:pPr>
    <w:rPr>
      <w:i/>
      <w:sz w:val="16"/>
      <w:szCs w:val="24"/>
    </w:rPr>
  </w:style>
  <w:style w:type="paragraph" w:customStyle="1" w:styleId="EYTableText">
    <w:name w:val="EY Table Text"/>
    <w:basedOn w:val="EYTableNormal"/>
    <w:qFormat/>
    <w:rsid w:val="00676ACD"/>
    <w:pPr>
      <w:spacing w:before="60" w:after="60"/>
    </w:pPr>
  </w:style>
  <w:style w:type="paragraph" w:customStyle="1" w:styleId="EYTableHeading">
    <w:name w:val="EY Table Heading"/>
    <w:basedOn w:val="EYTableNormal"/>
    <w:qFormat/>
    <w:rsid w:val="00676ACD"/>
    <w:pPr>
      <w:spacing w:before="60" w:after="60"/>
    </w:pPr>
    <w:rPr>
      <w:b/>
      <w:color w:val="747480"/>
    </w:rPr>
  </w:style>
  <w:style w:type="paragraph" w:customStyle="1" w:styleId="EYTabletextbold">
    <w:name w:val="EY Table text bold"/>
    <w:basedOn w:val="EYTableNormal"/>
    <w:next w:val="EYTableText"/>
    <w:qFormat/>
    <w:rsid w:val="00676ACD"/>
    <w:pPr>
      <w:spacing w:before="60" w:after="60"/>
    </w:pPr>
    <w:rPr>
      <w:b/>
    </w:rPr>
  </w:style>
  <w:style w:type="paragraph" w:customStyle="1" w:styleId="EYTableHeadingWhite">
    <w:name w:val="EY Table Heading (White)"/>
    <w:basedOn w:val="EYTableNormal"/>
    <w:qFormat/>
    <w:rsid w:val="00676ACD"/>
    <w:pPr>
      <w:spacing w:before="60" w:after="60"/>
    </w:pPr>
    <w:rPr>
      <w:b/>
      <w:bCs/>
      <w:color w:val="FFFFFF"/>
    </w:rPr>
  </w:style>
  <w:style w:type="paragraph" w:customStyle="1" w:styleId="EYCoverDate">
    <w:name w:val="EY Cover Date"/>
    <w:basedOn w:val="EYNormal"/>
    <w:rsid w:val="00676ACD"/>
    <w:pPr>
      <w:autoSpaceDE/>
      <w:autoSpaceDN/>
      <w:adjustRightInd/>
      <w:spacing w:line="320" w:lineRule="atLeast"/>
    </w:pPr>
    <w:rPr>
      <w:b/>
      <w:color w:val="2E2E38"/>
      <w:sz w:val="24"/>
      <w:szCs w:val="24"/>
    </w:rPr>
  </w:style>
  <w:style w:type="paragraph" w:customStyle="1" w:styleId="EYCoverSubTitle">
    <w:name w:val="EY Cover SubTitle"/>
    <w:basedOn w:val="EYNormal"/>
    <w:rsid w:val="00676ACD"/>
    <w:pPr>
      <w:spacing w:after="120" w:line="360" w:lineRule="atLeast"/>
    </w:pPr>
    <w:rPr>
      <w:rFonts w:ascii="EYInterstate Regular" w:hAnsi="EYInterstate Regular"/>
      <w:color w:val="2E2E38"/>
      <w:sz w:val="28"/>
      <w:szCs w:val="24"/>
    </w:rPr>
  </w:style>
  <w:style w:type="character" w:customStyle="1" w:styleId="FootnoteTextChar1">
    <w:name w:val="Footnote Text Char1"/>
    <w:basedOn w:val="DefaultParagraphFont"/>
    <w:semiHidden/>
    <w:rsid w:val="00676ACD"/>
    <w:rPr>
      <w:lang w:val="en-AU"/>
    </w:rPr>
  </w:style>
  <w:style w:type="paragraph" w:customStyle="1" w:styleId="DVABulletnoparaspace">
    <w:name w:val="DVA Bullet (no para space)"/>
    <w:basedOn w:val="ListParagraph0"/>
    <w:qFormat/>
    <w:rsid w:val="00676ACD"/>
    <w:pPr>
      <w:numPr>
        <w:numId w:val="21"/>
      </w:numPr>
      <w:spacing w:after="0" w:line="240" w:lineRule="auto"/>
      <w:contextualSpacing/>
    </w:pPr>
    <w:rPr>
      <w:rFonts w:ascii="Calibri" w:hAnsi="Calibri"/>
      <w:szCs w:val="16"/>
      <w:lang w:eastAsia="en-US"/>
    </w:rPr>
  </w:style>
  <w:style w:type="paragraph" w:customStyle="1" w:styleId="DVABulletedText1">
    <w:name w:val="DVA Bulleted Text 1"/>
    <w:basedOn w:val="EYNormal"/>
    <w:qFormat/>
    <w:rsid w:val="00676ACD"/>
    <w:pPr>
      <w:numPr>
        <w:numId w:val="19"/>
      </w:numPr>
      <w:autoSpaceDE/>
      <w:autoSpaceDN/>
      <w:adjustRightInd/>
      <w:spacing w:after="240"/>
    </w:pPr>
    <w:rPr>
      <w:rFonts w:asciiTheme="minorHAnsi" w:hAnsiTheme="minorHAnsi"/>
      <w:szCs w:val="24"/>
    </w:rPr>
  </w:style>
  <w:style w:type="paragraph" w:customStyle="1" w:styleId="EYBulletedText2">
    <w:name w:val="EY Bulleted Text 2"/>
    <w:basedOn w:val="EYNormal"/>
    <w:qFormat/>
    <w:rsid w:val="00676ACD"/>
    <w:pPr>
      <w:numPr>
        <w:ilvl w:val="1"/>
        <w:numId w:val="19"/>
      </w:numPr>
      <w:tabs>
        <w:tab w:val="num" w:pos="1800"/>
      </w:tabs>
      <w:suppressAutoHyphens/>
      <w:autoSpaceDE/>
      <w:autoSpaceDN/>
      <w:adjustRightInd/>
      <w:spacing w:after="240"/>
    </w:pPr>
    <w:rPr>
      <w:kern w:val="12"/>
      <w:szCs w:val="24"/>
    </w:rPr>
  </w:style>
  <w:style w:type="paragraph" w:customStyle="1" w:styleId="DVABulletedText3">
    <w:name w:val="DVA Bulleted Text 3"/>
    <w:basedOn w:val="EYNormal"/>
    <w:qFormat/>
    <w:rsid w:val="00676ACD"/>
    <w:pPr>
      <w:numPr>
        <w:ilvl w:val="2"/>
        <w:numId w:val="19"/>
      </w:numPr>
      <w:tabs>
        <w:tab w:val="num" w:pos="2520"/>
      </w:tabs>
      <w:spacing w:after="240"/>
    </w:pPr>
    <w:rPr>
      <w:rFonts w:asciiTheme="minorHAnsi" w:hAnsiTheme="minorHAnsi"/>
      <w:szCs w:val="24"/>
    </w:rPr>
  </w:style>
  <w:style w:type="paragraph" w:customStyle="1" w:styleId="DVALeader">
    <w:name w:val="DVA Leader"/>
    <w:basedOn w:val="EYNormal"/>
    <w:next w:val="DVABodytextwithparaspace"/>
    <w:qFormat/>
    <w:rsid w:val="00676ACD"/>
    <w:pPr>
      <w:spacing w:after="280" w:line="280" w:lineRule="atLeast"/>
    </w:pPr>
    <w:rPr>
      <w:rFonts w:ascii="Calibri" w:hAnsi="Calibri"/>
      <w:color w:val="747480"/>
      <w:sz w:val="24"/>
    </w:rPr>
  </w:style>
  <w:style w:type="paragraph" w:customStyle="1" w:styleId="DVA1Number">
    <w:name w:val="DVA1 ( Number)"/>
    <w:basedOn w:val="EYNormal"/>
    <w:qFormat/>
    <w:rsid w:val="00676ACD"/>
    <w:pPr>
      <w:numPr>
        <w:numId w:val="18"/>
      </w:numPr>
      <w:autoSpaceDE/>
      <w:autoSpaceDN/>
      <w:adjustRightInd/>
      <w:spacing w:after="240"/>
    </w:pPr>
    <w:rPr>
      <w:rFonts w:ascii="Calibri" w:hAnsi="Calibri"/>
      <w:kern w:val="12"/>
      <w:szCs w:val="24"/>
      <w:lang w:eastAsia="en-AU"/>
    </w:rPr>
  </w:style>
  <w:style w:type="paragraph" w:customStyle="1" w:styleId="EY2Letter">
    <w:name w:val="EY2 ( Letter)"/>
    <w:basedOn w:val="DVA1Number"/>
    <w:qFormat/>
    <w:rsid w:val="00676ACD"/>
    <w:pPr>
      <w:numPr>
        <w:ilvl w:val="1"/>
      </w:numPr>
    </w:pPr>
  </w:style>
  <w:style w:type="paragraph" w:customStyle="1" w:styleId="EY3Roman">
    <w:name w:val="EY3 (Roman)"/>
    <w:basedOn w:val="DVA1Number"/>
    <w:qFormat/>
    <w:rsid w:val="00676ACD"/>
    <w:pPr>
      <w:numPr>
        <w:ilvl w:val="2"/>
      </w:numPr>
    </w:pPr>
  </w:style>
  <w:style w:type="numbering" w:customStyle="1" w:styleId="EYBulletList">
    <w:name w:val="EYBulletList"/>
    <w:uiPriority w:val="99"/>
    <w:rsid w:val="00676ACD"/>
    <w:pPr>
      <w:numPr>
        <w:numId w:val="19"/>
      </w:numPr>
    </w:pPr>
  </w:style>
  <w:style w:type="numbering" w:customStyle="1" w:styleId="EYPlainBulletList">
    <w:name w:val="EYPlainBulletList"/>
    <w:uiPriority w:val="99"/>
    <w:rsid w:val="00676ACD"/>
    <w:pPr>
      <w:numPr>
        <w:numId w:val="15"/>
      </w:numPr>
    </w:pPr>
  </w:style>
  <w:style w:type="numbering" w:customStyle="1" w:styleId="EYAlphaNumList">
    <w:name w:val="EYAlphaNumList"/>
    <w:uiPriority w:val="99"/>
    <w:rsid w:val="00676ACD"/>
    <w:pPr>
      <w:numPr>
        <w:numId w:val="18"/>
      </w:numPr>
    </w:pPr>
  </w:style>
  <w:style w:type="paragraph" w:customStyle="1" w:styleId="EYNormal">
    <w:name w:val="EY Normal"/>
    <w:basedOn w:val="Normal"/>
    <w:rsid w:val="00676ACD"/>
    <w:pPr>
      <w:autoSpaceDE w:val="0"/>
      <w:autoSpaceDN w:val="0"/>
      <w:adjustRightInd w:val="0"/>
      <w:spacing w:after="0" w:line="240" w:lineRule="auto"/>
    </w:pPr>
    <w:rPr>
      <w:rFonts w:ascii="EYInterstate Light" w:eastAsia="Times New Roman" w:hAnsi="EYInterstate Light" w:cs="Times New Roman"/>
      <w:sz w:val="20"/>
      <w:szCs w:val="20"/>
      <w:lang w:val="en-AU"/>
    </w:rPr>
  </w:style>
  <w:style w:type="paragraph" w:customStyle="1" w:styleId="EYAppendixHeading2">
    <w:name w:val="EY Appendix Heading 2"/>
    <w:basedOn w:val="EYNormal"/>
    <w:next w:val="DVABodytextwithparaspace"/>
    <w:qFormat/>
    <w:rsid w:val="00676ACD"/>
    <w:pPr>
      <w:keepNext/>
      <w:autoSpaceDE/>
      <w:autoSpaceDN/>
      <w:adjustRightInd/>
      <w:spacing w:after="120"/>
    </w:pPr>
    <w:rPr>
      <w:b/>
      <w:sz w:val="28"/>
      <w:szCs w:val="24"/>
    </w:rPr>
  </w:style>
  <w:style w:type="paragraph" w:customStyle="1" w:styleId="EYAppendixHeading3">
    <w:name w:val="EY Appendix Heading 3"/>
    <w:basedOn w:val="EYNormal"/>
    <w:next w:val="DVABodytextwithparaspace"/>
    <w:qFormat/>
    <w:rsid w:val="00676ACD"/>
    <w:pPr>
      <w:keepNext/>
      <w:autoSpaceDE/>
      <w:autoSpaceDN/>
      <w:adjustRightInd/>
      <w:spacing w:after="120"/>
    </w:pPr>
    <w:rPr>
      <w:b/>
      <w:sz w:val="26"/>
      <w:szCs w:val="24"/>
    </w:rPr>
  </w:style>
  <w:style w:type="paragraph" w:customStyle="1" w:styleId="EYBusinessaddress">
    <w:name w:val="EY Business address"/>
    <w:basedOn w:val="Normal"/>
    <w:rsid w:val="00676ACD"/>
    <w:pPr>
      <w:autoSpaceDE w:val="0"/>
      <w:autoSpaceDN w:val="0"/>
      <w:adjustRightInd w:val="0"/>
      <w:spacing w:after="0" w:line="170" w:lineRule="atLeast"/>
    </w:pPr>
    <w:rPr>
      <w:rFonts w:ascii="EYInterstate Light" w:eastAsia="Times New Roman" w:hAnsi="EYInterstate Light" w:cs="Times New Roman"/>
      <w:color w:val="666666"/>
      <w:sz w:val="15"/>
      <w:lang w:val="en-AU"/>
    </w:rPr>
  </w:style>
  <w:style w:type="paragraph" w:customStyle="1" w:styleId="EYBusinessaddressbold">
    <w:name w:val="EY Business address (bold)"/>
    <w:basedOn w:val="EYBusinessaddress"/>
    <w:next w:val="EYBusinessaddress"/>
    <w:rsid w:val="00676ACD"/>
    <w:rPr>
      <w:b/>
    </w:rPr>
  </w:style>
  <w:style w:type="paragraph" w:customStyle="1" w:styleId="EYIndent2">
    <w:name w:val="EY Indent 2"/>
    <w:basedOn w:val="EYIndent1"/>
    <w:qFormat/>
    <w:rsid w:val="00676ACD"/>
    <w:pPr>
      <w:ind w:left="851"/>
    </w:pPr>
  </w:style>
  <w:style w:type="paragraph" w:customStyle="1" w:styleId="EYIndent3">
    <w:name w:val="EY Indent 3"/>
    <w:basedOn w:val="EYIndent1"/>
    <w:qFormat/>
    <w:rsid w:val="00676ACD"/>
    <w:pPr>
      <w:ind w:left="1276"/>
    </w:pPr>
  </w:style>
  <w:style w:type="paragraph" w:customStyle="1" w:styleId="EYSubheading">
    <w:name w:val="EY Subheading"/>
    <w:basedOn w:val="EYNormal"/>
    <w:next w:val="DVABodytextwithparaspace"/>
    <w:qFormat/>
    <w:rsid w:val="00676ACD"/>
    <w:pPr>
      <w:keepNext/>
      <w:autoSpaceDE/>
      <w:autoSpaceDN/>
      <w:adjustRightInd/>
      <w:spacing w:after="120"/>
    </w:pPr>
    <w:rPr>
      <w:b/>
      <w:kern w:val="12"/>
      <w:szCs w:val="24"/>
      <w:lang w:eastAsia="en-AU"/>
    </w:rPr>
  </w:style>
  <w:style w:type="paragraph" w:customStyle="1" w:styleId="EYTableNormal">
    <w:name w:val="EY Table Normal"/>
    <w:basedOn w:val="Normal"/>
    <w:rsid w:val="00676ACD"/>
    <w:pPr>
      <w:spacing w:after="0" w:line="240" w:lineRule="auto"/>
    </w:pPr>
    <w:rPr>
      <w:rFonts w:ascii="EYInterstate Light" w:eastAsia="Times New Roman" w:hAnsi="EYInterstate Light" w:cs="Times New Roman"/>
      <w:sz w:val="16"/>
      <w:lang w:val="en-AU"/>
    </w:rPr>
  </w:style>
  <w:style w:type="paragraph" w:customStyle="1" w:styleId="EYTablebullet1">
    <w:name w:val="EY Table bullet 1"/>
    <w:basedOn w:val="EYTableNormal"/>
    <w:qFormat/>
    <w:rsid w:val="00676ACD"/>
    <w:pPr>
      <w:numPr>
        <w:numId w:val="17"/>
      </w:numPr>
      <w:spacing w:before="60" w:after="60"/>
    </w:pPr>
    <w:rPr>
      <w:lang w:eastAsia="en-AU"/>
    </w:rPr>
  </w:style>
  <w:style w:type="paragraph" w:customStyle="1" w:styleId="EYTablebullet2">
    <w:name w:val="EY Table bullet 2"/>
    <w:basedOn w:val="EYTableNormal"/>
    <w:qFormat/>
    <w:rsid w:val="00676ACD"/>
    <w:pPr>
      <w:numPr>
        <w:ilvl w:val="1"/>
        <w:numId w:val="17"/>
      </w:numPr>
      <w:spacing w:before="60" w:after="60"/>
    </w:pPr>
  </w:style>
  <w:style w:type="paragraph" w:styleId="TOC4">
    <w:name w:val="toc 4"/>
    <w:basedOn w:val="Normal"/>
    <w:next w:val="Normal"/>
    <w:uiPriority w:val="39"/>
    <w:rsid w:val="00676ACD"/>
    <w:pPr>
      <w:tabs>
        <w:tab w:val="left" w:pos="1680"/>
        <w:tab w:val="right" w:leader="dot" w:pos="13892"/>
      </w:tabs>
      <w:snapToGrid w:val="0"/>
      <w:spacing w:before="60" w:after="0" w:line="240" w:lineRule="auto"/>
      <w:ind w:left="601"/>
    </w:pPr>
    <w:rPr>
      <w:rFonts w:ascii="EYInterstate Light" w:eastAsia="Times New Roman" w:hAnsi="EYInterstate Light" w:cs="Arial"/>
      <w:noProof/>
      <w:sz w:val="20"/>
      <w:lang w:val="en-AU" w:eastAsia="en-GB"/>
    </w:rPr>
  </w:style>
  <w:style w:type="character" w:styleId="EndnoteReference">
    <w:name w:val="endnote reference"/>
    <w:basedOn w:val="DefaultParagraphFont"/>
    <w:semiHidden/>
    <w:rsid w:val="00676ACD"/>
    <w:rPr>
      <w:vertAlign w:val="superscript"/>
    </w:rPr>
  </w:style>
  <w:style w:type="paragraph" w:styleId="EndnoteText">
    <w:name w:val="endnote text"/>
    <w:basedOn w:val="Normal"/>
    <w:link w:val="EndnoteTextChar"/>
    <w:semiHidden/>
    <w:rsid w:val="00676ACD"/>
    <w:pPr>
      <w:autoSpaceDE w:val="0"/>
      <w:autoSpaceDN w:val="0"/>
      <w:adjustRightInd w:val="0"/>
      <w:spacing w:after="0" w:line="240" w:lineRule="auto"/>
    </w:pPr>
    <w:rPr>
      <w:rFonts w:ascii="EYInterstate Light" w:eastAsia="Times New Roman" w:hAnsi="EYInterstate Light" w:cs="Times New Roman"/>
      <w:sz w:val="20"/>
      <w:szCs w:val="20"/>
      <w:lang w:val="en-AU"/>
    </w:rPr>
  </w:style>
  <w:style w:type="character" w:customStyle="1" w:styleId="EndnoteTextChar">
    <w:name w:val="Endnote Text Char"/>
    <w:basedOn w:val="DefaultParagraphFont"/>
    <w:link w:val="EndnoteText"/>
    <w:semiHidden/>
    <w:rsid w:val="00676ACD"/>
    <w:rPr>
      <w:rFonts w:ascii="EYInterstate Light" w:eastAsia="Times New Roman" w:hAnsi="EYInterstate Light" w:cs="Times New Roman"/>
      <w:szCs w:val="20"/>
      <w:lang w:val="en-AU"/>
    </w:rPr>
  </w:style>
  <w:style w:type="numbering" w:customStyle="1" w:styleId="StyleNumbered">
    <w:name w:val="Style Numbered"/>
    <w:basedOn w:val="NoList"/>
    <w:rsid w:val="00676ACD"/>
    <w:pPr>
      <w:numPr>
        <w:numId w:val="20"/>
      </w:numPr>
    </w:pPr>
  </w:style>
  <w:style w:type="paragraph" w:customStyle="1" w:styleId="DVAHeading1">
    <w:name w:val="DVA Heading 1"/>
    <w:basedOn w:val="Heading1numbered"/>
    <w:next w:val="DVABodytextwithparaspace"/>
    <w:qFormat/>
    <w:rsid w:val="00676ACD"/>
  </w:style>
  <w:style w:type="paragraph" w:customStyle="1" w:styleId="DVAHeading2">
    <w:name w:val="DVA Heading 2"/>
    <w:basedOn w:val="Heading2numbered"/>
    <w:next w:val="DVABodytextwithparaspace"/>
    <w:qFormat/>
    <w:rsid w:val="00676ACD"/>
  </w:style>
  <w:style w:type="paragraph" w:customStyle="1" w:styleId="DVAHeading3">
    <w:name w:val="DVA Heading 3"/>
    <w:basedOn w:val="EYNormal"/>
    <w:next w:val="DVABodytextwithparaspace"/>
    <w:qFormat/>
    <w:rsid w:val="009014F6"/>
    <w:pPr>
      <w:keepNext/>
      <w:numPr>
        <w:ilvl w:val="2"/>
        <w:numId w:val="14"/>
      </w:numPr>
      <w:spacing w:before="120" w:after="120"/>
      <w:outlineLvl w:val="2"/>
    </w:pPr>
    <w:rPr>
      <w:rFonts w:ascii="Rockwell" w:hAnsi="Rockwell"/>
      <w:color w:val="5B5B5B"/>
      <w:sz w:val="24"/>
      <w:szCs w:val="24"/>
    </w:rPr>
  </w:style>
  <w:style w:type="character" w:styleId="CommentReference">
    <w:name w:val="annotation reference"/>
    <w:basedOn w:val="DefaultParagraphFont"/>
    <w:uiPriority w:val="99"/>
    <w:semiHidden/>
    <w:unhideWhenUsed/>
    <w:rsid w:val="00676ACD"/>
    <w:rPr>
      <w:sz w:val="16"/>
      <w:szCs w:val="16"/>
    </w:rPr>
  </w:style>
  <w:style w:type="paragraph" w:styleId="CommentText">
    <w:name w:val="annotation text"/>
    <w:basedOn w:val="Normal"/>
    <w:link w:val="CommentTextChar"/>
    <w:uiPriority w:val="99"/>
    <w:unhideWhenUsed/>
    <w:rsid w:val="00676ACD"/>
    <w:pPr>
      <w:autoSpaceDE w:val="0"/>
      <w:autoSpaceDN w:val="0"/>
      <w:adjustRightInd w:val="0"/>
      <w:spacing w:after="0" w:line="240" w:lineRule="auto"/>
    </w:pPr>
    <w:rPr>
      <w:rFonts w:ascii="EYInterstate Light" w:eastAsia="Times New Roman" w:hAnsi="EYInterstate Light" w:cs="Times New Roman"/>
      <w:sz w:val="20"/>
      <w:szCs w:val="20"/>
      <w:lang w:val="en-AU"/>
    </w:rPr>
  </w:style>
  <w:style w:type="character" w:customStyle="1" w:styleId="CommentTextChar">
    <w:name w:val="Comment Text Char"/>
    <w:basedOn w:val="DefaultParagraphFont"/>
    <w:link w:val="CommentText"/>
    <w:uiPriority w:val="99"/>
    <w:rsid w:val="00676ACD"/>
    <w:rPr>
      <w:rFonts w:ascii="EYInterstate Light" w:eastAsia="Times New Roman" w:hAnsi="EYInterstate Light" w:cs="Times New Roman"/>
      <w:szCs w:val="20"/>
      <w:lang w:val="en-AU"/>
    </w:rPr>
  </w:style>
  <w:style w:type="paragraph" w:styleId="CommentSubject">
    <w:name w:val="annotation subject"/>
    <w:basedOn w:val="CommentText"/>
    <w:next w:val="CommentText"/>
    <w:link w:val="CommentSubjectChar"/>
    <w:semiHidden/>
    <w:unhideWhenUsed/>
    <w:rsid w:val="00676ACD"/>
    <w:rPr>
      <w:b/>
      <w:bCs/>
    </w:rPr>
  </w:style>
  <w:style w:type="character" w:customStyle="1" w:styleId="CommentSubjectChar">
    <w:name w:val="Comment Subject Char"/>
    <w:basedOn w:val="CommentTextChar"/>
    <w:link w:val="CommentSubject"/>
    <w:semiHidden/>
    <w:rsid w:val="00676ACD"/>
    <w:rPr>
      <w:rFonts w:ascii="EYInterstate Light" w:eastAsia="Times New Roman" w:hAnsi="EYInterstate Light" w:cs="Times New Roman"/>
      <w:b/>
      <w:bCs/>
      <w:szCs w:val="20"/>
      <w:lang w:val="en-AU"/>
    </w:rPr>
  </w:style>
  <w:style w:type="character" w:customStyle="1" w:styleId="UnresolvedMention1">
    <w:name w:val="Unresolved Mention1"/>
    <w:basedOn w:val="DefaultParagraphFont"/>
    <w:uiPriority w:val="99"/>
    <w:unhideWhenUsed/>
    <w:rsid w:val="00676ACD"/>
    <w:rPr>
      <w:color w:val="605E5C"/>
      <w:shd w:val="clear" w:color="auto" w:fill="E1DFDD"/>
    </w:rPr>
  </w:style>
  <w:style w:type="character" w:customStyle="1" w:styleId="Mention1">
    <w:name w:val="Mention1"/>
    <w:basedOn w:val="DefaultParagraphFont"/>
    <w:uiPriority w:val="99"/>
    <w:unhideWhenUsed/>
    <w:rsid w:val="00676ACD"/>
    <w:rPr>
      <w:color w:val="2B579A"/>
      <w:shd w:val="clear" w:color="auto" w:fill="E1DFDD"/>
    </w:rPr>
  </w:style>
  <w:style w:type="character" w:customStyle="1" w:styleId="DVABodytextwithparaspaceChar">
    <w:name w:val="DVA Body text (with para space) Char"/>
    <w:basedOn w:val="DefaultParagraphFont"/>
    <w:link w:val="DVABodytextwithparaspace"/>
    <w:rsid w:val="00676ACD"/>
    <w:rPr>
      <w:rFonts w:asciiTheme="minorHAnsi" w:eastAsia="Times New Roman" w:hAnsiTheme="minorHAnsi" w:cs="Times New Roman"/>
      <w:szCs w:val="20"/>
      <w:lang w:val="en-AU"/>
    </w:rPr>
  </w:style>
  <w:style w:type="paragraph" w:customStyle="1" w:styleId="paragraph">
    <w:name w:val="paragraph"/>
    <w:basedOn w:val="Normal"/>
    <w:rsid w:val="00676ACD"/>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676ACD"/>
  </w:style>
  <w:style w:type="character" w:customStyle="1" w:styleId="eop">
    <w:name w:val="eop"/>
    <w:basedOn w:val="DefaultParagraphFont"/>
    <w:rsid w:val="00676ACD"/>
  </w:style>
  <w:style w:type="character" w:customStyle="1" w:styleId="scxw230804843">
    <w:name w:val="scxw230804843"/>
    <w:basedOn w:val="DefaultParagraphFont"/>
    <w:rsid w:val="00676ACD"/>
  </w:style>
  <w:style w:type="paragraph" w:customStyle="1" w:styleId="EYBulletnoparaspace">
    <w:name w:val="EY Bullet (no para space)"/>
    <w:basedOn w:val="ListParagraph0"/>
    <w:qFormat/>
    <w:rsid w:val="00676ACD"/>
    <w:pPr>
      <w:numPr>
        <w:numId w:val="0"/>
      </w:numPr>
      <w:spacing w:after="0" w:line="240" w:lineRule="auto"/>
      <w:ind w:left="360" w:hanging="360"/>
      <w:contextualSpacing/>
    </w:pPr>
    <w:rPr>
      <w:rFonts w:ascii="EYInterstate Light" w:hAnsi="EYInterstate Light"/>
      <w:szCs w:val="16"/>
      <w:lang w:eastAsia="en-US"/>
    </w:rPr>
  </w:style>
  <w:style w:type="paragraph" w:customStyle="1" w:styleId="EY1Number">
    <w:name w:val="EY1 ( Number)"/>
    <w:basedOn w:val="EYNormal"/>
    <w:qFormat/>
    <w:rsid w:val="00676ACD"/>
    <w:pPr>
      <w:autoSpaceDE/>
      <w:autoSpaceDN/>
      <w:adjustRightInd/>
      <w:spacing w:after="240"/>
      <w:ind w:left="425" w:hanging="425"/>
    </w:pPr>
    <w:rPr>
      <w:kern w:val="12"/>
      <w:szCs w:val="24"/>
      <w:lang w:eastAsia="en-AU"/>
    </w:rPr>
  </w:style>
  <w:style w:type="paragraph" w:customStyle="1" w:styleId="DVAHeading4">
    <w:name w:val="DVA Heading 4"/>
    <w:basedOn w:val="Heading4numbered"/>
    <w:next w:val="DVABodytextwithparaspace"/>
    <w:qFormat/>
    <w:rsid w:val="009014F6"/>
  </w:style>
  <w:style w:type="paragraph" w:styleId="Bibliography">
    <w:name w:val="Bibliography"/>
    <w:basedOn w:val="Normal"/>
    <w:next w:val="Normal"/>
    <w:uiPriority w:val="37"/>
    <w:unhideWhenUsed/>
    <w:rsid w:val="00676ACD"/>
    <w:pPr>
      <w:autoSpaceDE w:val="0"/>
      <w:autoSpaceDN w:val="0"/>
      <w:adjustRightInd w:val="0"/>
      <w:spacing w:after="0" w:line="240" w:lineRule="auto"/>
    </w:pPr>
    <w:rPr>
      <w:rFonts w:ascii="EYInterstate Light" w:eastAsia="Times New Roman" w:hAnsi="EYInterstate Light" w:cs="Times New Roman"/>
      <w:sz w:val="20"/>
      <w:szCs w:val="20"/>
      <w:lang w:val="en-AU"/>
    </w:rPr>
  </w:style>
  <w:style w:type="table" w:customStyle="1" w:styleId="EYTable1">
    <w:name w:val="EY Table1"/>
    <w:basedOn w:val="TableNormal"/>
    <w:next w:val="TableGrid"/>
    <w:rsid w:val="00676ACD"/>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76ACD"/>
    <w:rPr>
      <w:color w:val="954F72" w:themeColor="followedHyperlink"/>
      <w:u w:val="single"/>
    </w:rPr>
  </w:style>
  <w:style w:type="paragraph" w:customStyle="1" w:styleId="EYTabletext0">
    <w:name w:val="EY Table text"/>
    <w:basedOn w:val="Normal"/>
    <w:qFormat/>
    <w:rsid w:val="00676ACD"/>
    <w:pPr>
      <w:spacing w:before="60" w:after="60" w:line="240" w:lineRule="auto"/>
    </w:pPr>
    <w:rPr>
      <w:rFonts w:ascii="EYInterstate Light" w:eastAsia="Times New Roman" w:hAnsi="EYInterstate Light" w:cs="Times New Roman"/>
      <w:sz w:val="16"/>
      <w:lang w:val="en-AU"/>
    </w:rPr>
  </w:style>
  <w:style w:type="character" w:customStyle="1" w:styleId="UnresolvedMention">
    <w:name w:val="Unresolved Mention"/>
    <w:basedOn w:val="DefaultParagraphFont"/>
    <w:uiPriority w:val="99"/>
    <w:unhideWhenUsed/>
    <w:rsid w:val="00676ACD"/>
    <w:rPr>
      <w:color w:val="605E5C"/>
      <w:shd w:val="clear" w:color="auto" w:fill="E1DFDD"/>
    </w:rPr>
  </w:style>
  <w:style w:type="character" w:customStyle="1" w:styleId="Mention">
    <w:name w:val="Mention"/>
    <w:basedOn w:val="DefaultParagraphFont"/>
    <w:uiPriority w:val="99"/>
    <w:unhideWhenUsed/>
    <w:rsid w:val="00676ACD"/>
    <w:rPr>
      <w:color w:val="2B579A"/>
      <w:shd w:val="clear" w:color="auto" w:fill="E1DFDD"/>
    </w:rPr>
  </w:style>
  <w:style w:type="paragraph" w:styleId="Revision">
    <w:name w:val="Revision"/>
    <w:hidden/>
    <w:uiPriority w:val="99"/>
    <w:semiHidden/>
    <w:rsid w:val="00676ACD"/>
    <w:pPr>
      <w:spacing w:after="0" w:line="240" w:lineRule="auto"/>
    </w:pPr>
    <w:rPr>
      <w:rFonts w:ascii="EYInterstate Light" w:eastAsia="Times New Roman" w:hAnsi="EYInterstate Light" w:cs="Times New Roman"/>
      <w:szCs w:val="20"/>
      <w:lang w:val="en-AU"/>
    </w:rPr>
  </w:style>
  <w:style w:type="paragraph" w:customStyle="1" w:styleId="Default">
    <w:name w:val="Default"/>
    <w:rsid w:val="00F1313B"/>
    <w:pPr>
      <w:autoSpaceDE w:val="0"/>
      <w:autoSpaceDN w:val="0"/>
      <w:adjustRightInd w:val="0"/>
      <w:spacing w:after="0" w:line="240" w:lineRule="auto"/>
    </w:pPr>
    <w:rPr>
      <w:rFonts w:ascii="Rockwell" w:hAnsi="Rockwell" w:cs="Rockwel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262">
      <w:bodyDiv w:val="1"/>
      <w:marLeft w:val="0"/>
      <w:marRight w:val="0"/>
      <w:marTop w:val="0"/>
      <w:marBottom w:val="0"/>
      <w:divBdr>
        <w:top w:val="none" w:sz="0" w:space="0" w:color="auto"/>
        <w:left w:val="none" w:sz="0" w:space="0" w:color="auto"/>
        <w:bottom w:val="none" w:sz="0" w:space="0" w:color="auto"/>
        <w:right w:val="none" w:sz="0" w:space="0" w:color="auto"/>
      </w:divBdr>
    </w:div>
    <w:div w:id="5251883">
      <w:bodyDiv w:val="1"/>
      <w:marLeft w:val="0"/>
      <w:marRight w:val="0"/>
      <w:marTop w:val="0"/>
      <w:marBottom w:val="0"/>
      <w:divBdr>
        <w:top w:val="none" w:sz="0" w:space="0" w:color="auto"/>
        <w:left w:val="none" w:sz="0" w:space="0" w:color="auto"/>
        <w:bottom w:val="none" w:sz="0" w:space="0" w:color="auto"/>
        <w:right w:val="none" w:sz="0" w:space="0" w:color="auto"/>
      </w:divBdr>
    </w:div>
    <w:div w:id="33047594">
      <w:bodyDiv w:val="1"/>
      <w:marLeft w:val="0"/>
      <w:marRight w:val="0"/>
      <w:marTop w:val="0"/>
      <w:marBottom w:val="0"/>
      <w:divBdr>
        <w:top w:val="none" w:sz="0" w:space="0" w:color="auto"/>
        <w:left w:val="none" w:sz="0" w:space="0" w:color="auto"/>
        <w:bottom w:val="none" w:sz="0" w:space="0" w:color="auto"/>
        <w:right w:val="none" w:sz="0" w:space="0" w:color="auto"/>
      </w:divBdr>
    </w:div>
    <w:div w:id="41291756">
      <w:bodyDiv w:val="1"/>
      <w:marLeft w:val="0"/>
      <w:marRight w:val="0"/>
      <w:marTop w:val="0"/>
      <w:marBottom w:val="0"/>
      <w:divBdr>
        <w:top w:val="none" w:sz="0" w:space="0" w:color="auto"/>
        <w:left w:val="none" w:sz="0" w:space="0" w:color="auto"/>
        <w:bottom w:val="none" w:sz="0" w:space="0" w:color="auto"/>
        <w:right w:val="none" w:sz="0" w:space="0" w:color="auto"/>
      </w:divBdr>
    </w:div>
    <w:div w:id="55670293">
      <w:bodyDiv w:val="1"/>
      <w:marLeft w:val="0"/>
      <w:marRight w:val="0"/>
      <w:marTop w:val="0"/>
      <w:marBottom w:val="0"/>
      <w:divBdr>
        <w:top w:val="none" w:sz="0" w:space="0" w:color="auto"/>
        <w:left w:val="none" w:sz="0" w:space="0" w:color="auto"/>
        <w:bottom w:val="none" w:sz="0" w:space="0" w:color="auto"/>
        <w:right w:val="none" w:sz="0" w:space="0" w:color="auto"/>
      </w:divBdr>
    </w:div>
    <w:div w:id="79722332">
      <w:bodyDiv w:val="1"/>
      <w:marLeft w:val="0"/>
      <w:marRight w:val="0"/>
      <w:marTop w:val="0"/>
      <w:marBottom w:val="0"/>
      <w:divBdr>
        <w:top w:val="none" w:sz="0" w:space="0" w:color="auto"/>
        <w:left w:val="none" w:sz="0" w:space="0" w:color="auto"/>
        <w:bottom w:val="none" w:sz="0" w:space="0" w:color="auto"/>
        <w:right w:val="none" w:sz="0" w:space="0" w:color="auto"/>
      </w:divBdr>
    </w:div>
    <w:div w:id="90204661">
      <w:bodyDiv w:val="1"/>
      <w:marLeft w:val="0"/>
      <w:marRight w:val="0"/>
      <w:marTop w:val="0"/>
      <w:marBottom w:val="0"/>
      <w:divBdr>
        <w:top w:val="none" w:sz="0" w:space="0" w:color="auto"/>
        <w:left w:val="none" w:sz="0" w:space="0" w:color="auto"/>
        <w:bottom w:val="none" w:sz="0" w:space="0" w:color="auto"/>
        <w:right w:val="none" w:sz="0" w:space="0" w:color="auto"/>
      </w:divBdr>
    </w:div>
    <w:div w:id="100414240">
      <w:bodyDiv w:val="1"/>
      <w:marLeft w:val="0"/>
      <w:marRight w:val="0"/>
      <w:marTop w:val="0"/>
      <w:marBottom w:val="0"/>
      <w:divBdr>
        <w:top w:val="none" w:sz="0" w:space="0" w:color="auto"/>
        <w:left w:val="none" w:sz="0" w:space="0" w:color="auto"/>
        <w:bottom w:val="none" w:sz="0" w:space="0" w:color="auto"/>
        <w:right w:val="none" w:sz="0" w:space="0" w:color="auto"/>
      </w:divBdr>
    </w:div>
    <w:div w:id="114175834">
      <w:bodyDiv w:val="1"/>
      <w:marLeft w:val="0"/>
      <w:marRight w:val="0"/>
      <w:marTop w:val="0"/>
      <w:marBottom w:val="0"/>
      <w:divBdr>
        <w:top w:val="none" w:sz="0" w:space="0" w:color="auto"/>
        <w:left w:val="none" w:sz="0" w:space="0" w:color="auto"/>
        <w:bottom w:val="none" w:sz="0" w:space="0" w:color="auto"/>
        <w:right w:val="none" w:sz="0" w:space="0" w:color="auto"/>
      </w:divBdr>
    </w:div>
    <w:div w:id="116725240">
      <w:bodyDiv w:val="1"/>
      <w:marLeft w:val="0"/>
      <w:marRight w:val="0"/>
      <w:marTop w:val="0"/>
      <w:marBottom w:val="0"/>
      <w:divBdr>
        <w:top w:val="none" w:sz="0" w:space="0" w:color="auto"/>
        <w:left w:val="none" w:sz="0" w:space="0" w:color="auto"/>
        <w:bottom w:val="none" w:sz="0" w:space="0" w:color="auto"/>
        <w:right w:val="none" w:sz="0" w:space="0" w:color="auto"/>
      </w:divBdr>
    </w:div>
    <w:div w:id="128475332">
      <w:bodyDiv w:val="1"/>
      <w:marLeft w:val="0"/>
      <w:marRight w:val="0"/>
      <w:marTop w:val="0"/>
      <w:marBottom w:val="0"/>
      <w:divBdr>
        <w:top w:val="none" w:sz="0" w:space="0" w:color="auto"/>
        <w:left w:val="none" w:sz="0" w:space="0" w:color="auto"/>
        <w:bottom w:val="none" w:sz="0" w:space="0" w:color="auto"/>
        <w:right w:val="none" w:sz="0" w:space="0" w:color="auto"/>
      </w:divBdr>
    </w:div>
    <w:div w:id="134639757">
      <w:bodyDiv w:val="1"/>
      <w:marLeft w:val="0"/>
      <w:marRight w:val="0"/>
      <w:marTop w:val="0"/>
      <w:marBottom w:val="0"/>
      <w:divBdr>
        <w:top w:val="none" w:sz="0" w:space="0" w:color="auto"/>
        <w:left w:val="none" w:sz="0" w:space="0" w:color="auto"/>
        <w:bottom w:val="none" w:sz="0" w:space="0" w:color="auto"/>
        <w:right w:val="none" w:sz="0" w:space="0" w:color="auto"/>
      </w:divBdr>
    </w:div>
    <w:div w:id="139201652">
      <w:bodyDiv w:val="1"/>
      <w:marLeft w:val="0"/>
      <w:marRight w:val="0"/>
      <w:marTop w:val="0"/>
      <w:marBottom w:val="0"/>
      <w:divBdr>
        <w:top w:val="none" w:sz="0" w:space="0" w:color="auto"/>
        <w:left w:val="none" w:sz="0" w:space="0" w:color="auto"/>
        <w:bottom w:val="none" w:sz="0" w:space="0" w:color="auto"/>
        <w:right w:val="none" w:sz="0" w:space="0" w:color="auto"/>
      </w:divBdr>
    </w:div>
    <w:div w:id="173034529">
      <w:bodyDiv w:val="1"/>
      <w:marLeft w:val="0"/>
      <w:marRight w:val="0"/>
      <w:marTop w:val="0"/>
      <w:marBottom w:val="0"/>
      <w:divBdr>
        <w:top w:val="none" w:sz="0" w:space="0" w:color="auto"/>
        <w:left w:val="none" w:sz="0" w:space="0" w:color="auto"/>
        <w:bottom w:val="none" w:sz="0" w:space="0" w:color="auto"/>
        <w:right w:val="none" w:sz="0" w:space="0" w:color="auto"/>
      </w:divBdr>
    </w:div>
    <w:div w:id="177694174">
      <w:bodyDiv w:val="1"/>
      <w:marLeft w:val="0"/>
      <w:marRight w:val="0"/>
      <w:marTop w:val="0"/>
      <w:marBottom w:val="0"/>
      <w:divBdr>
        <w:top w:val="none" w:sz="0" w:space="0" w:color="auto"/>
        <w:left w:val="none" w:sz="0" w:space="0" w:color="auto"/>
        <w:bottom w:val="none" w:sz="0" w:space="0" w:color="auto"/>
        <w:right w:val="none" w:sz="0" w:space="0" w:color="auto"/>
      </w:divBdr>
    </w:div>
    <w:div w:id="184370563">
      <w:bodyDiv w:val="1"/>
      <w:marLeft w:val="0"/>
      <w:marRight w:val="0"/>
      <w:marTop w:val="0"/>
      <w:marBottom w:val="0"/>
      <w:divBdr>
        <w:top w:val="none" w:sz="0" w:space="0" w:color="auto"/>
        <w:left w:val="none" w:sz="0" w:space="0" w:color="auto"/>
        <w:bottom w:val="none" w:sz="0" w:space="0" w:color="auto"/>
        <w:right w:val="none" w:sz="0" w:space="0" w:color="auto"/>
      </w:divBdr>
    </w:div>
    <w:div w:id="187763391">
      <w:bodyDiv w:val="1"/>
      <w:marLeft w:val="0"/>
      <w:marRight w:val="0"/>
      <w:marTop w:val="0"/>
      <w:marBottom w:val="0"/>
      <w:divBdr>
        <w:top w:val="none" w:sz="0" w:space="0" w:color="auto"/>
        <w:left w:val="none" w:sz="0" w:space="0" w:color="auto"/>
        <w:bottom w:val="none" w:sz="0" w:space="0" w:color="auto"/>
        <w:right w:val="none" w:sz="0" w:space="0" w:color="auto"/>
      </w:divBdr>
    </w:div>
    <w:div w:id="195848206">
      <w:bodyDiv w:val="1"/>
      <w:marLeft w:val="0"/>
      <w:marRight w:val="0"/>
      <w:marTop w:val="0"/>
      <w:marBottom w:val="0"/>
      <w:divBdr>
        <w:top w:val="none" w:sz="0" w:space="0" w:color="auto"/>
        <w:left w:val="none" w:sz="0" w:space="0" w:color="auto"/>
        <w:bottom w:val="none" w:sz="0" w:space="0" w:color="auto"/>
        <w:right w:val="none" w:sz="0" w:space="0" w:color="auto"/>
      </w:divBdr>
    </w:div>
    <w:div w:id="201678435">
      <w:bodyDiv w:val="1"/>
      <w:marLeft w:val="0"/>
      <w:marRight w:val="0"/>
      <w:marTop w:val="0"/>
      <w:marBottom w:val="0"/>
      <w:divBdr>
        <w:top w:val="none" w:sz="0" w:space="0" w:color="auto"/>
        <w:left w:val="none" w:sz="0" w:space="0" w:color="auto"/>
        <w:bottom w:val="none" w:sz="0" w:space="0" w:color="auto"/>
        <w:right w:val="none" w:sz="0" w:space="0" w:color="auto"/>
      </w:divBdr>
    </w:div>
    <w:div w:id="205996365">
      <w:bodyDiv w:val="1"/>
      <w:marLeft w:val="0"/>
      <w:marRight w:val="0"/>
      <w:marTop w:val="0"/>
      <w:marBottom w:val="0"/>
      <w:divBdr>
        <w:top w:val="none" w:sz="0" w:space="0" w:color="auto"/>
        <w:left w:val="none" w:sz="0" w:space="0" w:color="auto"/>
        <w:bottom w:val="none" w:sz="0" w:space="0" w:color="auto"/>
        <w:right w:val="none" w:sz="0" w:space="0" w:color="auto"/>
      </w:divBdr>
    </w:div>
    <w:div w:id="215819960">
      <w:bodyDiv w:val="1"/>
      <w:marLeft w:val="0"/>
      <w:marRight w:val="0"/>
      <w:marTop w:val="0"/>
      <w:marBottom w:val="0"/>
      <w:divBdr>
        <w:top w:val="none" w:sz="0" w:space="0" w:color="auto"/>
        <w:left w:val="none" w:sz="0" w:space="0" w:color="auto"/>
        <w:bottom w:val="none" w:sz="0" w:space="0" w:color="auto"/>
        <w:right w:val="none" w:sz="0" w:space="0" w:color="auto"/>
      </w:divBdr>
    </w:div>
    <w:div w:id="216866470">
      <w:bodyDiv w:val="1"/>
      <w:marLeft w:val="0"/>
      <w:marRight w:val="0"/>
      <w:marTop w:val="0"/>
      <w:marBottom w:val="0"/>
      <w:divBdr>
        <w:top w:val="none" w:sz="0" w:space="0" w:color="auto"/>
        <w:left w:val="none" w:sz="0" w:space="0" w:color="auto"/>
        <w:bottom w:val="none" w:sz="0" w:space="0" w:color="auto"/>
        <w:right w:val="none" w:sz="0" w:space="0" w:color="auto"/>
      </w:divBdr>
    </w:div>
    <w:div w:id="220293379">
      <w:bodyDiv w:val="1"/>
      <w:marLeft w:val="0"/>
      <w:marRight w:val="0"/>
      <w:marTop w:val="0"/>
      <w:marBottom w:val="0"/>
      <w:divBdr>
        <w:top w:val="none" w:sz="0" w:space="0" w:color="auto"/>
        <w:left w:val="none" w:sz="0" w:space="0" w:color="auto"/>
        <w:bottom w:val="none" w:sz="0" w:space="0" w:color="auto"/>
        <w:right w:val="none" w:sz="0" w:space="0" w:color="auto"/>
      </w:divBdr>
    </w:div>
    <w:div w:id="243148043">
      <w:bodyDiv w:val="1"/>
      <w:marLeft w:val="0"/>
      <w:marRight w:val="0"/>
      <w:marTop w:val="0"/>
      <w:marBottom w:val="0"/>
      <w:divBdr>
        <w:top w:val="none" w:sz="0" w:space="0" w:color="auto"/>
        <w:left w:val="none" w:sz="0" w:space="0" w:color="auto"/>
        <w:bottom w:val="none" w:sz="0" w:space="0" w:color="auto"/>
        <w:right w:val="none" w:sz="0" w:space="0" w:color="auto"/>
      </w:divBdr>
    </w:div>
    <w:div w:id="244657921">
      <w:bodyDiv w:val="1"/>
      <w:marLeft w:val="0"/>
      <w:marRight w:val="0"/>
      <w:marTop w:val="0"/>
      <w:marBottom w:val="0"/>
      <w:divBdr>
        <w:top w:val="none" w:sz="0" w:space="0" w:color="auto"/>
        <w:left w:val="none" w:sz="0" w:space="0" w:color="auto"/>
        <w:bottom w:val="none" w:sz="0" w:space="0" w:color="auto"/>
        <w:right w:val="none" w:sz="0" w:space="0" w:color="auto"/>
      </w:divBdr>
    </w:div>
    <w:div w:id="258299577">
      <w:bodyDiv w:val="1"/>
      <w:marLeft w:val="0"/>
      <w:marRight w:val="0"/>
      <w:marTop w:val="0"/>
      <w:marBottom w:val="0"/>
      <w:divBdr>
        <w:top w:val="none" w:sz="0" w:space="0" w:color="auto"/>
        <w:left w:val="none" w:sz="0" w:space="0" w:color="auto"/>
        <w:bottom w:val="none" w:sz="0" w:space="0" w:color="auto"/>
        <w:right w:val="none" w:sz="0" w:space="0" w:color="auto"/>
      </w:divBdr>
    </w:div>
    <w:div w:id="274488711">
      <w:bodyDiv w:val="1"/>
      <w:marLeft w:val="0"/>
      <w:marRight w:val="0"/>
      <w:marTop w:val="0"/>
      <w:marBottom w:val="0"/>
      <w:divBdr>
        <w:top w:val="none" w:sz="0" w:space="0" w:color="auto"/>
        <w:left w:val="none" w:sz="0" w:space="0" w:color="auto"/>
        <w:bottom w:val="none" w:sz="0" w:space="0" w:color="auto"/>
        <w:right w:val="none" w:sz="0" w:space="0" w:color="auto"/>
      </w:divBdr>
    </w:div>
    <w:div w:id="279531992">
      <w:bodyDiv w:val="1"/>
      <w:marLeft w:val="0"/>
      <w:marRight w:val="0"/>
      <w:marTop w:val="0"/>
      <w:marBottom w:val="0"/>
      <w:divBdr>
        <w:top w:val="none" w:sz="0" w:space="0" w:color="auto"/>
        <w:left w:val="none" w:sz="0" w:space="0" w:color="auto"/>
        <w:bottom w:val="none" w:sz="0" w:space="0" w:color="auto"/>
        <w:right w:val="none" w:sz="0" w:space="0" w:color="auto"/>
      </w:divBdr>
    </w:div>
    <w:div w:id="280307198">
      <w:bodyDiv w:val="1"/>
      <w:marLeft w:val="0"/>
      <w:marRight w:val="0"/>
      <w:marTop w:val="0"/>
      <w:marBottom w:val="0"/>
      <w:divBdr>
        <w:top w:val="none" w:sz="0" w:space="0" w:color="auto"/>
        <w:left w:val="none" w:sz="0" w:space="0" w:color="auto"/>
        <w:bottom w:val="none" w:sz="0" w:space="0" w:color="auto"/>
        <w:right w:val="none" w:sz="0" w:space="0" w:color="auto"/>
      </w:divBdr>
    </w:div>
    <w:div w:id="295378390">
      <w:bodyDiv w:val="1"/>
      <w:marLeft w:val="0"/>
      <w:marRight w:val="0"/>
      <w:marTop w:val="0"/>
      <w:marBottom w:val="0"/>
      <w:divBdr>
        <w:top w:val="none" w:sz="0" w:space="0" w:color="auto"/>
        <w:left w:val="none" w:sz="0" w:space="0" w:color="auto"/>
        <w:bottom w:val="none" w:sz="0" w:space="0" w:color="auto"/>
        <w:right w:val="none" w:sz="0" w:space="0" w:color="auto"/>
      </w:divBdr>
    </w:div>
    <w:div w:id="300617324">
      <w:bodyDiv w:val="1"/>
      <w:marLeft w:val="0"/>
      <w:marRight w:val="0"/>
      <w:marTop w:val="0"/>
      <w:marBottom w:val="0"/>
      <w:divBdr>
        <w:top w:val="none" w:sz="0" w:space="0" w:color="auto"/>
        <w:left w:val="none" w:sz="0" w:space="0" w:color="auto"/>
        <w:bottom w:val="none" w:sz="0" w:space="0" w:color="auto"/>
        <w:right w:val="none" w:sz="0" w:space="0" w:color="auto"/>
      </w:divBdr>
    </w:div>
    <w:div w:id="327564229">
      <w:bodyDiv w:val="1"/>
      <w:marLeft w:val="0"/>
      <w:marRight w:val="0"/>
      <w:marTop w:val="0"/>
      <w:marBottom w:val="0"/>
      <w:divBdr>
        <w:top w:val="none" w:sz="0" w:space="0" w:color="auto"/>
        <w:left w:val="none" w:sz="0" w:space="0" w:color="auto"/>
        <w:bottom w:val="none" w:sz="0" w:space="0" w:color="auto"/>
        <w:right w:val="none" w:sz="0" w:space="0" w:color="auto"/>
      </w:divBdr>
    </w:div>
    <w:div w:id="350568421">
      <w:bodyDiv w:val="1"/>
      <w:marLeft w:val="0"/>
      <w:marRight w:val="0"/>
      <w:marTop w:val="0"/>
      <w:marBottom w:val="0"/>
      <w:divBdr>
        <w:top w:val="none" w:sz="0" w:space="0" w:color="auto"/>
        <w:left w:val="none" w:sz="0" w:space="0" w:color="auto"/>
        <w:bottom w:val="none" w:sz="0" w:space="0" w:color="auto"/>
        <w:right w:val="none" w:sz="0" w:space="0" w:color="auto"/>
      </w:divBdr>
    </w:div>
    <w:div w:id="357199664">
      <w:bodyDiv w:val="1"/>
      <w:marLeft w:val="0"/>
      <w:marRight w:val="0"/>
      <w:marTop w:val="0"/>
      <w:marBottom w:val="0"/>
      <w:divBdr>
        <w:top w:val="none" w:sz="0" w:space="0" w:color="auto"/>
        <w:left w:val="none" w:sz="0" w:space="0" w:color="auto"/>
        <w:bottom w:val="none" w:sz="0" w:space="0" w:color="auto"/>
        <w:right w:val="none" w:sz="0" w:space="0" w:color="auto"/>
      </w:divBdr>
    </w:div>
    <w:div w:id="357510631">
      <w:bodyDiv w:val="1"/>
      <w:marLeft w:val="0"/>
      <w:marRight w:val="0"/>
      <w:marTop w:val="0"/>
      <w:marBottom w:val="0"/>
      <w:divBdr>
        <w:top w:val="none" w:sz="0" w:space="0" w:color="auto"/>
        <w:left w:val="none" w:sz="0" w:space="0" w:color="auto"/>
        <w:bottom w:val="none" w:sz="0" w:space="0" w:color="auto"/>
        <w:right w:val="none" w:sz="0" w:space="0" w:color="auto"/>
      </w:divBdr>
    </w:div>
    <w:div w:id="358119231">
      <w:bodyDiv w:val="1"/>
      <w:marLeft w:val="0"/>
      <w:marRight w:val="0"/>
      <w:marTop w:val="0"/>
      <w:marBottom w:val="0"/>
      <w:divBdr>
        <w:top w:val="none" w:sz="0" w:space="0" w:color="auto"/>
        <w:left w:val="none" w:sz="0" w:space="0" w:color="auto"/>
        <w:bottom w:val="none" w:sz="0" w:space="0" w:color="auto"/>
        <w:right w:val="none" w:sz="0" w:space="0" w:color="auto"/>
      </w:divBdr>
    </w:div>
    <w:div w:id="364336439">
      <w:bodyDiv w:val="1"/>
      <w:marLeft w:val="0"/>
      <w:marRight w:val="0"/>
      <w:marTop w:val="0"/>
      <w:marBottom w:val="0"/>
      <w:divBdr>
        <w:top w:val="none" w:sz="0" w:space="0" w:color="auto"/>
        <w:left w:val="none" w:sz="0" w:space="0" w:color="auto"/>
        <w:bottom w:val="none" w:sz="0" w:space="0" w:color="auto"/>
        <w:right w:val="none" w:sz="0" w:space="0" w:color="auto"/>
      </w:divBdr>
    </w:div>
    <w:div w:id="377049213">
      <w:bodyDiv w:val="1"/>
      <w:marLeft w:val="0"/>
      <w:marRight w:val="0"/>
      <w:marTop w:val="0"/>
      <w:marBottom w:val="0"/>
      <w:divBdr>
        <w:top w:val="none" w:sz="0" w:space="0" w:color="auto"/>
        <w:left w:val="none" w:sz="0" w:space="0" w:color="auto"/>
        <w:bottom w:val="none" w:sz="0" w:space="0" w:color="auto"/>
        <w:right w:val="none" w:sz="0" w:space="0" w:color="auto"/>
      </w:divBdr>
    </w:div>
    <w:div w:id="388038969">
      <w:bodyDiv w:val="1"/>
      <w:marLeft w:val="0"/>
      <w:marRight w:val="0"/>
      <w:marTop w:val="0"/>
      <w:marBottom w:val="0"/>
      <w:divBdr>
        <w:top w:val="none" w:sz="0" w:space="0" w:color="auto"/>
        <w:left w:val="none" w:sz="0" w:space="0" w:color="auto"/>
        <w:bottom w:val="none" w:sz="0" w:space="0" w:color="auto"/>
        <w:right w:val="none" w:sz="0" w:space="0" w:color="auto"/>
      </w:divBdr>
    </w:div>
    <w:div w:id="390233399">
      <w:bodyDiv w:val="1"/>
      <w:marLeft w:val="0"/>
      <w:marRight w:val="0"/>
      <w:marTop w:val="0"/>
      <w:marBottom w:val="0"/>
      <w:divBdr>
        <w:top w:val="none" w:sz="0" w:space="0" w:color="auto"/>
        <w:left w:val="none" w:sz="0" w:space="0" w:color="auto"/>
        <w:bottom w:val="none" w:sz="0" w:space="0" w:color="auto"/>
        <w:right w:val="none" w:sz="0" w:space="0" w:color="auto"/>
      </w:divBdr>
    </w:div>
    <w:div w:id="410735538">
      <w:bodyDiv w:val="1"/>
      <w:marLeft w:val="0"/>
      <w:marRight w:val="0"/>
      <w:marTop w:val="0"/>
      <w:marBottom w:val="0"/>
      <w:divBdr>
        <w:top w:val="none" w:sz="0" w:space="0" w:color="auto"/>
        <w:left w:val="none" w:sz="0" w:space="0" w:color="auto"/>
        <w:bottom w:val="none" w:sz="0" w:space="0" w:color="auto"/>
        <w:right w:val="none" w:sz="0" w:space="0" w:color="auto"/>
      </w:divBdr>
    </w:div>
    <w:div w:id="448936316">
      <w:bodyDiv w:val="1"/>
      <w:marLeft w:val="0"/>
      <w:marRight w:val="0"/>
      <w:marTop w:val="0"/>
      <w:marBottom w:val="0"/>
      <w:divBdr>
        <w:top w:val="none" w:sz="0" w:space="0" w:color="auto"/>
        <w:left w:val="none" w:sz="0" w:space="0" w:color="auto"/>
        <w:bottom w:val="none" w:sz="0" w:space="0" w:color="auto"/>
        <w:right w:val="none" w:sz="0" w:space="0" w:color="auto"/>
      </w:divBdr>
    </w:div>
    <w:div w:id="454376445">
      <w:bodyDiv w:val="1"/>
      <w:marLeft w:val="0"/>
      <w:marRight w:val="0"/>
      <w:marTop w:val="0"/>
      <w:marBottom w:val="0"/>
      <w:divBdr>
        <w:top w:val="none" w:sz="0" w:space="0" w:color="auto"/>
        <w:left w:val="none" w:sz="0" w:space="0" w:color="auto"/>
        <w:bottom w:val="none" w:sz="0" w:space="0" w:color="auto"/>
        <w:right w:val="none" w:sz="0" w:space="0" w:color="auto"/>
      </w:divBdr>
    </w:div>
    <w:div w:id="455952430">
      <w:bodyDiv w:val="1"/>
      <w:marLeft w:val="0"/>
      <w:marRight w:val="0"/>
      <w:marTop w:val="0"/>
      <w:marBottom w:val="0"/>
      <w:divBdr>
        <w:top w:val="none" w:sz="0" w:space="0" w:color="auto"/>
        <w:left w:val="none" w:sz="0" w:space="0" w:color="auto"/>
        <w:bottom w:val="none" w:sz="0" w:space="0" w:color="auto"/>
        <w:right w:val="none" w:sz="0" w:space="0" w:color="auto"/>
      </w:divBdr>
    </w:div>
    <w:div w:id="459567411">
      <w:bodyDiv w:val="1"/>
      <w:marLeft w:val="0"/>
      <w:marRight w:val="0"/>
      <w:marTop w:val="0"/>
      <w:marBottom w:val="0"/>
      <w:divBdr>
        <w:top w:val="none" w:sz="0" w:space="0" w:color="auto"/>
        <w:left w:val="none" w:sz="0" w:space="0" w:color="auto"/>
        <w:bottom w:val="none" w:sz="0" w:space="0" w:color="auto"/>
        <w:right w:val="none" w:sz="0" w:space="0" w:color="auto"/>
      </w:divBdr>
    </w:div>
    <w:div w:id="462695001">
      <w:bodyDiv w:val="1"/>
      <w:marLeft w:val="0"/>
      <w:marRight w:val="0"/>
      <w:marTop w:val="0"/>
      <w:marBottom w:val="0"/>
      <w:divBdr>
        <w:top w:val="none" w:sz="0" w:space="0" w:color="auto"/>
        <w:left w:val="none" w:sz="0" w:space="0" w:color="auto"/>
        <w:bottom w:val="none" w:sz="0" w:space="0" w:color="auto"/>
        <w:right w:val="none" w:sz="0" w:space="0" w:color="auto"/>
      </w:divBdr>
    </w:div>
    <w:div w:id="471094341">
      <w:bodyDiv w:val="1"/>
      <w:marLeft w:val="0"/>
      <w:marRight w:val="0"/>
      <w:marTop w:val="0"/>
      <w:marBottom w:val="0"/>
      <w:divBdr>
        <w:top w:val="none" w:sz="0" w:space="0" w:color="auto"/>
        <w:left w:val="none" w:sz="0" w:space="0" w:color="auto"/>
        <w:bottom w:val="none" w:sz="0" w:space="0" w:color="auto"/>
        <w:right w:val="none" w:sz="0" w:space="0" w:color="auto"/>
      </w:divBdr>
    </w:div>
    <w:div w:id="472217834">
      <w:bodyDiv w:val="1"/>
      <w:marLeft w:val="0"/>
      <w:marRight w:val="0"/>
      <w:marTop w:val="0"/>
      <w:marBottom w:val="0"/>
      <w:divBdr>
        <w:top w:val="none" w:sz="0" w:space="0" w:color="auto"/>
        <w:left w:val="none" w:sz="0" w:space="0" w:color="auto"/>
        <w:bottom w:val="none" w:sz="0" w:space="0" w:color="auto"/>
        <w:right w:val="none" w:sz="0" w:space="0" w:color="auto"/>
      </w:divBdr>
    </w:div>
    <w:div w:id="473911131">
      <w:bodyDiv w:val="1"/>
      <w:marLeft w:val="0"/>
      <w:marRight w:val="0"/>
      <w:marTop w:val="0"/>
      <w:marBottom w:val="0"/>
      <w:divBdr>
        <w:top w:val="none" w:sz="0" w:space="0" w:color="auto"/>
        <w:left w:val="none" w:sz="0" w:space="0" w:color="auto"/>
        <w:bottom w:val="none" w:sz="0" w:space="0" w:color="auto"/>
        <w:right w:val="none" w:sz="0" w:space="0" w:color="auto"/>
      </w:divBdr>
    </w:div>
    <w:div w:id="475149481">
      <w:bodyDiv w:val="1"/>
      <w:marLeft w:val="0"/>
      <w:marRight w:val="0"/>
      <w:marTop w:val="0"/>
      <w:marBottom w:val="0"/>
      <w:divBdr>
        <w:top w:val="none" w:sz="0" w:space="0" w:color="auto"/>
        <w:left w:val="none" w:sz="0" w:space="0" w:color="auto"/>
        <w:bottom w:val="none" w:sz="0" w:space="0" w:color="auto"/>
        <w:right w:val="none" w:sz="0" w:space="0" w:color="auto"/>
      </w:divBdr>
    </w:div>
    <w:div w:id="479346850">
      <w:bodyDiv w:val="1"/>
      <w:marLeft w:val="0"/>
      <w:marRight w:val="0"/>
      <w:marTop w:val="0"/>
      <w:marBottom w:val="0"/>
      <w:divBdr>
        <w:top w:val="none" w:sz="0" w:space="0" w:color="auto"/>
        <w:left w:val="none" w:sz="0" w:space="0" w:color="auto"/>
        <w:bottom w:val="none" w:sz="0" w:space="0" w:color="auto"/>
        <w:right w:val="none" w:sz="0" w:space="0" w:color="auto"/>
      </w:divBdr>
    </w:div>
    <w:div w:id="494882111">
      <w:bodyDiv w:val="1"/>
      <w:marLeft w:val="0"/>
      <w:marRight w:val="0"/>
      <w:marTop w:val="0"/>
      <w:marBottom w:val="0"/>
      <w:divBdr>
        <w:top w:val="none" w:sz="0" w:space="0" w:color="auto"/>
        <w:left w:val="none" w:sz="0" w:space="0" w:color="auto"/>
        <w:bottom w:val="none" w:sz="0" w:space="0" w:color="auto"/>
        <w:right w:val="none" w:sz="0" w:space="0" w:color="auto"/>
      </w:divBdr>
    </w:div>
    <w:div w:id="506137289">
      <w:bodyDiv w:val="1"/>
      <w:marLeft w:val="0"/>
      <w:marRight w:val="0"/>
      <w:marTop w:val="0"/>
      <w:marBottom w:val="0"/>
      <w:divBdr>
        <w:top w:val="none" w:sz="0" w:space="0" w:color="auto"/>
        <w:left w:val="none" w:sz="0" w:space="0" w:color="auto"/>
        <w:bottom w:val="none" w:sz="0" w:space="0" w:color="auto"/>
        <w:right w:val="none" w:sz="0" w:space="0" w:color="auto"/>
      </w:divBdr>
    </w:div>
    <w:div w:id="521210016">
      <w:bodyDiv w:val="1"/>
      <w:marLeft w:val="0"/>
      <w:marRight w:val="0"/>
      <w:marTop w:val="0"/>
      <w:marBottom w:val="0"/>
      <w:divBdr>
        <w:top w:val="none" w:sz="0" w:space="0" w:color="auto"/>
        <w:left w:val="none" w:sz="0" w:space="0" w:color="auto"/>
        <w:bottom w:val="none" w:sz="0" w:space="0" w:color="auto"/>
        <w:right w:val="none" w:sz="0" w:space="0" w:color="auto"/>
      </w:divBdr>
    </w:div>
    <w:div w:id="558826505">
      <w:bodyDiv w:val="1"/>
      <w:marLeft w:val="0"/>
      <w:marRight w:val="0"/>
      <w:marTop w:val="0"/>
      <w:marBottom w:val="0"/>
      <w:divBdr>
        <w:top w:val="none" w:sz="0" w:space="0" w:color="auto"/>
        <w:left w:val="none" w:sz="0" w:space="0" w:color="auto"/>
        <w:bottom w:val="none" w:sz="0" w:space="0" w:color="auto"/>
        <w:right w:val="none" w:sz="0" w:space="0" w:color="auto"/>
      </w:divBdr>
    </w:div>
    <w:div w:id="565410073">
      <w:bodyDiv w:val="1"/>
      <w:marLeft w:val="0"/>
      <w:marRight w:val="0"/>
      <w:marTop w:val="0"/>
      <w:marBottom w:val="0"/>
      <w:divBdr>
        <w:top w:val="none" w:sz="0" w:space="0" w:color="auto"/>
        <w:left w:val="none" w:sz="0" w:space="0" w:color="auto"/>
        <w:bottom w:val="none" w:sz="0" w:space="0" w:color="auto"/>
        <w:right w:val="none" w:sz="0" w:space="0" w:color="auto"/>
      </w:divBdr>
    </w:div>
    <w:div w:id="572161300">
      <w:bodyDiv w:val="1"/>
      <w:marLeft w:val="0"/>
      <w:marRight w:val="0"/>
      <w:marTop w:val="0"/>
      <w:marBottom w:val="0"/>
      <w:divBdr>
        <w:top w:val="none" w:sz="0" w:space="0" w:color="auto"/>
        <w:left w:val="none" w:sz="0" w:space="0" w:color="auto"/>
        <w:bottom w:val="none" w:sz="0" w:space="0" w:color="auto"/>
        <w:right w:val="none" w:sz="0" w:space="0" w:color="auto"/>
      </w:divBdr>
    </w:div>
    <w:div w:id="572205910">
      <w:bodyDiv w:val="1"/>
      <w:marLeft w:val="0"/>
      <w:marRight w:val="0"/>
      <w:marTop w:val="0"/>
      <w:marBottom w:val="0"/>
      <w:divBdr>
        <w:top w:val="none" w:sz="0" w:space="0" w:color="auto"/>
        <w:left w:val="none" w:sz="0" w:space="0" w:color="auto"/>
        <w:bottom w:val="none" w:sz="0" w:space="0" w:color="auto"/>
        <w:right w:val="none" w:sz="0" w:space="0" w:color="auto"/>
      </w:divBdr>
    </w:div>
    <w:div w:id="578488988">
      <w:bodyDiv w:val="1"/>
      <w:marLeft w:val="0"/>
      <w:marRight w:val="0"/>
      <w:marTop w:val="0"/>
      <w:marBottom w:val="0"/>
      <w:divBdr>
        <w:top w:val="none" w:sz="0" w:space="0" w:color="auto"/>
        <w:left w:val="none" w:sz="0" w:space="0" w:color="auto"/>
        <w:bottom w:val="none" w:sz="0" w:space="0" w:color="auto"/>
        <w:right w:val="none" w:sz="0" w:space="0" w:color="auto"/>
      </w:divBdr>
    </w:div>
    <w:div w:id="598680246">
      <w:bodyDiv w:val="1"/>
      <w:marLeft w:val="0"/>
      <w:marRight w:val="0"/>
      <w:marTop w:val="0"/>
      <w:marBottom w:val="0"/>
      <w:divBdr>
        <w:top w:val="none" w:sz="0" w:space="0" w:color="auto"/>
        <w:left w:val="none" w:sz="0" w:space="0" w:color="auto"/>
        <w:bottom w:val="none" w:sz="0" w:space="0" w:color="auto"/>
        <w:right w:val="none" w:sz="0" w:space="0" w:color="auto"/>
      </w:divBdr>
    </w:div>
    <w:div w:id="613055128">
      <w:bodyDiv w:val="1"/>
      <w:marLeft w:val="0"/>
      <w:marRight w:val="0"/>
      <w:marTop w:val="0"/>
      <w:marBottom w:val="0"/>
      <w:divBdr>
        <w:top w:val="none" w:sz="0" w:space="0" w:color="auto"/>
        <w:left w:val="none" w:sz="0" w:space="0" w:color="auto"/>
        <w:bottom w:val="none" w:sz="0" w:space="0" w:color="auto"/>
        <w:right w:val="none" w:sz="0" w:space="0" w:color="auto"/>
      </w:divBdr>
    </w:div>
    <w:div w:id="626398297">
      <w:bodyDiv w:val="1"/>
      <w:marLeft w:val="0"/>
      <w:marRight w:val="0"/>
      <w:marTop w:val="0"/>
      <w:marBottom w:val="0"/>
      <w:divBdr>
        <w:top w:val="none" w:sz="0" w:space="0" w:color="auto"/>
        <w:left w:val="none" w:sz="0" w:space="0" w:color="auto"/>
        <w:bottom w:val="none" w:sz="0" w:space="0" w:color="auto"/>
        <w:right w:val="none" w:sz="0" w:space="0" w:color="auto"/>
      </w:divBdr>
    </w:div>
    <w:div w:id="634332486">
      <w:bodyDiv w:val="1"/>
      <w:marLeft w:val="0"/>
      <w:marRight w:val="0"/>
      <w:marTop w:val="0"/>
      <w:marBottom w:val="0"/>
      <w:divBdr>
        <w:top w:val="none" w:sz="0" w:space="0" w:color="auto"/>
        <w:left w:val="none" w:sz="0" w:space="0" w:color="auto"/>
        <w:bottom w:val="none" w:sz="0" w:space="0" w:color="auto"/>
        <w:right w:val="none" w:sz="0" w:space="0" w:color="auto"/>
      </w:divBdr>
    </w:div>
    <w:div w:id="656804889">
      <w:bodyDiv w:val="1"/>
      <w:marLeft w:val="0"/>
      <w:marRight w:val="0"/>
      <w:marTop w:val="0"/>
      <w:marBottom w:val="0"/>
      <w:divBdr>
        <w:top w:val="none" w:sz="0" w:space="0" w:color="auto"/>
        <w:left w:val="none" w:sz="0" w:space="0" w:color="auto"/>
        <w:bottom w:val="none" w:sz="0" w:space="0" w:color="auto"/>
        <w:right w:val="none" w:sz="0" w:space="0" w:color="auto"/>
      </w:divBdr>
    </w:div>
    <w:div w:id="661392787">
      <w:bodyDiv w:val="1"/>
      <w:marLeft w:val="0"/>
      <w:marRight w:val="0"/>
      <w:marTop w:val="0"/>
      <w:marBottom w:val="0"/>
      <w:divBdr>
        <w:top w:val="none" w:sz="0" w:space="0" w:color="auto"/>
        <w:left w:val="none" w:sz="0" w:space="0" w:color="auto"/>
        <w:bottom w:val="none" w:sz="0" w:space="0" w:color="auto"/>
        <w:right w:val="none" w:sz="0" w:space="0" w:color="auto"/>
      </w:divBdr>
    </w:div>
    <w:div w:id="662205043">
      <w:bodyDiv w:val="1"/>
      <w:marLeft w:val="0"/>
      <w:marRight w:val="0"/>
      <w:marTop w:val="0"/>
      <w:marBottom w:val="0"/>
      <w:divBdr>
        <w:top w:val="none" w:sz="0" w:space="0" w:color="auto"/>
        <w:left w:val="none" w:sz="0" w:space="0" w:color="auto"/>
        <w:bottom w:val="none" w:sz="0" w:space="0" w:color="auto"/>
        <w:right w:val="none" w:sz="0" w:space="0" w:color="auto"/>
      </w:divBdr>
    </w:div>
    <w:div w:id="667489195">
      <w:bodyDiv w:val="1"/>
      <w:marLeft w:val="0"/>
      <w:marRight w:val="0"/>
      <w:marTop w:val="0"/>
      <w:marBottom w:val="0"/>
      <w:divBdr>
        <w:top w:val="none" w:sz="0" w:space="0" w:color="auto"/>
        <w:left w:val="none" w:sz="0" w:space="0" w:color="auto"/>
        <w:bottom w:val="none" w:sz="0" w:space="0" w:color="auto"/>
        <w:right w:val="none" w:sz="0" w:space="0" w:color="auto"/>
      </w:divBdr>
    </w:div>
    <w:div w:id="674696106">
      <w:bodyDiv w:val="1"/>
      <w:marLeft w:val="0"/>
      <w:marRight w:val="0"/>
      <w:marTop w:val="0"/>
      <w:marBottom w:val="0"/>
      <w:divBdr>
        <w:top w:val="none" w:sz="0" w:space="0" w:color="auto"/>
        <w:left w:val="none" w:sz="0" w:space="0" w:color="auto"/>
        <w:bottom w:val="none" w:sz="0" w:space="0" w:color="auto"/>
        <w:right w:val="none" w:sz="0" w:space="0" w:color="auto"/>
      </w:divBdr>
    </w:div>
    <w:div w:id="680863700">
      <w:bodyDiv w:val="1"/>
      <w:marLeft w:val="0"/>
      <w:marRight w:val="0"/>
      <w:marTop w:val="0"/>
      <w:marBottom w:val="0"/>
      <w:divBdr>
        <w:top w:val="none" w:sz="0" w:space="0" w:color="auto"/>
        <w:left w:val="none" w:sz="0" w:space="0" w:color="auto"/>
        <w:bottom w:val="none" w:sz="0" w:space="0" w:color="auto"/>
        <w:right w:val="none" w:sz="0" w:space="0" w:color="auto"/>
      </w:divBdr>
    </w:div>
    <w:div w:id="682707327">
      <w:bodyDiv w:val="1"/>
      <w:marLeft w:val="0"/>
      <w:marRight w:val="0"/>
      <w:marTop w:val="0"/>
      <w:marBottom w:val="0"/>
      <w:divBdr>
        <w:top w:val="none" w:sz="0" w:space="0" w:color="auto"/>
        <w:left w:val="none" w:sz="0" w:space="0" w:color="auto"/>
        <w:bottom w:val="none" w:sz="0" w:space="0" w:color="auto"/>
        <w:right w:val="none" w:sz="0" w:space="0" w:color="auto"/>
      </w:divBdr>
    </w:div>
    <w:div w:id="682781743">
      <w:bodyDiv w:val="1"/>
      <w:marLeft w:val="0"/>
      <w:marRight w:val="0"/>
      <w:marTop w:val="0"/>
      <w:marBottom w:val="0"/>
      <w:divBdr>
        <w:top w:val="none" w:sz="0" w:space="0" w:color="auto"/>
        <w:left w:val="none" w:sz="0" w:space="0" w:color="auto"/>
        <w:bottom w:val="none" w:sz="0" w:space="0" w:color="auto"/>
        <w:right w:val="none" w:sz="0" w:space="0" w:color="auto"/>
      </w:divBdr>
    </w:div>
    <w:div w:id="684137679">
      <w:bodyDiv w:val="1"/>
      <w:marLeft w:val="0"/>
      <w:marRight w:val="0"/>
      <w:marTop w:val="0"/>
      <w:marBottom w:val="0"/>
      <w:divBdr>
        <w:top w:val="none" w:sz="0" w:space="0" w:color="auto"/>
        <w:left w:val="none" w:sz="0" w:space="0" w:color="auto"/>
        <w:bottom w:val="none" w:sz="0" w:space="0" w:color="auto"/>
        <w:right w:val="none" w:sz="0" w:space="0" w:color="auto"/>
      </w:divBdr>
    </w:div>
    <w:div w:id="711880034">
      <w:bodyDiv w:val="1"/>
      <w:marLeft w:val="0"/>
      <w:marRight w:val="0"/>
      <w:marTop w:val="0"/>
      <w:marBottom w:val="0"/>
      <w:divBdr>
        <w:top w:val="none" w:sz="0" w:space="0" w:color="auto"/>
        <w:left w:val="none" w:sz="0" w:space="0" w:color="auto"/>
        <w:bottom w:val="none" w:sz="0" w:space="0" w:color="auto"/>
        <w:right w:val="none" w:sz="0" w:space="0" w:color="auto"/>
      </w:divBdr>
    </w:div>
    <w:div w:id="735595440">
      <w:bodyDiv w:val="1"/>
      <w:marLeft w:val="0"/>
      <w:marRight w:val="0"/>
      <w:marTop w:val="0"/>
      <w:marBottom w:val="0"/>
      <w:divBdr>
        <w:top w:val="none" w:sz="0" w:space="0" w:color="auto"/>
        <w:left w:val="none" w:sz="0" w:space="0" w:color="auto"/>
        <w:bottom w:val="none" w:sz="0" w:space="0" w:color="auto"/>
        <w:right w:val="none" w:sz="0" w:space="0" w:color="auto"/>
      </w:divBdr>
    </w:div>
    <w:div w:id="739645080">
      <w:bodyDiv w:val="1"/>
      <w:marLeft w:val="0"/>
      <w:marRight w:val="0"/>
      <w:marTop w:val="0"/>
      <w:marBottom w:val="0"/>
      <w:divBdr>
        <w:top w:val="none" w:sz="0" w:space="0" w:color="auto"/>
        <w:left w:val="none" w:sz="0" w:space="0" w:color="auto"/>
        <w:bottom w:val="none" w:sz="0" w:space="0" w:color="auto"/>
        <w:right w:val="none" w:sz="0" w:space="0" w:color="auto"/>
      </w:divBdr>
    </w:div>
    <w:div w:id="745222504">
      <w:bodyDiv w:val="1"/>
      <w:marLeft w:val="0"/>
      <w:marRight w:val="0"/>
      <w:marTop w:val="0"/>
      <w:marBottom w:val="0"/>
      <w:divBdr>
        <w:top w:val="none" w:sz="0" w:space="0" w:color="auto"/>
        <w:left w:val="none" w:sz="0" w:space="0" w:color="auto"/>
        <w:bottom w:val="none" w:sz="0" w:space="0" w:color="auto"/>
        <w:right w:val="none" w:sz="0" w:space="0" w:color="auto"/>
      </w:divBdr>
    </w:div>
    <w:div w:id="764769121">
      <w:bodyDiv w:val="1"/>
      <w:marLeft w:val="0"/>
      <w:marRight w:val="0"/>
      <w:marTop w:val="0"/>
      <w:marBottom w:val="0"/>
      <w:divBdr>
        <w:top w:val="none" w:sz="0" w:space="0" w:color="auto"/>
        <w:left w:val="none" w:sz="0" w:space="0" w:color="auto"/>
        <w:bottom w:val="none" w:sz="0" w:space="0" w:color="auto"/>
        <w:right w:val="none" w:sz="0" w:space="0" w:color="auto"/>
      </w:divBdr>
    </w:div>
    <w:div w:id="766729954">
      <w:bodyDiv w:val="1"/>
      <w:marLeft w:val="0"/>
      <w:marRight w:val="0"/>
      <w:marTop w:val="0"/>
      <w:marBottom w:val="0"/>
      <w:divBdr>
        <w:top w:val="none" w:sz="0" w:space="0" w:color="auto"/>
        <w:left w:val="none" w:sz="0" w:space="0" w:color="auto"/>
        <w:bottom w:val="none" w:sz="0" w:space="0" w:color="auto"/>
        <w:right w:val="none" w:sz="0" w:space="0" w:color="auto"/>
      </w:divBdr>
    </w:div>
    <w:div w:id="772364977">
      <w:bodyDiv w:val="1"/>
      <w:marLeft w:val="0"/>
      <w:marRight w:val="0"/>
      <w:marTop w:val="0"/>
      <w:marBottom w:val="0"/>
      <w:divBdr>
        <w:top w:val="none" w:sz="0" w:space="0" w:color="auto"/>
        <w:left w:val="none" w:sz="0" w:space="0" w:color="auto"/>
        <w:bottom w:val="none" w:sz="0" w:space="0" w:color="auto"/>
        <w:right w:val="none" w:sz="0" w:space="0" w:color="auto"/>
      </w:divBdr>
    </w:div>
    <w:div w:id="788937019">
      <w:bodyDiv w:val="1"/>
      <w:marLeft w:val="0"/>
      <w:marRight w:val="0"/>
      <w:marTop w:val="0"/>
      <w:marBottom w:val="0"/>
      <w:divBdr>
        <w:top w:val="none" w:sz="0" w:space="0" w:color="auto"/>
        <w:left w:val="none" w:sz="0" w:space="0" w:color="auto"/>
        <w:bottom w:val="none" w:sz="0" w:space="0" w:color="auto"/>
        <w:right w:val="none" w:sz="0" w:space="0" w:color="auto"/>
      </w:divBdr>
    </w:div>
    <w:div w:id="792866327">
      <w:bodyDiv w:val="1"/>
      <w:marLeft w:val="0"/>
      <w:marRight w:val="0"/>
      <w:marTop w:val="0"/>
      <w:marBottom w:val="0"/>
      <w:divBdr>
        <w:top w:val="none" w:sz="0" w:space="0" w:color="auto"/>
        <w:left w:val="none" w:sz="0" w:space="0" w:color="auto"/>
        <w:bottom w:val="none" w:sz="0" w:space="0" w:color="auto"/>
        <w:right w:val="none" w:sz="0" w:space="0" w:color="auto"/>
      </w:divBdr>
    </w:div>
    <w:div w:id="793016736">
      <w:bodyDiv w:val="1"/>
      <w:marLeft w:val="0"/>
      <w:marRight w:val="0"/>
      <w:marTop w:val="0"/>
      <w:marBottom w:val="0"/>
      <w:divBdr>
        <w:top w:val="none" w:sz="0" w:space="0" w:color="auto"/>
        <w:left w:val="none" w:sz="0" w:space="0" w:color="auto"/>
        <w:bottom w:val="none" w:sz="0" w:space="0" w:color="auto"/>
        <w:right w:val="none" w:sz="0" w:space="0" w:color="auto"/>
      </w:divBdr>
    </w:div>
    <w:div w:id="795946313">
      <w:bodyDiv w:val="1"/>
      <w:marLeft w:val="0"/>
      <w:marRight w:val="0"/>
      <w:marTop w:val="0"/>
      <w:marBottom w:val="0"/>
      <w:divBdr>
        <w:top w:val="none" w:sz="0" w:space="0" w:color="auto"/>
        <w:left w:val="none" w:sz="0" w:space="0" w:color="auto"/>
        <w:bottom w:val="none" w:sz="0" w:space="0" w:color="auto"/>
        <w:right w:val="none" w:sz="0" w:space="0" w:color="auto"/>
      </w:divBdr>
    </w:div>
    <w:div w:id="801574611">
      <w:bodyDiv w:val="1"/>
      <w:marLeft w:val="0"/>
      <w:marRight w:val="0"/>
      <w:marTop w:val="0"/>
      <w:marBottom w:val="0"/>
      <w:divBdr>
        <w:top w:val="none" w:sz="0" w:space="0" w:color="auto"/>
        <w:left w:val="none" w:sz="0" w:space="0" w:color="auto"/>
        <w:bottom w:val="none" w:sz="0" w:space="0" w:color="auto"/>
        <w:right w:val="none" w:sz="0" w:space="0" w:color="auto"/>
      </w:divBdr>
    </w:div>
    <w:div w:id="801921126">
      <w:bodyDiv w:val="1"/>
      <w:marLeft w:val="0"/>
      <w:marRight w:val="0"/>
      <w:marTop w:val="0"/>
      <w:marBottom w:val="0"/>
      <w:divBdr>
        <w:top w:val="none" w:sz="0" w:space="0" w:color="auto"/>
        <w:left w:val="none" w:sz="0" w:space="0" w:color="auto"/>
        <w:bottom w:val="none" w:sz="0" w:space="0" w:color="auto"/>
        <w:right w:val="none" w:sz="0" w:space="0" w:color="auto"/>
      </w:divBdr>
    </w:div>
    <w:div w:id="806702084">
      <w:bodyDiv w:val="1"/>
      <w:marLeft w:val="0"/>
      <w:marRight w:val="0"/>
      <w:marTop w:val="0"/>
      <w:marBottom w:val="0"/>
      <w:divBdr>
        <w:top w:val="none" w:sz="0" w:space="0" w:color="auto"/>
        <w:left w:val="none" w:sz="0" w:space="0" w:color="auto"/>
        <w:bottom w:val="none" w:sz="0" w:space="0" w:color="auto"/>
        <w:right w:val="none" w:sz="0" w:space="0" w:color="auto"/>
      </w:divBdr>
    </w:div>
    <w:div w:id="821698448">
      <w:bodyDiv w:val="1"/>
      <w:marLeft w:val="0"/>
      <w:marRight w:val="0"/>
      <w:marTop w:val="0"/>
      <w:marBottom w:val="0"/>
      <w:divBdr>
        <w:top w:val="none" w:sz="0" w:space="0" w:color="auto"/>
        <w:left w:val="none" w:sz="0" w:space="0" w:color="auto"/>
        <w:bottom w:val="none" w:sz="0" w:space="0" w:color="auto"/>
        <w:right w:val="none" w:sz="0" w:space="0" w:color="auto"/>
      </w:divBdr>
    </w:div>
    <w:div w:id="822351260">
      <w:bodyDiv w:val="1"/>
      <w:marLeft w:val="0"/>
      <w:marRight w:val="0"/>
      <w:marTop w:val="0"/>
      <w:marBottom w:val="0"/>
      <w:divBdr>
        <w:top w:val="none" w:sz="0" w:space="0" w:color="auto"/>
        <w:left w:val="none" w:sz="0" w:space="0" w:color="auto"/>
        <w:bottom w:val="none" w:sz="0" w:space="0" w:color="auto"/>
        <w:right w:val="none" w:sz="0" w:space="0" w:color="auto"/>
      </w:divBdr>
    </w:div>
    <w:div w:id="823396146">
      <w:bodyDiv w:val="1"/>
      <w:marLeft w:val="0"/>
      <w:marRight w:val="0"/>
      <w:marTop w:val="0"/>
      <w:marBottom w:val="0"/>
      <w:divBdr>
        <w:top w:val="none" w:sz="0" w:space="0" w:color="auto"/>
        <w:left w:val="none" w:sz="0" w:space="0" w:color="auto"/>
        <w:bottom w:val="none" w:sz="0" w:space="0" w:color="auto"/>
        <w:right w:val="none" w:sz="0" w:space="0" w:color="auto"/>
      </w:divBdr>
    </w:div>
    <w:div w:id="829901855">
      <w:bodyDiv w:val="1"/>
      <w:marLeft w:val="0"/>
      <w:marRight w:val="0"/>
      <w:marTop w:val="0"/>
      <w:marBottom w:val="0"/>
      <w:divBdr>
        <w:top w:val="none" w:sz="0" w:space="0" w:color="auto"/>
        <w:left w:val="none" w:sz="0" w:space="0" w:color="auto"/>
        <w:bottom w:val="none" w:sz="0" w:space="0" w:color="auto"/>
        <w:right w:val="none" w:sz="0" w:space="0" w:color="auto"/>
      </w:divBdr>
    </w:div>
    <w:div w:id="834028947">
      <w:bodyDiv w:val="1"/>
      <w:marLeft w:val="0"/>
      <w:marRight w:val="0"/>
      <w:marTop w:val="0"/>
      <w:marBottom w:val="0"/>
      <w:divBdr>
        <w:top w:val="none" w:sz="0" w:space="0" w:color="auto"/>
        <w:left w:val="none" w:sz="0" w:space="0" w:color="auto"/>
        <w:bottom w:val="none" w:sz="0" w:space="0" w:color="auto"/>
        <w:right w:val="none" w:sz="0" w:space="0" w:color="auto"/>
      </w:divBdr>
    </w:div>
    <w:div w:id="840462121">
      <w:bodyDiv w:val="1"/>
      <w:marLeft w:val="0"/>
      <w:marRight w:val="0"/>
      <w:marTop w:val="0"/>
      <w:marBottom w:val="0"/>
      <w:divBdr>
        <w:top w:val="none" w:sz="0" w:space="0" w:color="auto"/>
        <w:left w:val="none" w:sz="0" w:space="0" w:color="auto"/>
        <w:bottom w:val="none" w:sz="0" w:space="0" w:color="auto"/>
        <w:right w:val="none" w:sz="0" w:space="0" w:color="auto"/>
      </w:divBdr>
    </w:div>
    <w:div w:id="849757782">
      <w:bodyDiv w:val="1"/>
      <w:marLeft w:val="0"/>
      <w:marRight w:val="0"/>
      <w:marTop w:val="0"/>
      <w:marBottom w:val="0"/>
      <w:divBdr>
        <w:top w:val="none" w:sz="0" w:space="0" w:color="auto"/>
        <w:left w:val="none" w:sz="0" w:space="0" w:color="auto"/>
        <w:bottom w:val="none" w:sz="0" w:space="0" w:color="auto"/>
        <w:right w:val="none" w:sz="0" w:space="0" w:color="auto"/>
      </w:divBdr>
    </w:div>
    <w:div w:id="849834466">
      <w:bodyDiv w:val="1"/>
      <w:marLeft w:val="0"/>
      <w:marRight w:val="0"/>
      <w:marTop w:val="0"/>
      <w:marBottom w:val="0"/>
      <w:divBdr>
        <w:top w:val="none" w:sz="0" w:space="0" w:color="auto"/>
        <w:left w:val="none" w:sz="0" w:space="0" w:color="auto"/>
        <w:bottom w:val="none" w:sz="0" w:space="0" w:color="auto"/>
        <w:right w:val="none" w:sz="0" w:space="0" w:color="auto"/>
      </w:divBdr>
    </w:div>
    <w:div w:id="853572430">
      <w:bodyDiv w:val="1"/>
      <w:marLeft w:val="0"/>
      <w:marRight w:val="0"/>
      <w:marTop w:val="0"/>
      <w:marBottom w:val="0"/>
      <w:divBdr>
        <w:top w:val="none" w:sz="0" w:space="0" w:color="auto"/>
        <w:left w:val="none" w:sz="0" w:space="0" w:color="auto"/>
        <w:bottom w:val="none" w:sz="0" w:space="0" w:color="auto"/>
        <w:right w:val="none" w:sz="0" w:space="0" w:color="auto"/>
      </w:divBdr>
    </w:div>
    <w:div w:id="873037190">
      <w:bodyDiv w:val="1"/>
      <w:marLeft w:val="0"/>
      <w:marRight w:val="0"/>
      <w:marTop w:val="0"/>
      <w:marBottom w:val="0"/>
      <w:divBdr>
        <w:top w:val="none" w:sz="0" w:space="0" w:color="auto"/>
        <w:left w:val="none" w:sz="0" w:space="0" w:color="auto"/>
        <w:bottom w:val="none" w:sz="0" w:space="0" w:color="auto"/>
        <w:right w:val="none" w:sz="0" w:space="0" w:color="auto"/>
      </w:divBdr>
    </w:div>
    <w:div w:id="893199398">
      <w:bodyDiv w:val="1"/>
      <w:marLeft w:val="0"/>
      <w:marRight w:val="0"/>
      <w:marTop w:val="0"/>
      <w:marBottom w:val="0"/>
      <w:divBdr>
        <w:top w:val="none" w:sz="0" w:space="0" w:color="auto"/>
        <w:left w:val="none" w:sz="0" w:space="0" w:color="auto"/>
        <w:bottom w:val="none" w:sz="0" w:space="0" w:color="auto"/>
        <w:right w:val="none" w:sz="0" w:space="0" w:color="auto"/>
      </w:divBdr>
    </w:div>
    <w:div w:id="930745200">
      <w:bodyDiv w:val="1"/>
      <w:marLeft w:val="0"/>
      <w:marRight w:val="0"/>
      <w:marTop w:val="0"/>
      <w:marBottom w:val="0"/>
      <w:divBdr>
        <w:top w:val="none" w:sz="0" w:space="0" w:color="auto"/>
        <w:left w:val="none" w:sz="0" w:space="0" w:color="auto"/>
        <w:bottom w:val="none" w:sz="0" w:space="0" w:color="auto"/>
        <w:right w:val="none" w:sz="0" w:space="0" w:color="auto"/>
      </w:divBdr>
    </w:div>
    <w:div w:id="931283445">
      <w:bodyDiv w:val="1"/>
      <w:marLeft w:val="0"/>
      <w:marRight w:val="0"/>
      <w:marTop w:val="0"/>
      <w:marBottom w:val="0"/>
      <w:divBdr>
        <w:top w:val="none" w:sz="0" w:space="0" w:color="auto"/>
        <w:left w:val="none" w:sz="0" w:space="0" w:color="auto"/>
        <w:bottom w:val="none" w:sz="0" w:space="0" w:color="auto"/>
        <w:right w:val="none" w:sz="0" w:space="0" w:color="auto"/>
      </w:divBdr>
    </w:div>
    <w:div w:id="934433949">
      <w:bodyDiv w:val="1"/>
      <w:marLeft w:val="0"/>
      <w:marRight w:val="0"/>
      <w:marTop w:val="0"/>
      <w:marBottom w:val="0"/>
      <w:divBdr>
        <w:top w:val="none" w:sz="0" w:space="0" w:color="auto"/>
        <w:left w:val="none" w:sz="0" w:space="0" w:color="auto"/>
        <w:bottom w:val="none" w:sz="0" w:space="0" w:color="auto"/>
        <w:right w:val="none" w:sz="0" w:space="0" w:color="auto"/>
      </w:divBdr>
    </w:div>
    <w:div w:id="937449274">
      <w:bodyDiv w:val="1"/>
      <w:marLeft w:val="0"/>
      <w:marRight w:val="0"/>
      <w:marTop w:val="0"/>
      <w:marBottom w:val="0"/>
      <w:divBdr>
        <w:top w:val="none" w:sz="0" w:space="0" w:color="auto"/>
        <w:left w:val="none" w:sz="0" w:space="0" w:color="auto"/>
        <w:bottom w:val="none" w:sz="0" w:space="0" w:color="auto"/>
        <w:right w:val="none" w:sz="0" w:space="0" w:color="auto"/>
      </w:divBdr>
    </w:div>
    <w:div w:id="972368867">
      <w:bodyDiv w:val="1"/>
      <w:marLeft w:val="0"/>
      <w:marRight w:val="0"/>
      <w:marTop w:val="0"/>
      <w:marBottom w:val="0"/>
      <w:divBdr>
        <w:top w:val="none" w:sz="0" w:space="0" w:color="auto"/>
        <w:left w:val="none" w:sz="0" w:space="0" w:color="auto"/>
        <w:bottom w:val="none" w:sz="0" w:space="0" w:color="auto"/>
        <w:right w:val="none" w:sz="0" w:space="0" w:color="auto"/>
      </w:divBdr>
    </w:div>
    <w:div w:id="996688742">
      <w:bodyDiv w:val="1"/>
      <w:marLeft w:val="0"/>
      <w:marRight w:val="0"/>
      <w:marTop w:val="0"/>
      <w:marBottom w:val="0"/>
      <w:divBdr>
        <w:top w:val="none" w:sz="0" w:space="0" w:color="auto"/>
        <w:left w:val="none" w:sz="0" w:space="0" w:color="auto"/>
        <w:bottom w:val="none" w:sz="0" w:space="0" w:color="auto"/>
        <w:right w:val="none" w:sz="0" w:space="0" w:color="auto"/>
      </w:divBdr>
    </w:div>
    <w:div w:id="1006445187">
      <w:bodyDiv w:val="1"/>
      <w:marLeft w:val="0"/>
      <w:marRight w:val="0"/>
      <w:marTop w:val="0"/>
      <w:marBottom w:val="0"/>
      <w:divBdr>
        <w:top w:val="none" w:sz="0" w:space="0" w:color="auto"/>
        <w:left w:val="none" w:sz="0" w:space="0" w:color="auto"/>
        <w:bottom w:val="none" w:sz="0" w:space="0" w:color="auto"/>
        <w:right w:val="none" w:sz="0" w:space="0" w:color="auto"/>
      </w:divBdr>
    </w:div>
    <w:div w:id="1007513825">
      <w:bodyDiv w:val="1"/>
      <w:marLeft w:val="0"/>
      <w:marRight w:val="0"/>
      <w:marTop w:val="0"/>
      <w:marBottom w:val="0"/>
      <w:divBdr>
        <w:top w:val="none" w:sz="0" w:space="0" w:color="auto"/>
        <w:left w:val="none" w:sz="0" w:space="0" w:color="auto"/>
        <w:bottom w:val="none" w:sz="0" w:space="0" w:color="auto"/>
        <w:right w:val="none" w:sz="0" w:space="0" w:color="auto"/>
      </w:divBdr>
    </w:div>
    <w:div w:id="1010063984">
      <w:bodyDiv w:val="1"/>
      <w:marLeft w:val="0"/>
      <w:marRight w:val="0"/>
      <w:marTop w:val="0"/>
      <w:marBottom w:val="0"/>
      <w:divBdr>
        <w:top w:val="none" w:sz="0" w:space="0" w:color="auto"/>
        <w:left w:val="none" w:sz="0" w:space="0" w:color="auto"/>
        <w:bottom w:val="none" w:sz="0" w:space="0" w:color="auto"/>
        <w:right w:val="none" w:sz="0" w:space="0" w:color="auto"/>
      </w:divBdr>
    </w:div>
    <w:div w:id="1013074995">
      <w:bodyDiv w:val="1"/>
      <w:marLeft w:val="0"/>
      <w:marRight w:val="0"/>
      <w:marTop w:val="0"/>
      <w:marBottom w:val="0"/>
      <w:divBdr>
        <w:top w:val="none" w:sz="0" w:space="0" w:color="auto"/>
        <w:left w:val="none" w:sz="0" w:space="0" w:color="auto"/>
        <w:bottom w:val="none" w:sz="0" w:space="0" w:color="auto"/>
        <w:right w:val="none" w:sz="0" w:space="0" w:color="auto"/>
      </w:divBdr>
    </w:div>
    <w:div w:id="1018774654">
      <w:bodyDiv w:val="1"/>
      <w:marLeft w:val="0"/>
      <w:marRight w:val="0"/>
      <w:marTop w:val="0"/>
      <w:marBottom w:val="0"/>
      <w:divBdr>
        <w:top w:val="none" w:sz="0" w:space="0" w:color="auto"/>
        <w:left w:val="none" w:sz="0" w:space="0" w:color="auto"/>
        <w:bottom w:val="none" w:sz="0" w:space="0" w:color="auto"/>
        <w:right w:val="none" w:sz="0" w:space="0" w:color="auto"/>
      </w:divBdr>
    </w:div>
    <w:div w:id="1032223030">
      <w:bodyDiv w:val="1"/>
      <w:marLeft w:val="0"/>
      <w:marRight w:val="0"/>
      <w:marTop w:val="0"/>
      <w:marBottom w:val="0"/>
      <w:divBdr>
        <w:top w:val="none" w:sz="0" w:space="0" w:color="auto"/>
        <w:left w:val="none" w:sz="0" w:space="0" w:color="auto"/>
        <w:bottom w:val="none" w:sz="0" w:space="0" w:color="auto"/>
        <w:right w:val="none" w:sz="0" w:space="0" w:color="auto"/>
      </w:divBdr>
    </w:div>
    <w:div w:id="1035036803">
      <w:bodyDiv w:val="1"/>
      <w:marLeft w:val="0"/>
      <w:marRight w:val="0"/>
      <w:marTop w:val="0"/>
      <w:marBottom w:val="0"/>
      <w:divBdr>
        <w:top w:val="none" w:sz="0" w:space="0" w:color="auto"/>
        <w:left w:val="none" w:sz="0" w:space="0" w:color="auto"/>
        <w:bottom w:val="none" w:sz="0" w:space="0" w:color="auto"/>
        <w:right w:val="none" w:sz="0" w:space="0" w:color="auto"/>
      </w:divBdr>
    </w:div>
    <w:div w:id="1037655817">
      <w:bodyDiv w:val="1"/>
      <w:marLeft w:val="0"/>
      <w:marRight w:val="0"/>
      <w:marTop w:val="0"/>
      <w:marBottom w:val="0"/>
      <w:divBdr>
        <w:top w:val="none" w:sz="0" w:space="0" w:color="auto"/>
        <w:left w:val="none" w:sz="0" w:space="0" w:color="auto"/>
        <w:bottom w:val="none" w:sz="0" w:space="0" w:color="auto"/>
        <w:right w:val="none" w:sz="0" w:space="0" w:color="auto"/>
      </w:divBdr>
    </w:div>
    <w:div w:id="1039553173">
      <w:bodyDiv w:val="1"/>
      <w:marLeft w:val="0"/>
      <w:marRight w:val="0"/>
      <w:marTop w:val="0"/>
      <w:marBottom w:val="0"/>
      <w:divBdr>
        <w:top w:val="none" w:sz="0" w:space="0" w:color="auto"/>
        <w:left w:val="none" w:sz="0" w:space="0" w:color="auto"/>
        <w:bottom w:val="none" w:sz="0" w:space="0" w:color="auto"/>
        <w:right w:val="none" w:sz="0" w:space="0" w:color="auto"/>
      </w:divBdr>
    </w:div>
    <w:div w:id="1041787080">
      <w:bodyDiv w:val="1"/>
      <w:marLeft w:val="0"/>
      <w:marRight w:val="0"/>
      <w:marTop w:val="0"/>
      <w:marBottom w:val="0"/>
      <w:divBdr>
        <w:top w:val="none" w:sz="0" w:space="0" w:color="auto"/>
        <w:left w:val="none" w:sz="0" w:space="0" w:color="auto"/>
        <w:bottom w:val="none" w:sz="0" w:space="0" w:color="auto"/>
        <w:right w:val="none" w:sz="0" w:space="0" w:color="auto"/>
      </w:divBdr>
    </w:div>
    <w:div w:id="1075250048">
      <w:bodyDiv w:val="1"/>
      <w:marLeft w:val="0"/>
      <w:marRight w:val="0"/>
      <w:marTop w:val="0"/>
      <w:marBottom w:val="0"/>
      <w:divBdr>
        <w:top w:val="none" w:sz="0" w:space="0" w:color="auto"/>
        <w:left w:val="none" w:sz="0" w:space="0" w:color="auto"/>
        <w:bottom w:val="none" w:sz="0" w:space="0" w:color="auto"/>
        <w:right w:val="none" w:sz="0" w:space="0" w:color="auto"/>
      </w:divBdr>
    </w:div>
    <w:div w:id="1075513951">
      <w:bodyDiv w:val="1"/>
      <w:marLeft w:val="0"/>
      <w:marRight w:val="0"/>
      <w:marTop w:val="0"/>
      <w:marBottom w:val="0"/>
      <w:divBdr>
        <w:top w:val="none" w:sz="0" w:space="0" w:color="auto"/>
        <w:left w:val="none" w:sz="0" w:space="0" w:color="auto"/>
        <w:bottom w:val="none" w:sz="0" w:space="0" w:color="auto"/>
        <w:right w:val="none" w:sz="0" w:space="0" w:color="auto"/>
      </w:divBdr>
    </w:div>
    <w:div w:id="1085491327">
      <w:bodyDiv w:val="1"/>
      <w:marLeft w:val="0"/>
      <w:marRight w:val="0"/>
      <w:marTop w:val="0"/>
      <w:marBottom w:val="0"/>
      <w:divBdr>
        <w:top w:val="none" w:sz="0" w:space="0" w:color="auto"/>
        <w:left w:val="none" w:sz="0" w:space="0" w:color="auto"/>
        <w:bottom w:val="none" w:sz="0" w:space="0" w:color="auto"/>
        <w:right w:val="none" w:sz="0" w:space="0" w:color="auto"/>
      </w:divBdr>
    </w:div>
    <w:div w:id="1091439179">
      <w:bodyDiv w:val="1"/>
      <w:marLeft w:val="0"/>
      <w:marRight w:val="0"/>
      <w:marTop w:val="0"/>
      <w:marBottom w:val="0"/>
      <w:divBdr>
        <w:top w:val="none" w:sz="0" w:space="0" w:color="auto"/>
        <w:left w:val="none" w:sz="0" w:space="0" w:color="auto"/>
        <w:bottom w:val="none" w:sz="0" w:space="0" w:color="auto"/>
        <w:right w:val="none" w:sz="0" w:space="0" w:color="auto"/>
      </w:divBdr>
    </w:div>
    <w:div w:id="1110011741">
      <w:bodyDiv w:val="1"/>
      <w:marLeft w:val="0"/>
      <w:marRight w:val="0"/>
      <w:marTop w:val="0"/>
      <w:marBottom w:val="0"/>
      <w:divBdr>
        <w:top w:val="none" w:sz="0" w:space="0" w:color="auto"/>
        <w:left w:val="none" w:sz="0" w:space="0" w:color="auto"/>
        <w:bottom w:val="none" w:sz="0" w:space="0" w:color="auto"/>
        <w:right w:val="none" w:sz="0" w:space="0" w:color="auto"/>
      </w:divBdr>
    </w:div>
    <w:div w:id="1114860446">
      <w:bodyDiv w:val="1"/>
      <w:marLeft w:val="0"/>
      <w:marRight w:val="0"/>
      <w:marTop w:val="0"/>
      <w:marBottom w:val="0"/>
      <w:divBdr>
        <w:top w:val="none" w:sz="0" w:space="0" w:color="auto"/>
        <w:left w:val="none" w:sz="0" w:space="0" w:color="auto"/>
        <w:bottom w:val="none" w:sz="0" w:space="0" w:color="auto"/>
        <w:right w:val="none" w:sz="0" w:space="0" w:color="auto"/>
      </w:divBdr>
    </w:div>
    <w:div w:id="1124424482">
      <w:bodyDiv w:val="1"/>
      <w:marLeft w:val="0"/>
      <w:marRight w:val="0"/>
      <w:marTop w:val="0"/>
      <w:marBottom w:val="0"/>
      <w:divBdr>
        <w:top w:val="none" w:sz="0" w:space="0" w:color="auto"/>
        <w:left w:val="none" w:sz="0" w:space="0" w:color="auto"/>
        <w:bottom w:val="none" w:sz="0" w:space="0" w:color="auto"/>
        <w:right w:val="none" w:sz="0" w:space="0" w:color="auto"/>
      </w:divBdr>
    </w:div>
    <w:div w:id="1125581544">
      <w:bodyDiv w:val="1"/>
      <w:marLeft w:val="0"/>
      <w:marRight w:val="0"/>
      <w:marTop w:val="0"/>
      <w:marBottom w:val="0"/>
      <w:divBdr>
        <w:top w:val="none" w:sz="0" w:space="0" w:color="auto"/>
        <w:left w:val="none" w:sz="0" w:space="0" w:color="auto"/>
        <w:bottom w:val="none" w:sz="0" w:space="0" w:color="auto"/>
        <w:right w:val="none" w:sz="0" w:space="0" w:color="auto"/>
      </w:divBdr>
    </w:div>
    <w:div w:id="1147357006">
      <w:bodyDiv w:val="1"/>
      <w:marLeft w:val="0"/>
      <w:marRight w:val="0"/>
      <w:marTop w:val="0"/>
      <w:marBottom w:val="0"/>
      <w:divBdr>
        <w:top w:val="none" w:sz="0" w:space="0" w:color="auto"/>
        <w:left w:val="none" w:sz="0" w:space="0" w:color="auto"/>
        <w:bottom w:val="none" w:sz="0" w:space="0" w:color="auto"/>
        <w:right w:val="none" w:sz="0" w:space="0" w:color="auto"/>
      </w:divBdr>
    </w:div>
    <w:div w:id="1150173253">
      <w:bodyDiv w:val="1"/>
      <w:marLeft w:val="0"/>
      <w:marRight w:val="0"/>
      <w:marTop w:val="0"/>
      <w:marBottom w:val="0"/>
      <w:divBdr>
        <w:top w:val="none" w:sz="0" w:space="0" w:color="auto"/>
        <w:left w:val="none" w:sz="0" w:space="0" w:color="auto"/>
        <w:bottom w:val="none" w:sz="0" w:space="0" w:color="auto"/>
        <w:right w:val="none" w:sz="0" w:space="0" w:color="auto"/>
      </w:divBdr>
    </w:div>
    <w:div w:id="1161117201">
      <w:bodyDiv w:val="1"/>
      <w:marLeft w:val="0"/>
      <w:marRight w:val="0"/>
      <w:marTop w:val="0"/>
      <w:marBottom w:val="0"/>
      <w:divBdr>
        <w:top w:val="none" w:sz="0" w:space="0" w:color="auto"/>
        <w:left w:val="none" w:sz="0" w:space="0" w:color="auto"/>
        <w:bottom w:val="none" w:sz="0" w:space="0" w:color="auto"/>
        <w:right w:val="none" w:sz="0" w:space="0" w:color="auto"/>
      </w:divBdr>
    </w:div>
    <w:div w:id="1166821185">
      <w:bodyDiv w:val="1"/>
      <w:marLeft w:val="0"/>
      <w:marRight w:val="0"/>
      <w:marTop w:val="0"/>
      <w:marBottom w:val="0"/>
      <w:divBdr>
        <w:top w:val="none" w:sz="0" w:space="0" w:color="auto"/>
        <w:left w:val="none" w:sz="0" w:space="0" w:color="auto"/>
        <w:bottom w:val="none" w:sz="0" w:space="0" w:color="auto"/>
        <w:right w:val="none" w:sz="0" w:space="0" w:color="auto"/>
      </w:divBdr>
    </w:div>
    <w:div w:id="1184054726">
      <w:bodyDiv w:val="1"/>
      <w:marLeft w:val="0"/>
      <w:marRight w:val="0"/>
      <w:marTop w:val="0"/>
      <w:marBottom w:val="0"/>
      <w:divBdr>
        <w:top w:val="none" w:sz="0" w:space="0" w:color="auto"/>
        <w:left w:val="none" w:sz="0" w:space="0" w:color="auto"/>
        <w:bottom w:val="none" w:sz="0" w:space="0" w:color="auto"/>
        <w:right w:val="none" w:sz="0" w:space="0" w:color="auto"/>
      </w:divBdr>
    </w:div>
    <w:div w:id="1184399195">
      <w:bodyDiv w:val="1"/>
      <w:marLeft w:val="0"/>
      <w:marRight w:val="0"/>
      <w:marTop w:val="0"/>
      <w:marBottom w:val="0"/>
      <w:divBdr>
        <w:top w:val="none" w:sz="0" w:space="0" w:color="auto"/>
        <w:left w:val="none" w:sz="0" w:space="0" w:color="auto"/>
        <w:bottom w:val="none" w:sz="0" w:space="0" w:color="auto"/>
        <w:right w:val="none" w:sz="0" w:space="0" w:color="auto"/>
      </w:divBdr>
    </w:div>
    <w:div w:id="1190681322">
      <w:bodyDiv w:val="1"/>
      <w:marLeft w:val="0"/>
      <w:marRight w:val="0"/>
      <w:marTop w:val="0"/>
      <w:marBottom w:val="0"/>
      <w:divBdr>
        <w:top w:val="none" w:sz="0" w:space="0" w:color="auto"/>
        <w:left w:val="none" w:sz="0" w:space="0" w:color="auto"/>
        <w:bottom w:val="none" w:sz="0" w:space="0" w:color="auto"/>
        <w:right w:val="none" w:sz="0" w:space="0" w:color="auto"/>
      </w:divBdr>
    </w:div>
    <w:div w:id="1191987169">
      <w:bodyDiv w:val="1"/>
      <w:marLeft w:val="0"/>
      <w:marRight w:val="0"/>
      <w:marTop w:val="0"/>
      <w:marBottom w:val="0"/>
      <w:divBdr>
        <w:top w:val="none" w:sz="0" w:space="0" w:color="auto"/>
        <w:left w:val="none" w:sz="0" w:space="0" w:color="auto"/>
        <w:bottom w:val="none" w:sz="0" w:space="0" w:color="auto"/>
        <w:right w:val="none" w:sz="0" w:space="0" w:color="auto"/>
      </w:divBdr>
    </w:div>
    <w:div w:id="1193767316">
      <w:bodyDiv w:val="1"/>
      <w:marLeft w:val="0"/>
      <w:marRight w:val="0"/>
      <w:marTop w:val="0"/>
      <w:marBottom w:val="0"/>
      <w:divBdr>
        <w:top w:val="none" w:sz="0" w:space="0" w:color="auto"/>
        <w:left w:val="none" w:sz="0" w:space="0" w:color="auto"/>
        <w:bottom w:val="none" w:sz="0" w:space="0" w:color="auto"/>
        <w:right w:val="none" w:sz="0" w:space="0" w:color="auto"/>
      </w:divBdr>
    </w:div>
    <w:div w:id="1201742399">
      <w:bodyDiv w:val="1"/>
      <w:marLeft w:val="0"/>
      <w:marRight w:val="0"/>
      <w:marTop w:val="0"/>
      <w:marBottom w:val="0"/>
      <w:divBdr>
        <w:top w:val="none" w:sz="0" w:space="0" w:color="auto"/>
        <w:left w:val="none" w:sz="0" w:space="0" w:color="auto"/>
        <w:bottom w:val="none" w:sz="0" w:space="0" w:color="auto"/>
        <w:right w:val="none" w:sz="0" w:space="0" w:color="auto"/>
      </w:divBdr>
    </w:div>
    <w:div w:id="1206524975">
      <w:bodyDiv w:val="1"/>
      <w:marLeft w:val="0"/>
      <w:marRight w:val="0"/>
      <w:marTop w:val="0"/>
      <w:marBottom w:val="0"/>
      <w:divBdr>
        <w:top w:val="none" w:sz="0" w:space="0" w:color="auto"/>
        <w:left w:val="none" w:sz="0" w:space="0" w:color="auto"/>
        <w:bottom w:val="none" w:sz="0" w:space="0" w:color="auto"/>
        <w:right w:val="none" w:sz="0" w:space="0" w:color="auto"/>
      </w:divBdr>
    </w:div>
    <w:div w:id="1207911499">
      <w:bodyDiv w:val="1"/>
      <w:marLeft w:val="0"/>
      <w:marRight w:val="0"/>
      <w:marTop w:val="0"/>
      <w:marBottom w:val="0"/>
      <w:divBdr>
        <w:top w:val="none" w:sz="0" w:space="0" w:color="auto"/>
        <w:left w:val="none" w:sz="0" w:space="0" w:color="auto"/>
        <w:bottom w:val="none" w:sz="0" w:space="0" w:color="auto"/>
        <w:right w:val="none" w:sz="0" w:space="0" w:color="auto"/>
      </w:divBdr>
    </w:div>
    <w:div w:id="1216547948">
      <w:bodyDiv w:val="1"/>
      <w:marLeft w:val="0"/>
      <w:marRight w:val="0"/>
      <w:marTop w:val="0"/>
      <w:marBottom w:val="0"/>
      <w:divBdr>
        <w:top w:val="none" w:sz="0" w:space="0" w:color="auto"/>
        <w:left w:val="none" w:sz="0" w:space="0" w:color="auto"/>
        <w:bottom w:val="none" w:sz="0" w:space="0" w:color="auto"/>
        <w:right w:val="none" w:sz="0" w:space="0" w:color="auto"/>
      </w:divBdr>
    </w:div>
    <w:div w:id="1224217478">
      <w:bodyDiv w:val="1"/>
      <w:marLeft w:val="0"/>
      <w:marRight w:val="0"/>
      <w:marTop w:val="0"/>
      <w:marBottom w:val="0"/>
      <w:divBdr>
        <w:top w:val="none" w:sz="0" w:space="0" w:color="auto"/>
        <w:left w:val="none" w:sz="0" w:space="0" w:color="auto"/>
        <w:bottom w:val="none" w:sz="0" w:space="0" w:color="auto"/>
        <w:right w:val="none" w:sz="0" w:space="0" w:color="auto"/>
      </w:divBdr>
    </w:div>
    <w:div w:id="1246451485">
      <w:bodyDiv w:val="1"/>
      <w:marLeft w:val="0"/>
      <w:marRight w:val="0"/>
      <w:marTop w:val="0"/>
      <w:marBottom w:val="0"/>
      <w:divBdr>
        <w:top w:val="none" w:sz="0" w:space="0" w:color="auto"/>
        <w:left w:val="none" w:sz="0" w:space="0" w:color="auto"/>
        <w:bottom w:val="none" w:sz="0" w:space="0" w:color="auto"/>
        <w:right w:val="none" w:sz="0" w:space="0" w:color="auto"/>
      </w:divBdr>
    </w:div>
    <w:div w:id="1251233090">
      <w:bodyDiv w:val="1"/>
      <w:marLeft w:val="0"/>
      <w:marRight w:val="0"/>
      <w:marTop w:val="0"/>
      <w:marBottom w:val="0"/>
      <w:divBdr>
        <w:top w:val="none" w:sz="0" w:space="0" w:color="auto"/>
        <w:left w:val="none" w:sz="0" w:space="0" w:color="auto"/>
        <w:bottom w:val="none" w:sz="0" w:space="0" w:color="auto"/>
        <w:right w:val="none" w:sz="0" w:space="0" w:color="auto"/>
      </w:divBdr>
    </w:div>
    <w:div w:id="1254583021">
      <w:bodyDiv w:val="1"/>
      <w:marLeft w:val="0"/>
      <w:marRight w:val="0"/>
      <w:marTop w:val="0"/>
      <w:marBottom w:val="0"/>
      <w:divBdr>
        <w:top w:val="none" w:sz="0" w:space="0" w:color="auto"/>
        <w:left w:val="none" w:sz="0" w:space="0" w:color="auto"/>
        <w:bottom w:val="none" w:sz="0" w:space="0" w:color="auto"/>
        <w:right w:val="none" w:sz="0" w:space="0" w:color="auto"/>
      </w:divBdr>
    </w:div>
    <w:div w:id="1258712536">
      <w:bodyDiv w:val="1"/>
      <w:marLeft w:val="0"/>
      <w:marRight w:val="0"/>
      <w:marTop w:val="0"/>
      <w:marBottom w:val="0"/>
      <w:divBdr>
        <w:top w:val="none" w:sz="0" w:space="0" w:color="auto"/>
        <w:left w:val="none" w:sz="0" w:space="0" w:color="auto"/>
        <w:bottom w:val="none" w:sz="0" w:space="0" w:color="auto"/>
        <w:right w:val="none" w:sz="0" w:space="0" w:color="auto"/>
      </w:divBdr>
    </w:div>
    <w:div w:id="1259673699">
      <w:bodyDiv w:val="1"/>
      <w:marLeft w:val="0"/>
      <w:marRight w:val="0"/>
      <w:marTop w:val="0"/>
      <w:marBottom w:val="0"/>
      <w:divBdr>
        <w:top w:val="none" w:sz="0" w:space="0" w:color="auto"/>
        <w:left w:val="none" w:sz="0" w:space="0" w:color="auto"/>
        <w:bottom w:val="none" w:sz="0" w:space="0" w:color="auto"/>
        <w:right w:val="none" w:sz="0" w:space="0" w:color="auto"/>
      </w:divBdr>
    </w:div>
    <w:div w:id="1261718707">
      <w:bodyDiv w:val="1"/>
      <w:marLeft w:val="0"/>
      <w:marRight w:val="0"/>
      <w:marTop w:val="0"/>
      <w:marBottom w:val="0"/>
      <w:divBdr>
        <w:top w:val="none" w:sz="0" w:space="0" w:color="auto"/>
        <w:left w:val="none" w:sz="0" w:space="0" w:color="auto"/>
        <w:bottom w:val="none" w:sz="0" w:space="0" w:color="auto"/>
        <w:right w:val="none" w:sz="0" w:space="0" w:color="auto"/>
      </w:divBdr>
    </w:div>
    <w:div w:id="1261797268">
      <w:bodyDiv w:val="1"/>
      <w:marLeft w:val="0"/>
      <w:marRight w:val="0"/>
      <w:marTop w:val="0"/>
      <w:marBottom w:val="0"/>
      <w:divBdr>
        <w:top w:val="none" w:sz="0" w:space="0" w:color="auto"/>
        <w:left w:val="none" w:sz="0" w:space="0" w:color="auto"/>
        <w:bottom w:val="none" w:sz="0" w:space="0" w:color="auto"/>
        <w:right w:val="none" w:sz="0" w:space="0" w:color="auto"/>
      </w:divBdr>
    </w:div>
    <w:div w:id="1262179389">
      <w:bodyDiv w:val="1"/>
      <w:marLeft w:val="0"/>
      <w:marRight w:val="0"/>
      <w:marTop w:val="0"/>
      <w:marBottom w:val="0"/>
      <w:divBdr>
        <w:top w:val="none" w:sz="0" w:space="0" w:color="auto"/>
        <w:left w:val="none" w:sz="0" w:space="0" w:color="auto"/>
        <w:bottom w:val="none" w:sz="0" w:space="0" w:color="auto"/>
        <w:right w:val="none" w:sz="0" w:space="0" w:color="auto"/>
      </w:divBdr>
    </w:div>
    <w:div w:id="1262369586">
      <w:bodyDiv w:val="1"/>
      <w:marLeft w:val="0"/>
      <w:marRight w:val="0"/>
      <w:marTop w:val="0"/>
      <w:marBottom w:val="0"/>
      <w:divBdr>
        <w:top w:val="none" w:sz="0" w:space="0" w:color="auto"/>
        <w:left w:val="none" w:sz="0" w:space="0" w:color="auto"/>
        <w:bottom w:val="none" w:sz="0" w:space="0" w:color="auto"/>
        <w:right w:val="none" w:sz="0" w:space="0" w:color="auto"/>
      </w:divBdr>
    </w:div>
    <w:div w:id="1293242571">
      <w:bodyDiv w:val="1"/>
      <w:marLeft w:val="0"/>
      <w:marRight w:val="0"/>
      <w:marTop w:val="0"/>
      <w:marBottom w:val="0"/>
      <w:divBdr>
        <w:top w:val="none" w:sz="0" w:space="0" w:color="auto"/>
        <w:left w:val="none" w:sz="0" w:space="0" w:color="auto"/>
        <w:bottom w:val="none" w:sz="0" w:space="0" w:color="auto"/>
        <w:right w:val="none" w:sz="0" w:space="0" w:color="auto"/>
      </w:divBdr>
    </w:div>
    <w:div w:id="1324428939">
      <w:bodyDiv w:val="1"/>
      <w:marLeft w:val="0"/>
      <w:marRight w:val="0"/>
      <w:marTop w:val="0"/>
      <w:marBottom w:val="0"/>
      <w:divBdr>
        <w:top w:val="none" w:sz="0" w:space="0" w:color="auto"/>
        <w:left w:val="none" w:sz="0" w:space="0" w:color="auto"/>
        <w:bottom w:val="none" w:sz="0" w:space="0" w:color="auto"/>
        <w:right w:val="none" w:sz="0" w:space="0" w:color="auto"/>
      </w:divBdr>
    </w:div>
    <w:div w:id="1324505908">
      <w:bodyDiv w:val="1"/>
      <w:marLeft w:val="0"/>
      <w:marRight w:val="0"/>
      <w:marTop w:val="0"/>
      <w:marBottom w:val="0"/>
      <w:divBdr>
        <w:top w:val="none" w:sz="0" w:space="0" w:color="auto"/>
        <w:left w:val="none" w:sz="0" w:space="0" w:color="auto"/>
        <w:bottom w:val="none" w:sz="0" w:space="0" w:color="auto"/>
        <w:right w:val="none" w:sz="0" w:space="0" w:color="auto"/>
      </w:divBdr>
    </w:div>
    <w:div w:id="1324552835">
      <w:bodyDiv w:val="1"/>
      <w:marLeft w:val="0"/>
      <w:marRight w:val="0"/>
      <w:marTop w:val="0"/>
      <w:marBottom w:val="0"/>
      <w:divBdr>
        <w:top w:val="none" w:sz="0" w:space="0" w:color="auto"/>
        <w:left w:val="none" w:sz="0" w:space="0" w:color="auto"/>
        <w:bottom w:val="none" w:sz="0" w:space="0" w:color="auto"/>
        <w:right w:val="none" w:sz="0" w:space="0" w:color="auto"/>
      </w:divBdr>
    </w:div>
    <w:div w:id="1326973307">
      <w:bodyDiv w:val="1"/>
      <w:marLeft w:val="0"/>
      <w:marRight w:val="0"/>
      <w:marTop w:val="0"/>
      <w:marBottom w:val="0"/>
      <w:divBdr>
        <w:top w:val="none" w:sz="0" w:space="0" w:color="auto"/>
        <w:left w:val="none" w:sz="0" w:space="0" w:color="auto"/>
        <w:bottom w:val="none" w:sz="0" w:space="0" w:color="auto"/>
        <w:right w:val="none" w:sz="0" w:space="0" w:color="auto"/>
      </w:divBdr>
    </w:div>
    <w:div w:id="1335958321">
      <w:bodyDiv w:val="1"/>
      <w:marLeft w:val="0"/>
      <w:marRight w:val="0"/>
      <w:marTop w:val="0"/>
      <w:marBottom w:val="0"/>
      <w:divBdr>
        <w:top w:val="none" w:sz="0" w:space="0" w:color="auto"/>
        <w:left w:val="none" w:sz="0" w:space="0" w:color="auto"/>
        <w:bottom w:val="none" w:sz="0" w:space="0" w:color="auto"/>
        <w:right w:val="none" w:sz="0" w:space="0" w:color="auto"/>
      </w:divBdr>
    </w:div>
    <w:div w:id="1342076881">
      <w:bodyDiv w:val="1"/>
      <w:marLeft w:val="0"/>
      <w:marRight w:val="0"/>
      <w:marTop w:val="0"/>
      <w:marBottom w:val="0"/>
      <w:divBdr>
        <w:top w:val="none" w:sz="0" w:space="0" w:color="auto"/>
        <w:left w:val="none" w:sz="0" w:space="0" w:color="auto"/>
        <w:bottom w:val="none" w:sz="0" w:space="0" w:color="auto"/>
        <w:right w:val="none" w:sz="0" w:space="0" w:color="auto"/>
      </w:divBdr>
    </w:div>
    <w:div w:id="1364212213">
      <w:bodyDiv w:val="1"/>
      <w:marLeft w:val="0"/>
      <w:marRight w:val="0"/>
      <w:marTop w:val="0"/>
      <w:marBottom w:val="0"/>
      <w:divBdr>
        <w:top w:val="none" w:sz="0" w:space="0" w:color="auto"/>
        <w:left w:val="none" w:sz="0" w:space="0" w:color="auto"/>
        <w:bottom w:val="none" w:sz="0" w:space="0" w:color="auto"/>
        <w:right w:val="none" w:sz="0" w:space="0" w:color="auto"/>
      </w:divBdr>
    </w:div>
    <w:div w:id="1369602293">
      <w:bodyDiv w:val="1"/>
      <w:marLeft w:val="0"/>
      <w:marRight w:val="0"/>
      <w:marTop w:val="0"/>
      <w:marBottom w:val="0"/>
      <w:divBdr>
        <w:top w:val="none" w:sz="0" w:space="0" w:color="auto"/>
        <w:left w:val="none" w:sz="0" w:space="0" w:color="auto"/>
        <w:bottom w:val="none" w:sz="0" w:space="0" w:color="auto"/>
        <w:right w:val="none" w:sz="0" w:space="0" w:color="auto"/>
      </w:divBdr>
    </w:div>
    <w:div w:id="1378242039">
      <w:bodyDiv w:val="1"/>
      <w:marLeft w:val="0"/>
      <w:marRight w:val="0"/>
      <w:marTop w:val="0"/>
      <w:marBottom w:val="0"/>
      <w:divBdr>
        <w:top w:val="none" w:sz="0" w:space="0" w:color="auto"/>
        <w:left w:val="none" w:sz="0" w:space="0" w:color="auto"/>
        <w:bottom w:val="none" w:sz="0" w:space="0" w:color="auto"/>
        <w:right w:val="none" w:sz="0" w:space="0" w:color="auto"/>
      </w:divBdr>
    </w:div>
    <w:div w:id="1381973484">
      <w:bodyDiv w:val="1"/>
      <w:marLeft w:val="0"/>
      <w:marRight w:val="0"/>
      <w:marTop w:val="0"/>
      <w:marBottom w:val="0"/>
      <w:divBdr>
        <w:top w:val="none" w:sz="0" w:space="0" w:color="auto"/>
        <w:left w:val="none" w:sz="0" w:space="0" w:color="auto"/>
        <w:bottom w:val="none" w:sz="0" w:space="0" w:color="auto"/>
        <w:right w:val="none" w:sz="0" w:space="0" w:color="auto"/>
      </w:divBdr>
    </w:div>
    <w:div w:id="1394423278">
      <w:bodyDiv w:val="1"/>
      <w:marLeft w:val="0"/>
      <w:marRight w:val="0"/>
      <w:marTop w:val="0"/>
      <w:marBottom w:val="0"/>
      <w:divBdr>
        <w:top w:val="none" w:sz="0" w:space="0" w:color="auto"/>
        <w:left w:val="none" w:sz="0" w:space="0" w:color="auto"/>
        <w:bottom w:val="none" w:sz="0" w:space="0" w:color="auto"/>
        <w:right w:val="none" w:sz="0" w:space="0" w:color="auto"/>
      </w:divBdr>
    </w:div>
    <w:div w:id="1397239621">
      <w:bodyDiv w:val="1"/>
      <w:marLeft w:val="0"/>
      <w:marRight w:val="0"/>
      <w:marTop w:val="0"/>
      <w:marBottom w:val="0"/>
      <w:divBdr>
        <w:top w:val="none" w:sz="0" w:space="0" w:color="auto"/>
        <w:left w:val="none" w:sz="0" w:space="0" w:color="auto"/>
        <w:bottom w:val="none" w:sz="0" w:space="0" w:color="auto"/>
        <w:right w:val="none" w:sz="0" w:space="0" w:color="auto"/>
      </w:divBdr>
    </w:div>
    <w:div w:id="1401175884">
      <w:bodyDiv w:val="1"/>
      <w:marLeft w:val="0"/>
      <w:marRight w:val="0"/>
      <w:marTop w:val="0"/>
      <w:marBottom w:val="0"/>
      <w:divBdr>
        <w:top w:val="none" w:sz="0" w:space="0" w:color="auto"/>
        <w:left w:val="none" w:sz="0" w:space="0" w:color="auto"/>
        <w:bottom w:val="none" w:sz="0" w:space="0" w:color="auto"/>
        <w:right w:val="none" w:sz="0" w:space="0" w:color="auto"/>
      </w:divBdr>
    </w:div>
    <w:div w:id="1406952424">
      <w:bodyDiv w:val="1"/>
      <w:marLeft w:val="0"/>
      <w:marRight w:val="0"/>
      <w:marTop w:val="0"/>
      <w:marBottom w:val="0"/>
      <w:divBdr>
        <w:top w:val="none" w:sz="0" w:space="0" w:color="auto"/>
        <w:left w:val="none" w:sz="0" w:space="0" w:color="auto"/>
        <w:bottom w:val="none" w:sz="0" w:space="0" w:color="auto"/>
        <w:right w:val="none" w:sz="0" w:space="0" w:color="auto"/>
      </w:divBdr>
    </w:div>
    <w:div w:id="1415391828">
      <w:bodyDiv w:val="1"/>
      <w:marLeft w:val="0"/>
      <w:marRight w:val="0"/>
      <w:marTop w:val="0"/>
      <w:marBottom w:val="0"/>
      <w:divBdr>
        <w:top w:val="none" w:sz="0" w:space="0" w:color="auto"/>
        <w:left w:val="none" w:sz="0" w:space="0" w:color="auto"/>
        <w:bottom w:val="none" w:sz="0" w:space="0" w:color="auto"/>
        <w:right w:val="none" w:sz="0" w:space="0" w:color="auto"/>
      </w:divBdr>
    </w:div>
    <w:div w:id="1420297540">
      <w:bodyDiv w:val="1"/>
      <w:marLeft w:val="0"/>
      <w:marRight w:val="0"/>
      <w:marTop w:val="0"/>
      <w:marBottom w:val="0"/>
      <w:divBdr>
        <w:top w:val="none" w:sz="0" w:space="0" w:color="auto"/>
        <w:left w:val="none" w:sz="0" w:space="0" w:color="auto"/>
        <w:bottom w:val="none" w:sz="0" w:space="0" w:color="auto"/>
        <w:right w:val="none" w:sz="0" w:space="0" w:color="auto"/>
      </w:divBdr>
    </w:div>
    <w:div w:id="1420905458">
      <w:bodyDiv w:val="1"/>
      <w:marLeft w:val="0"/>
      <w:marRight w:val="0"/>
      <w:marTop w:val="0"/>
      <w:marBottom w:val="0"/>
      <w:divBdr>
        <w:top w:val="none" w:sz="0" w:space="0" w:color="auto"/>
        <w:left w:val="none" w:sz="0" w:space="0" w:color="auto"/>
        <w:bottom w:val="none" w:sz="0" w:space="0" w:color="auto"/>
        <w:right w:val="none" w:sz="0" w:space="0" w:color="auto"/>
      </w:divBdr>
    </w:div>
    <w:div w:id="1422793593">
      <w:bodyDiv w:val="1"/>
      <w:marLeft w:val="0"/>
      <w:marRight w:val="0"/>
      <w:marTop w:val="0"/>
      <w:marBottom w:val="0"/>
      <w:divBdr>
        <w:top w:val="none" w:sz="0" w:space="0" w:color="auto"/>
        <w:left w:val="none" w:sz="0" w:space="0" w:color="auto"/>
        <w:bottom w:val="none" w:sz="0" w:space="0" w:color="auto"/>
        <w:right w:val="none" w:sz="0" w:space="0" w:color="auto"/>
      </w:divBdr>
    </w:div>
    <w:div w:id="1445465016">
      <w:bodyDiv w:val="1"/>
      <w:marLeft w:val="0"/>
      <w:marRight w:val="0"/>
      <w:marTop w:val="0"/>
      <w:marBottom w:val="0"/>
      <w:divBdr>
        <w:top w:val="none" w:sz="0" w:space="0" w:color="auto"/>
        <w:left w:val="none" w:sz="0" w:space="0" w:color="auto"/>
        <w:bottom w:val="none" w:sz="0" w:space="0" w:color="auto"/>
        <w:right w:val="none" w:sz="0" w:space="0" w:color="auto"/>
      </w:divBdr>
    </w:div>
    <w:div w:id="1446462856">
      <w:bodyDiv w:val="1"/>
      <w:marLeft w:val="0"/>
      <w:marRight w:val="0"/>
      <w:marTop w:val="0"/>
      <w:marBottom w:val="0"/>
      <w:divBdr>
        <w:top w:val="none" w:sz="0" w:space="0" w:color="auto"/>
        <w:left w:val="none" w:sz="0" w:space="0" w:color="auto"/>
        <w:bottom w:val="none" w:sz="0" w:space="0" w:color="auto"/>
        <w:right w:val="none" w:sz="0" w:space="0" w:color="auto"/>
      </w:divBdr>
    </w:div>
    <w:div w:id="1447430085">
      <w:bodyDiv w:val="1"/>
      <w:marLeft w:val="0"/>
      <w:marRight w:val="0"/>
      <w:marTop w:val="0"/>
      <w:marBottom w:val="0"/>
      <w:divBdr>
        <w:top w:val="none" w:sz="0" w:space="0" w:color="auto"/>
        <w:left w:val="none" w:sz="0" w:space="0" w:color="auto"/>
        <w:bottom w:val="none" w:sz="0" w:space="0" w:color="auto"/>
        <w:right w:val="none" w:sz="0" w:space="0" w:color="auto"/>
      </w:divBdr>
    </w:div>
    <w:div w:id="1467352679">
      <w:bodyDiv w:val="1"/>
      <w:marLeft w:val="0"/>
      <w:marRight w:val="0"/>
      <w:marTop w:val="0"/>
      <w:marBottom w:val="0"/>
      <w:divBdr>
        <w:top w:val="none" w:sz="0" w:space="0" w:color="auto"/>
        <w:left w:val="none" w:sz="0" w:space="0" w:color="auto"/>
        <w:bottom w:val="none" w:sz="0" w:space="0" w:color="auto"/>
        <w:right w:val="none" w:sz="0" w:space="0" w:color="auto"/>
      </w:divBdr>
    </w:div>
    <w:div w:id="1469396061">
      <w:bodyDiv w:val="1"/>
      <w:marLeft w:val="0"/>
      <w:marRight w:val="0"/>
      <w:marTop w:val="0"/>
      <w:marBottom w:val="0"/>
      <w:divBdr>
        <w:top w:val="none" w:sz="0" w:space="0" w:color="auto"/>
        <w:left w:val="none" w:sz="0" w:space="0" w:color="auto"/>
        <w:bottom w:val="none" w:sz="0" w:space="0" w:color="auto"/>
        <w:right w:val="none" w:sz="0" w:space="0" w:color="auto"/>
      </w:divBdr>
    </w:div>
    <w:div w:id="1505782738">
      <w:bodyDiv w:val="1"/>
      <w:marLeft w:val="0"/>
      <w:marRight w:val="0"/>
      <w:marTop w:val="0"/>
      <w:marBottom w:val="0"/>
      <w:divBdr>
        <w:top w:val="none" w:sz="0" w:space="0" w:color="auto"/>
        <w:left w:val="none" w:sz="0" w:space="0" w:color="auto"/>
        <w:bottom w:val="none" w:sz="0" w:space="0" w:color="auto"/>
        <w:right w:val="none" w:sz="0" w:space="0" w:color="auto"/>
      </w:divBdr>
    </w:div>
    <w:div w:id="1518039268">
      <w:bodyDiv w:val="1"/>
      <w:marLeft w:val="0"/>
      <w:marRight w:val="0"/>
      <w:marTop w:val="0"/>
      <w:marBottom w:val="0"/>
      <w:divBdr>
        <w:top w:val="none" w:sz="0" w:space="0" w:color="auto"/>
        <w:left w:val="none" w:sz="0" w:space="0" w:color="auto"/>
        <w:bottom w:val="none" w:sz="0" w:space="0" w:color="auto"/>
        <w:right w:val="none" w:sz="0" w:space="0" w:color="auto"/>
      </w:divBdr>
    </w:div>
    <w:div w:id="1529443938">
      <w:bodyDiv w:val="1"/>
      <w:marLeft w:val="0"/>
      <w:marRight w:val="0"/>
      <w:marTop w:val="0"/>
      <w:marBottom w:val="0"/>
      <w:divBdr>
        <w:top w:val="none" w:sz="0" w:space="0" w:color="auto"/>
        <w:left w:val="none" w:sz="0" w:space="0" w:color="auto"/>
        <w:bottom w:val="none" w:sz="0" w:space="0" w:color="auto"/>
        <w:right w:val="none" w:sz="0" w:space="0" w:color="auto"/>
      </w:divBdr>
    </w:div>
    <w:div w:id="1534925700">
      <w:bodyDiv w:val="1"/>
      <w:marLeft w:val="0"/>
      <w:marRight w:val="0"/>
      <w:marTop w:val="0"/>
      <w:marBottom w:val="0"/>
      <w:divBdr>
        <w:top w:val="none" w:sz="0" w:space="0" w:color="auto"/>
        <w:left w:val="none" w:sz="0" w:space="0" w:color="auto"/>
        <w:bottom w:val="none" w:sz="0" w:space="0" w:color="auto"/>
        <w:right w:val="none" w:sz="0" w:space="0" w:color="auto"/>
      </w:divBdr>
    </w:div>
    <w:div w:id="1554344707">
      <w:bodyDiv w:val="1"/>
      <w:marLeft w:val="0"/>
      <w:marRight w:val="0"/>
      <w:marTop w:val="0"/>
      <w:marBottom w:val="0"/>
      <w:divBdr>
        <w:top w:val="none" w:sz="0" w:space="0" w:color="auto"/>
        <w:left w:val="none" w:sz="0" w:space="0" w:color="auto"/>
        <w:bottom w:val="none" w:sz="0" w:space="0" w:color="auto"/>
        <w:right w:val="none" w:sz="0" w:space="0" w:color="auto"/>
      </w:divBdr>
    </w:div>
    <w:div w:id="1556771399">
      <w:bodyDiv w:val="1"/>
      <w:marLeft w:val="0"/>
      <w:marRight w:val="0"/>
      <w:marTop w:val="0"/>
      <w:marBottom w:val="0"/>
      <w:divBdr>
        <w:top w:val="none" w:sz="0" w:space="0" w:color="auto"/>
        <w:left w:val="none" w:sz="0" w:space="0" w:color="auto"/>
        <w:bottom w:val="none" w:sz="0" w:space="0" w:color="auto"/>
        <w:right w:val="none" w:sz="0" w:space="0" w:color="auto"/>
      </w:divBdr>
    </w:div>
    <w:div w:id="1561358957">
      <w:bodyDiv w:val="1"/>
      <w:marLeft w:val="0"/>
      <w:marRight w:val="0"/>
      <w:marTop w:val="0"/>
      <w:marBottom w:val="0"/>
      <w:divBdr>
        <w:top w:val="none" w:sz="0" w:space="0" w:color="auto"/>
        <w:left w:val="none" w:sz="0" w:space="0" w:color="auto"/>
        <w:bottom w:val="none" w:sz="0" w:space="0" w:color="auto"/>
        <w:right w:val="none" w:sz="0" w:space="0" w:color="auto"/>
      </w:divBdr>
    </w:div>
    <w:div w:id="1569807979">
      <w:bodyDiv w:val="1"/>
      <w:marLeft w:val="0"/>
      <w:marRight w:val="0"/>
      <w:marTop w:val="0"/>
      <w:marBottom w:val="0"/>
      <w:divBdr>
        <w:top w:val="none" w:sz="0" w:space="0" w:color="auto"/>
        <w:left w:val="none" w:sz="0" w:space="0" w:color="auto"/>
        <w:bottom w:val="none" w:sz="0" w:space="0" w:color="auto"/>
        <w:right w:val="none" w:sz="0" w:space="0" w:color="auto"/>
      </w:divBdr>
    </w:div>
    <w:div w:id="1574587300">
      <w:bodyDiv w:val="1"/>
      <w:marLeft w:val="0"/>
      <w:marRight w:val="0"/>
      <w:marTop w:val="0"/>
      <w:marBottom w:val="0"/>
      <w:divBdr>
        <w:top w:val="none" w:sz="0" w:space="0" w:color="auto"/>
        <w:left w:val="none" w:sz="0" w:space="0" w:color="auto"/>
        <w:bottom w:val="none" w:sz="0" w:space="0" w:color="auto"/>
        <w:right w:val="none" w:sz="0" w:space="0" w:color="auto"/>
      </w:divBdr>
    </w:div>
    <w:div w:id="1583296711">
      <w:bodyDiv w:val="1"/>
      <w:marLeft w:val="0"/>
      <w:marRight w:val="0"/>
      <w:marTop w:val="0"/>
      <w:marBottom w:val="0"/>
      <w:divBdr>
        <w:top w:val="none" w:sz="0" w:space="0" w:color="auto"/>
        <w:left w:val="none" w:sz="0" w:space="0" w:color="auto"/>
        <w:bottom w:val="none" w:sz="0" w:space="0" w:color="auto"/>
        <w:right w:val="none" w:sz="0" w:space="0" w:color="auto"/>
      </w:divBdr>
    </w:div>
    <w:div w:id="1587223456">
      <w:bodyDiv w:val="1"/>
      <w:marLeft w:val="0"/>
      <w:marRight w:val="0"/>
      <w:marTop w:val="0"/>
      <w:marBottom w:val="0"/>
      <w:divBdr>
        <w:top w:val="none" w:sz="0" w:space="0" w:color="auto"/>
        <w:left w:val="none" w:sz="0" w:space="0" w:color="auto"/>
        <w:bottom w:val="none" w:sz="0" w:space="0" w:color="auto"/>
        <w:right w:val="none" w:sz="0" w:space="0" w:color="auto"/>
      </w:divBdr>
    </w:div>
    <w:div w:id="1628242110">
      <w:bodyDiv w:val="1"/>
      <w:marLeft w:val="0"/>
      <w:marRight w:val="0"/>
      <w:marTop w:val="0"/>
      <w:marBottom w:val="0"/>
      <w:divBdr>
        <w:top w:val="none" w:sz="0" w:space="0" w:color="auto"/>
        <w:left w:val="none" w:sz="0" w:space="0" w:color="auto"/>
        <w:bottom w:val="none" w:sz="0" w:space="0" w:color="auto"/>
        <w:right w:val="none" w:sz="0" w:space="0" w:color="auto"/>
      </w:divBdr>
    </w:div>
    <w:div w:id="1641298905">
      <w:bodyDiv w:val="1"/>
      <w:marLeft w:val="0"/>
      <w:marRight w:val="0"/>
      <w:marTop w:val="0"/>
      <w:marBottom w:val="0"/>
      <w:divBdr>
        <w:top w:val="none" w:sz="0" w:space="0" w:color="auto"/>
        <w:left w:val="none" w:sz="0" w:space="0" w:color="auto"/>
        <w:bottom w:val="none" w:sz="0" w:space="0" w:color="auto"/>
        <w:right w:val="none" w:sz="0" w:space="0" w:color="auto"/>
      </w:divBdr>
    </w:div>
    <w:div w:id="1648244696">
      <w:bodyDiv w:val="1"/>
      <w:marLeft w:val="0"/>
      <w:marRight w:val="0"/>
      <w:marTop w:val="0"/>
      <w:marBottom w:val="0"/>
      <w:divBdr>
        <w:top w:val="none" w:sz="0" w:space="0" w:color="auto"/>
        <w:left w:val="none" w:sz="0" w:space="0" w:color="auto"/>
        <w:bottom w:val="none" w:sz="0" w:space="0" w:color="auto"/>
        <w:right w:val="none" w:sz="0" w:space="0" w:color="auto"/>
      </w:divBdr>
    </w:div>
    <w:div w:id="1671906517">
      <w:bodyDiv w:val="1"/>
      <w:marLeft w:val="0"/>
      <w:marRight w:val="0"/>
      <w:marTop w:val="0"/>
      <w:marBottom w:val="0"/>
      <w:divBdr>
        <w:top w:val="none" w:sz="0" w:space="0" w:color="auto"/>
        <w:left w:val="none" w:sz="0" w:space="0" w:color="auto"/>
        <w:bottom w:val="none" w:sz="0" w:space="0" w:color="auto"/>
        <w:right w:val="none" w:sz="0" w:space="0" w:color="auto"/>
      </w:divBdr>
    </w:div>
    <w:div w:id="1673482855">
      <w:bodyDiv w:val="1"/>
      <w:marLeft w:val="0"/>
      <w:marRight w:val="0"/>
      <w:marTop w:val="0"/>
      <w:marBottom w:val="0"/>
      <w:divBdr>
        <w:top w:val="none" w:sz="0" w:space="0" w:color="auto"/>
        <w:left w:val="none" w:sz="0" w:space="0" w:color="auto"/>
        <w:bottom w:val="none" w:sz="0" w:space="0" w:color="auto"/>
        <w:right w:val="none" w:sz="0" w:space="0" w:color="auto"/>
      </w:divBdr>
    </w:div>
    <w:div w:id="1675111564">
      <w:bodyDiv w:val="1"/>
      <w:marLeft w:val="0"/>
      <w:marRight w:val="0"/>
      <w:marTop w:val="0"/>
      <w:marBottom w:val="0"/>
      <w:divBdr>
        <w:top w:val="none" w:sz="0" w:space="0" w:color="auto"/>
        <w:left w:val="none" w:sz="0" w:space="0" w:color="auto"/>
        <w:bottom w:val="none" w:sz="0" w:space="0" w:color="auto"/>
        <w:right w:val="none" w:sz="0" w:space="0" w:color="auto"/>
      </w:divBdr>
    </w:div>
    <w:div w:id="1678922890">
      <w:bodyDiv w:val="1"/>
      <w:marLeft w:val="0"/>
      <w:marRight w:val="0"/>
      <w:marTop w:val="0"/>
      <w:marBottom w:val="0"/>
      <w:divBdr>
        <w:top w:val="none" w:sz="0" w:space="0" w:color="auto"/>
        <w:left w:val="none" w:sz="0" w:space="0" w:color="auto"/>
        <w:bottom w:val="none" w:sz="0" w:space="0" w:color="auto"/>
        <w:right w:val="none" w:sz="0" w:space="0" w:color="auto"/>
      </w:divBdr>
    </w:div>
    <w:div w:id="1691952504">
      <w:bodyDiv w:val="1"/>
      <w:marLeft w:val="0"/>
      <w:marRight w:val="0"/>
      <w:marTop w:val="0"/>
      <w:marBottom w:val="0"/>
      <w:divBdr>
        <w:top w:val="none" w:sz="0" w:space="0" w:color="auto"/>
        <w:left w:val="none" w:sz="0" w:space="0" w:color="auto"/>
        <w:bottom w:val="none" w:sz="0" w:space="0" w:color="auto"/>
        <w:right w:val="none" w:sz="0" w:space="0" w:color="auto"/>
      </w:divBdr>
    </w:div>
    <w:div w:id="1694844148">
      <w:bodyDiv w:val="1"/>
      <w:marLeft w:val="0"/>
      <w:marRight w:val="0"/>
      <w:marTop w:val="0"/>
      <w:marBottom w:val="0"/>
      <w:divBdr>
        <w:top w:val="none" w:sz="0" w:space="0" w:color="auto"/>
        <w:left w:val="none" w:sz="0" w:space="0" w:color="auto"/>
        <w:bottom w:val="none" w:sz="0" w:space="0" w:color="auto"/>
        <w:right w:val="none" w:sz="0" w:space="0" w:color="auto"/>
      </w:divBdr>
    </w:div>
    <w:div w:id="1702784507">
      <w:bodyDiv w:val="1"/>
      <w:marLeft w:val="0"/>
      <w:marRight w:val="0"/>
      <w:marTop w:val="0"/>
      <w:marBottom w:val="0"/>
      <w:divBdr>
        <w:top w:val="none" w:sz="0" w:space="0" w:color="auto"/>
        <w:left w:val="none" w:sz="0" w:space="0" w:color="auto"/>
        <w:bottom w:val="none" w:sz="0" w:space="0" w:color="auto"/>
        <w:right w:val="none" w:sz="0" w:space="0" w:color="auto"/>
      </w:divBdr>
    </w:div>
    <w:div w:id="1733696314">
      <w:bodyDiv w:val="1"/>
      <w:marLeft w:val="0"/>
      <w:marRight w:val="0"/>
      <w:marTop w:val="0"/>
      <w:marBottom w:val="0"/>
      <w:divBdr>
        <w:top w:val="none" w:sz="0" w:space="0" w:color="auto"/>
        <w:left w:val="none" w:sz="0" w:space="0" w:color="auto"/>
        <w:bottom w:val="none" w:sz="0" w:space="0" w:color="auto"/>
        <w:right w:val="none" w:sz="0" w:space="0" w:color="auto"/>
      </w:divBdr>
    </w:div>
    <w:div w:id="1741757485">
      <w:bodyDiv w:val="1"/>
      <w:marLeft w:val="0"/>
      <w:marRight w:val="0"/>
      <w:marTop w:val="0"/>
      <w:marBottom w:val="0"/>
      <w:divBdr>
        <w:top w:val="none" w:sz="0" w:space="0" w:color="auto"/>
        <w:left w:val="none" w:sz="0" w:space="0" w:color="auto"/>
        <w:bottom w:val="none" w:sz="0" w:space="0" w:color="auto"/>
        <w:right w:val="none" w:sz="0" w:space="0" w:color="auto"/>
      </w:divBdr>
    </w:div>
    <w:div w:id="1745175532">
      <w:bodyDiv w:val="1"/>
      <w:marLeft w:val="0"/>
      <w:marRight w:val="0"/>
      <w:marTop w:val="0"/>
      <w:marBottom w:val="0"/>
      <w:divBdr>
        <w:top w:val="none" w:sz="0" w:space="0" w:color="auto"/>
        <w:left w:val="none" w:sz="0" w:space="0" w:color="auto"/>
        <w:bottom w:val="none" w:sz="0" w:space="0" w:color="auto"/>
        <w:right w:val="none" w:sz="0" w:space="0" w:color="auto"/>
      </w:divBdr>
    </w:div>
    <w:div w:id="1746221630">
      <w:bodyDiv w:val="1"/>
      <w:marLeft w:val="0"/>
      <w:marRight w:val="0"/>
      <w:marTop w:val="0"/>
      <w:marBottom w:val="0"/>
      <w:divBdr>
        <w:top w:val="none" w:sz="0" w:space="0" w:color="auto"/>
        <w:left w:val="none" w:sz="0" w:space="0" w:color="auto"/>
        <w:bottom w:val="none" w:sz="0" w:space="0" w:color="auto"/>
        <w:right w:val="none" w:sz="0" w:space="0" w:color="auto"/>
      </w:divBdr>
    </w:div>
    <w:div w:id="1760641892">
      <w:bodyDiv w:val="1"/>
      <w:marLeft w:val="0"/>
      <w:marRight w:val="0"/>
      <w:marTop w:val="0"/>
      <w:marBottom w:val="0"/>
      <w:divBdr>
        <w:top w:val="none" w:sz="0" w:space="0" w:color="auto"/>
        <w:left w:val="none" w:sz="0" w:space="0" w:color="auto"/>
        <w:bottom w:val="none" w:sz="0" w:space="0" w:color="auto"/>
        <w:right w:val="none" w:sz="0" w:space="0" w:color="auto"/>
      </w:divBdr>
    </w:div>
    <w:div w:id="1770615742">
      <w:bodyDiv w:val="1"/>
      <w:marLeft w:val="0"/>
      <w:marRight w:val="0"/>
      <w:marTop w:val="0"/>
      <w:marBottom w:val="0"/>
      <w:divBdr>
        <w:top w:val="none" w:sz="0" w:space="0" w:color="auto"/>
        <w:left w:val="none" w:sz="0" w:space="0" w:color="auto"/>
        <w:bottom w:val="none" w:sz="0" w:space="0" w:color="auto"/>
        <w:right w:val="none" w:sz="0" w:space="0" w:color="auto"/>
      </w:divBdr>
    </w:div>
    <w:div w:id="1772509129">
      <w:bodyDiv w:val="1"/>
      <w:marLeft w:val="0"/>
      <w:marRight w:val="0"/>
      <w:marTop w:val="0"/>
      <w:marBottom w:val="0"/>
      <w:divBdr>
        <w:top w:val="none" w:sz="0" w:space="0" w:color="auto"/>
        <w:left w:val="none" w:sz="0" w:space="0" w:color="auto"/>
        <w:bottom w:val="none" w:sz="0" w:space="0" w:color="auto"/>
        <w:right w:val="none" w:sz="0" w:space="0" w:color="auto"/>
      </w:divBdr>
    </w:div>
    <w:div w:id="1797988032">
      <w:bodyDiv w:val="1"/>
      <w:marLeft w:val="0"/>
      <w:marRight w:val="0"/>
      <w:marTop w:val="0"/>
      <w:marBottom w:val="0"/>
      <w:divBdr>
        <w:top w:val="none" w:sz="0" w:space="0" w:color="auto"/>
        <w:left w:val="none" w:sz="0" w:space="0" w:color="auto"/>
        <w:bottom w:val="none" w:sz="0" w:space="0" w:color="auto"/>
        <w:right w:val="none" w:sz="0" w:space="0" w:color="auto"/>
      </w:divBdr>
    </w:div>
    <w:div w:id="1841843980">
      <w:bodyDiv w:val="1"/>
      <w:marLeft w:val="0"/>
      <w:marRight w:val="0"/>
      <w:marTop w:val="0"/>
      <w:marBottom w:val="0"/>
      <w:divBdr>
        <w:top w:val="none" w:sz="0" w:space="0" w:color="auto"/>
        <w:left w:val="none" w:sz="0" w:space="0" w:color="auto"/>
        <w:bottom w:val="none" w:sz="0" w:space="0" w:color="auto"/>
        <w:right w:val="none" w:sz="0" w:space="0" w:color="auto"/>
      </w:divBdr>
    </w:div>
    <w:div w:id="1862160587">
      <w:bodyDiv w:val="1"/>
      <w:marLeft w:val="0"/>
      <w:marRight w:val="0"/>
      <w:marTop w:val="0"/>
      <w:marBottom w:val="0"/>
      <w:divBdr>
        <w:top w:val="none" w:sz="0" w:space="0" w:color="auto"/>
        <w:left w:val="none" w:sz="0" w:space="0" w:color="auto"/>
        <w:bottom w:val="none" w:sz="0" w:space="0" w:color="auto"/>
        <w:right w:val="none" w:sz="0" w:space="0" w:color="auto"/>
      </w:divBdr>
    </w:div>
    <w:div w:id="1868060648">
      <w:bodyDiv w:val="1"/>
      <w:marLeft w:val="0"/>
      <w:marRight w:val="0"/>
      <w:marTop w:val="0"/>
      <w:marBottom w:val="0"/>
      <w:divBdr>
        <w:top w:val="none" w:sz="0" w:space="0" w:color="auto"/>
        <w:left w:val="none" w:sz="0" w:space="0" w:color="auto"/>
        <w:bottom w:val="none" w:sz="0" w:space="0" w:color="auto"/>
        <w:right w:val="none" w:sz="0" w:space="0" w:color="auto"/>
      </w:divBdr>
    </w:div>
    <w:div w:id="1888909333">
      <w:bodyDiv w:val="1"/>
      <w:marLeft w:val="0"/>
      <w:marRight w:val="0"/>
      <w:marTop w:val="0"/>
      <w:marBottom w:val="0"/>
      <w:divBdr>
        <w:top w:val="none" w:sz="0" w:space="0" w:color="auto"/>
        <w:left w:val="none" w:sz="0" w:space="0" w:color="auto"/>
        <w:bottom w:val="none" w:sz="0" w:space="0" w:color="auto"/>
        <w:right w:val="none" w:sz="0" w:space="0" w:color="auto"/>
      </w:divBdr>
    </w:div>
    <w:div w:id="1891107679">
      <w:bodyDiv w:val="1"/>
      <w:marLeft w:val="0"/>
      <w:marRight w:val="0"/>
      <w:marTop w:val="0"/>
      <w:marBottom w:val="0"/>
      <w:divBdr>
        <w:top w:val="none" w:sz="0" w:space="0" w:color="auto"/>
        <w:left w:val="none" w:sz="0" w:space="0" w:color="auto"/>
        <w:bottom w:val="none" w:sz="0" w:space="0" w:color="auto"/>
        <w:right w:val="none" w:sz="0" w:space="0" w:color="auto"/>
      </w:divBdr>
    </w:div>
    <w:div w:id="1894921431">
      <w:bodyDiv w:val="1"/>
      <w:marLeft w:val="0"/>
      <w:marRight w:val="0"/>
      <w:marTop w:val="0"/>
      <w:marBottom w:val="0"/>
      <w:divBdr>
        <w:top w:val="none" w:sz="0" w:space="0" w:color="auto"/>
        <w:left w:val="none" w:sz="0" w:space="0" w:color="auto"/>
        <w:bottom w:val="none" w:sz="0" w:space="0" w:color="auto"/>
        <w:right w:val="none" w:sz="0" w:space="0" w:color="auto"/>
      </w:divBdr>
    </w:div>
    <w:div w:id="1900945344">
      <w:bodyDiv w:val="1"/>
      <w:marLeft w:val="0"/>
      <w:marRight w:val="0"/>
      <w:marTop w:val="0"/>
      <w:marBottom w:val="0"/>
      <w:divBdr>
        <w:top w:val="none" w:sz="0" w:space="0" w:color="auto"/>
        <w:left w:val="none" w:sz="0" w:space="0" w:color="auto"/>
        <w:bottom w:val="none" w:sz="0" w:space="0" w:color="auto"/>
        <w:right w:val="none" w:sz="0" w:space="0" w:color="auto"/>
      </w:divBdr>
    </w:div>
    <w:div w:id="1919166039">
      <w:bodyDiv w:val="1"/>
      <w:marLeft w:val="0"/>
      <w:marRight w:val="0"/>
      <w:marTop w:val="0"/>
      <w:marBottom w:val="0"/>
      <w:divBdr>
        <w:top w:val="none" w:sz="0" w:space="0" w:color="auto"/>
        <w:left w:val="none" w:sz="0" w:space="0" w:color="auto"/>
        <w:bottom w:val="none" w:sz="0" w:space="0" w:color="auto"/>
        <w:right w:val="none" w:sz="0" w:space="0" w:color="auto"/>
      </w:divBdr>
    </w:div>
    <w:div w:id="1920748316">
      <w:bodyDiv w:val="1"/>
      <w:marLeft w:val="0"/>
      <w:marRight w:val="0"/>
      <w:marTop w:val="0"/>
      <w:marBottom w:val="0"/>
      <w:divBdr>
        <w:top w:val="none" w:sz="0" w:space="0" w:color="auto"/>
        <w:left w:val="none" w:sz="0" w:space="0" w:color="auto"/>
        <w:bottom w:val="none" w:sz="0" w:space="0" w:color="auto"/>
        <w:right w:val="none" w:sz="0" w:space="0" w:color="auto"/>
      </w:divBdr>
    </w:div>
    <w:div w:id="1920945904">
      <w:bodyDiv w:val="1"/>
      <w:marLeft w:val="0"/>
      <w:marRight w:val="0"/>
      <w:marTop w:val="0"/>
      <w:marBottom w:val="0"/>
      <w:divBdr>
        <w:top w:val="none" w:sz="0" w:space="0" w:color="auto"/>
        <w:left w:val="none" w:sz="0" w:space="0" w:color="auto"/>
        <w:bottom w:val="none" w:sz="0" w:space="0" w:color="auto"/>
        <w:right w:val="none" w:sz="0" w:space="0" w:color="auto"/>
      </w:divBdr>
    </w:div>
    <w:div w:id="1923445897">
      <w:bodyDiv w:val="1"/>
      <w:marLeft w:val="0"/>
      <w:marRight w:val="0"/>
      <w:marTop w:val="0"/>
      <w:marBottom w:val="0"/>
      <w:divBdr>
        <w:top w:val="none" w:sz="0" w:space="0" w:color="auto"/>
        <w:left w:val="none" w:sz="0" w:space="0" w:color="auto"/>
        <w:bottom w:val="none" w:sz="0" w:space="0" w:color="auto"/>
        <w:right w:val="none" w:sz="0" w:space="0" w:color="auto"/>
      </w:divBdr>
    </w:div>
    <w:div w:id="1925407455">
      <w:bodyDiv w:val="1"/>
      <w:marLeft w:val="0"/>
      <w:marRight w:val="0"/>
      <w:marTop w:val="0"/>
      <w:marBottom w:val="0"/>
      <w:divBdr>
        <w:top w:val="none" w:sz="0" w:space="0" w:color="auto"/>
        <w:left w:val="none" w:sz="0" w:space="0" w:color="auto"/>
        <w:bottom w:val="none" w:sz="0" w:space="0" w:color="auto"/>
        <w:right w:val="none" w:sz="0" w:space="0" w:color="auto"/>
      </w:divBdr>
    </w:div>
    <w:div w:id="1930190337">
      <w:bodyDiv w:val="1"/>
      <w:marLeft w:val="0"/>
      <w:marRight w:val="0"/>
      <w:marTop w:val="0"/>
      <w:marBottom w:val="0"/>
      <w:divBdr>
        <w:top w:val="none" w:sz="0" w:space="0" w:color="auto"/>
        <w:left w:val="none" w:sz="0" w:space="0" w:color="auto"/>
        <w:bottom w:val="none" w:sz="0" w:space="0" w:color="auto"/>
        <w:right w:val="none" w:sz="0" w:space="0" w:color="auto"/>
      </w:divBdr>
    </w:div>
    <w:div w:id="1930192967">
      <w:bodyDiv w:val="1"/>
      <w:marLeft w:val="0"/>
      <w:marRight w:val="0"/>
      <w:marTop w:val="0"/>
      <w:marBottom w:val="0"/>
      <w:divBdr>
        <w:top w:val="none" w:sz="0" w:space="0" w:color="auto"/>
        <w:left w:val="none" w:sz="0" w:space="0" w:color="auto"/>
        <w:bottom w:val="none" w:sz="0" w:space="0" w:color="auto"/>
        <w:right w:val="none" w:sz="0" w:space="0" w:color="auto"/>
      </w:divBdr>
    </w:div>
    <w:div w:id="1944219232">
      <w:bodyDiv w:val="1"/>
      <w:marLeft w:val="0"/>
      <w:marRight w:val="0"/>
      <w:marTop w:val="0"/>
      <w:marBottom w:val="0"/>
      <w:divBdr>
        <w:top w:val="none" w:sz="0" w:space="0" w:color="auto"/>
        <w:left w:val="none" w:sz="0" w:space="0" w:color="auto"/>
        <w:bottom w:val="none" w:sz="0" w:space="0" w:color="auto"/>
        <w:right w:val="none" w:sz="0" w:space="0" w:color="auto"/>
      </w:divBdr>
    </w:div>
    <w:div w:id="1958641113">
      <w:bodyDiv w:val="1"/>
      <w:marLeft w:val="0"/>
      <w:marRight w:val="0"/>
      <w:marTop w:val="0"/>
      <w:marBottom w:val="0"/>
      <w:divBdr>
        <w:top w:val="none" w:sz="0" w:space="0" w:color="auto"/>
        <w:left w:val="none" w:sz="0" w:space="0" w:color="auto"/>
        <w:bottom w:val="none" w:sz="0" w:space="0" w:color="auto"/>
        <w:right w:val="none" w:sz="0" w:space="0" w:color="auto"/>
      </w:divBdr>
    </w:div>
    <w:div w:id="1965497515">
      <w:bodyDiv w:val="1"/>
      <w:marLeft w:val="0"/>
      <w:marRight w:val="0"/>
      <w:marTop w:val="0"/>
      <w:marBottom w:val="0"/>
      <w:divBdr>
        <w:top w:val="none" w:sz="0" w:space="0" w:color="auto"/>
        <w:left w:val="none" w:sz="0" w:space="0" w:color="auto"/>
        <w:bottom w:val="none" w:sz="0" w:space="0" w:color="auto"/>
        <w:right w:val="none" w:sz="0" w:space="0" w:color="auto"/>
      </w:divBdr>
    </w:div>
    <w:div w:id="1987589681">
      <w:bodyDiv w:val="1"/>
      <w:marLeft w:val="0"/>
      <w:marRight w:val="0"/>
      <w:marTop w:val="0"/>
      <w:marBottom w:val="0"/>
      <w:divBdr>
        <w:top w:val="none" w:sz="0" w:space="0" w:color="auto"/>
        <w:left w:val="none" w:sz="0" w:space="0" w:color="auto"/>
        <w:bottom w:val="none" w:sz="0" w:space="0" w:color="auto"/>
        <w:right w:val="none" w:sz="0" w:space="0" w:color="auto"/>
      </w:divBdr>
    </w:div>
    <w:div w:id="1991011341">
      <w:bodyDiv w:val="1"/>
      <w:marLeft w:val="0"/>
      <w:marRight w:val="0"/>
      <w:marTop w:val="0"/>
      <w:marBottom w:val="0"/>
      <w:divBdr>
        <w:top w:val="none" w:sz="0" w:space="0" w:color="auto"/>
        <w:left w:val="none" w:sz="0" w:space="0" w:color="auto"/>
        <w:bottom w:val="none" w:sz="0" w:space="0" w:color="auto"/>
        <w:right w:val="none" w:sz="0" w:space="0" w:color="auto"/>
      </w:divBdr>
    </w:div>
    <w:div w:id="1993097982">
      <w:bodyDiv w:val="1"/>
      <w:marLeft w:val="0"/>
      <w:marRight w:val="0"/>
      <w:marTop w:val="0"/>
      <w:marBottom w:val="0"/>
      <w:divBdr>
        <w:top w:val="none" w:sz="0" w:space="0" w:color="auto"/>
        <w:left w:val="none" w:sz="0" w:space="0" w:color="auto"/>
        <w:bottom w:val="none" w:sz="0" w:space="0" w:color="auto"/>
        <w:right w:val="none" w:sz="0" w:space="0" w:color="auto"/>
      </w:divBdr>
    </w:div>
    <w:div w:id="2013296109">
      <w:bodyDiv w:val="1"/>
      <w:marLeft w:val="0"/>
      <w:marRight w:val="0"/>
      <w:marTop w:val="0"/>
      <w:marBottom w:val="0"/>
      <w:divBdr>
        <w:top w:val="none" w:sz="0" w:space="0" w:color="auto"/>
        <w:left w:val="none" w:sz="0" w:space="0" w:color="auto"/>
        <w:bottom w:val="none" w:sz="0" w:space="0" w:color="auto"/>
        <w:right w:val="none" w:sz="0" w:space="0" w:color="auto"/>
      </w:divBdr>
    </w:div>
    <w:div w:id="2019698476">
      <w:bodyDiv w:val="1"/>
      <w:marLeft w:val="0"/>
      <w:marRight w:val="0"/>
      <w:marTop w:val="0"/>
      <w:marBottom w:val="0"/>
      <w:divBdr>
        <w:top w:val="none" w:sz="0" w:space="0" w:color="auto"/>
        <w:left w:val="none" w:sz="0" w:space="0" w:color="auto"/>
        <w:bottom w:val="none" w:sz="0" w:space="0" w:color="auto"/>
        <w:right w:val="none" w:sz="0" w:space="0" w:color="auto"/>
      </w:divBdr>
    </w:div>
    <w:div w:id="2025091053">
      <w:bodyDiv w:val="1"/>
      <w:marLeft w:val="0"/>
      <w:marRight w:val="0"/>
      <w:marTop w:val="0"/>
      <w:marBottom w:val="0"/>
      <w:divBdr>
        <w:top w:val="none" w:sz="0" w:space="0" w:color="auto"/>
        <w:left w:val="none" w:sz="0" w:space="0" w:color="auto"/>
        <w:bottom w:val="none" w:sz="0" w:space="0" w:color="auto"/>
        <w:right w:val="none" w:sz="0" w:space="0" w:color="auto"/>
      </w:divBdr>
    </w:div>
    <w:div w:id="2060862312">
      <w:bodyDiv w:val="1"/>
      <w:marLeft w:val="0"/>
      <w:marRight w:val="0"/>
      <w:marTop w:val="0"/>
      <w:marBottom w:val="0"/>
      <w:divBdr>
        <w:top w:val="none" w:sz="0" w:space="0" w:color="auto"/>
        <w:left w:val="none" w:sz="0" w:space="0" w:color="auto"/>
        <w:bottom w:val="none" w:sz="0" w:space="0" w:color="auto"/>
        <w:right w:val="none" w:sz="0" w:space="0" w:color="auto"/>
      </w:divBdr>
    </w:div>
    <w:div w:id="2068526824">
      <w:bodyDiv w:val="1"/>
      <w:marLeft w:val="0"/>
      <w:marRight w:val="0"/>
      <w:marTop w:val="0"/>
      <w:marBottom w:val="0"/>
      <w:divBdr>
        <w:top w:val="none" w:sz="0" w:space="0" w:color="auto"/>
        <w:left w:val="none" w:sz="0" w:space="0" w:color="auto"/>
        <w:bottom w:val="none" w:sz="0" w:space="0" w:color="auto"/>
        <w:right w:val="none" w:sz="0" w:space="0" w:color="auto"/>
      </w:divBdr>
    </w:div>
    <w:div w:id="2074497668">
      <w:bodyDiv w:val="1"/>
      <w:marLeft w:val="0"/>
      <w:marRight w:val="0"/>
      <w:marTop w:val="0"/>
      <w:marBottom w:val="0"/>
      <w:divBdr>
        <w:top w:val="none" w:sz="0" w:space="0" w:color="auto"/>
        <w:left w:val="none" w:sz="0" w:space="0" w:color="auto"/>
        <w:bottom w:val="none" w:sz="0" w:space="0" w:color="auto"/>
        <w:right w:val="none" w:sz="0" w:space="0" w:color="auto"/>
      </w:divBdr>
    </w:div>
    <w:div w:id="2083021944">
      <w:bodyDiv w:val="1"/>
      <w:marLeft w:val="0"/>
      <w:marRight w:val="0"/>
      <w:marTop w:val="0"/>
      <w:marBottom w:val="0"/>
      <w:divBdr>
        <w:top w:val="none" w:sz="0" w:space="0" w:color="auto"/>
        <w:left w:val="none" w:sz="0" w:space="0" w:color="auto"/>
        <w:bottom w:val="none" w:sz="0" w:space="0" w:color="auto"/>
        <w:right w:val="none" w:sz="0" w:space="0" w:color="auto"/>
      </w:divBdr>
    </w:div>
    <w:div w:id="2083409550">
      <w:bodyDiv w:val="1"/>
      <w:marLeft w:val="0"/>
      <w:marRight w:val="0"/>
      <w:marTop w:val="0"/>
      <w:marBottom w:val="0"/>
      <w:divBdr>
        <w:top w:val="none" w:sz="0" w:space="0" w:color="auto"/>
        <w:left w:val="none" w:sz="0" w:space="0" w:color="auto"/>
        <w:bottom w:val="none" w:sz="0" w:space="0" w:color="auto"/>
        <w:right w:val="none" w:sz="0" w:space="0" w:color="auto"/>
      </w:divBdr>
    </w:div>
    <w:div w:id="2101027454">
      <w:bodyDiv w:val="1"/>
      <w:marLeft w:val="0"/>
      <w:marRight w:val="0"/>
      <w:marTop w:val="0"/>
      <w:marBottom w:val="0"/>
      <w:divBdr>
        <w:top w:val="none" w:sz="0" w:space="0" w:color="auto"/>
        <w:left w:val="none" w:sz="0" w:space="0" w:color="auto"/>
        <w:bottom w:val="none" w:sz="0" w:space="0" w:color="auto"/>
        <w:right w:val="none" w:sz="0" w:space="0" w:color="auto"/>
      </w:divBdr>
    </w:div>
    <w:div w:id="2103640655">
      <w:bodyDiv w:val="1"/>
      <w:marLeft w:val="0"/>
      <w:marRight w:val="0"/>
      <w:marTop w:val="0"/>
      <w:marBottom w:val="0"/>
      <w:divBdr>
        <w:top w:val="none" w:sz="0" w:space="0" w:color="auto"/>
        <w:left w:val="none" w:sz="0" w:space="0" w:color="auto"/>
        <w:bottom w:val="none" w:sz="0" w:space="0" w:color="auto"/>
        <w:right w:val="none" w:sz="0" w:space="0" w:color="auto"/>
      </w:divBdr>
    </w:div>
    <w:div w:id="2114275223">
      <w:bodyDiv w:val="1"/>
      <w:marLeft w:val="0"/>
      <w:marRight w:val="0"/>
      <w:marTop w:val="0"/>
      <w:marBottom w:val="0"/>
      <w:divBdr>
        <w:top w:val="none" w:sz="0" w:space="0" w:color="auto"/>
        <w:left w:val="none" w:sz="0" w:space="0" w:color="auto"/>
        <w:bottom w:val="none" w:sz="0" w:space="0" w:color="auto"/>
        <w:right w:val="none" w:sz="0" w:space="0" w:color="auto"/>
      </w:divBdr>
    </w:div>
    <w:div w:id="2128428006">
      <w:bodyDiv w:val="1"/>
      <w:marLeft w:val="0"/>
      <w:marRight w:val="0"/>
      <w:marTop w:val="0"/>
      <w:marBottom w:val="0"/>
      <w:divBdr>
        <w:top w:val="none" w:sz="0" w:space="0" w:color="auto"/>
        <w:left w:val="none" w:sz="0" w:space="0" w:color="auto"/>
        <w:bottom w:val="none" w:sz="0" w:space="0" w:color="auto"/>
        <w:right w:val="none" w:sz="0" w:space="0" w:color="auto"/>
      </w:divBdr>
    </w:div>
    <w:div w:id="214723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header" Target="header6.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pmc.gov.au/resource-centre/government/independent-review-australian-public-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eih.health.nsw.gov.au/__data/assets/pdf_file/0008/570869/OACCP-evaluation-feb-2015.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yperlink" Target="https://www.legislation.gov.au/Series/C2013A00123"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7A3185A5114E439E908369E75246D2"/>
        <w:category>
          <w:name w:val="General"/>
          <w:gallery w:val="placeholder"/>
        </w:category>
        <w:types>
          <w:type w:val="bbPlcHdr"/>
        </w:types>
        <w:behaviors>
          <w:behavior w:val="content"/>
        </w:behaviors>
        <w:guid w:val="{CADB0D14-4630-4BCB-8489-2EC66FB85C2B}"/>
      </w:docPartPr>
      <w:docPartBody>
        <w:p w:rsidR="00FD5B41" w:rsidRDefault="00FD5B4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YInterstate Regular">
    <w:altName w:val="Corbel"/>
    <w:charset w:val="00"/>
    <w:family w:val="auto"/>
    <w:pitch w:val="variable"/>
    <w:sig w:usb0="800002AF" w:usb1="5000204A"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D63"/>
    <w:rsid w:val="001059E4"/>
    <w:rsid w:val="00170364"/>
    <w:rsid w:val="001D6E7E"/>
    <w:rsid w:val="001D7D63"/>
    <w:rsid w:val="002D1E7B"/>
    <w:rsid w:val="0034008F"/>
    <w:rsid w:val="003B6D30"/>
    <w:rsid w:val="003D4961"/>
    <w:rsid w:val="007143D8"/>
    <w:rsid w:val="007F0983"/>
    <w:rsid w:val="00800DED"/>
    <w:rsid w:val="008B2F59"/>
    <w:rsid w:val="008C73AD"/>
    <w:rsid w:val="00A40F84"/>
    <w:rsid w:val="00DD68C7"/>
    <w:rsid w:val="00FA6F2A"/>
    <w:rsid w:val="00FD5B41"/>
    <w:rsid w:val="00FE5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D6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DVA Theme Jun18">
  <a:themeElements>
    <a:clrScheme name="Transforming DVA 3">
      <a:dk1>
        <a:srgbClr val="000000"/>
      </a:dk1>
      <a:lt1>
        <a:srgbClr val="FFFFFF"/>
      </a:lt1>
      <a:dk2>
        <a:srgbClr val="1F2C56"/>
      </a:dk2>
      <a:lt2>
        <a:srgbClr val="E7E6E6"/>
      </a:lt2>
      <a:accent1>
        <a:srgbClr val="3C5893"/>
      </a:accent1>
      <a:accent2>
        <a:srgbClr val="4FBBC3"/>
      </a:accent2>
      <a:accent3>
        <a:srgbClr val="A5A5A5"/>
      </a:accent3>
      <a:accent4>
        <a:srgbClr val="91C84C"/>
      </a:accent4>
      <a:accent5>
        <a:srgbClr val="FBCA3F"/>
      </a:accent5>
      <a:accent6>
        <a:srgbClr val="223C71"/>
      </a:accent6>
      <a:hlink>
        <a:srgbClr val="5773B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VA Theme Jun18" id="{671E669F-9E34-4D33-AD54-F72FC5ED983D}" vid="{7BD565FF-7420-4AAE-8E05-502C4EFC25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xmlns:b="http://schemas.openxmlformats.org/officeDocument/2006/bibliography" xmlns="http://schemas.openxmlformats.org/officeDocument/2006/bibliography">
    <b:Tag>Placeholder1</b:Tag>
    <b:RefOrder>47</b:RefOrder>
  </b:Source>
  <b:Source>
    <b:Tag>Aus</b:Tag>
    <b:SourceType>Misc</b:SourceType>
    <b:Guid>{3D072399-C49A-4DAF-B6F9-60A4142CF701}</b:Guid>
    <b:Title>Additional program information provided by DVA</b:Title>
    <b:Author>
      <b:Author>
        <b:Corporate>Australian Government Department of Veterans' Affairs</b:Corporate>
      </b:Author>
    </b:Author>
    <b:Year>2022</b:Year>
    <b:RefOrder>1</b:RefOrder>
  </b:Source>
  <b:Source>
    <b:Tag>Aus21</b:Tag>
    <b:SourceType>InternetSite</b:SourceType>
    <b:Guid>{6F59C8C5-DD79-40A6-9E97-00BE040F3CF2}</b:Guid>
    <b:Title>How to evaluate?</b:Title>
    <b:Year>2021</b:Year>
    <b:Author>
      <b:Author>
        <b:Corporate>Australian Government: Department of Finance</b:Corporate>
      </b:Author>
    </b:Author>
    <b:Month>December</b:Month>
    <b:Day>01</b:Day>
    <b:URL>https://www.finance.gov.au/government/managing-commonwealth-resources/planning-and-reporting/commonwealth-performance-framework/evaluation-commonwealth-rmg-130/how-evaluate</b:URL>
    <b:RefOrder>2</b:RefOrder>
  </b:Source>
  <b:Source>
    <b:Tag>Bar21</b:Tag>
    <b:SourceType>Report</b:SourceType>
    <b:Guid>{7447E7DD-C12D-4EA3-A68E-049724DF9CB6}</b:Guid>
    <b:Author>
      <b:Author>
        <b:NameList>
          <b:Person>
            <b:Last>Barton</b:Last>
            <b:First>Christian</b:First>
            <b:Middle>J et al.</b:Middle>
          </b:Person>
        </b:NameList>
      </b:Author>
    </b:Author>
    <b:Title>Program evaluation of GLA:D®Australia: Physiotherapist training outcomes and effectiveness of implementation for people with knee osteoarthritis</b:Title>
    <b:Year>2021</b:Year>
    <b:Publisher>Elsevier Ltd</b:Publisher>
    <b:RefOrder>3</b:RefOrder>
  </b:Source>
  <b:Source>
    <b:Tag>Bar20</b:Tag>
    <b:SourceType>Report</b:SourceType>
    <b:Guid>{3E2F76C6-9435-4C46-9AD3-23F24BD87FE4}</b:Guid>
    <b:Author>
      <b:Author>
        <b:NameList>
          <b:Person>
            <b:Last>Barclay</b:Last>
            <b:First>Linda</b:First>
            <b:Middle>et al.</b:Middle>
          </b:Person>
        </b:NameList>
      </b:Author>
    </b:Author>
    <b:Title>Community integration programs and interventions for people with spinal cord injury: a scoping review</b:Title>
    <b:Year>2020</b:Year>
    <b:RefOrder>4</b:RefOrder>
  </b:Source>
  <b:Source>
    <b:Tag>Aus22</b:Tag>
    <b:SourceType>InternetSite</b:SourceType>
    <b:Guid>{15F648B9-603A-4295-A862-7BBBA752FA5E}</b:Guid>
    <b:Title>What is evaluation?</b:Title>
    <b:Year>2022</b:Year>
    <b:Month>April</b:Month>
    <b:Day>27</b:Day>
    <b:URL>https://www.finance.gov.au/government/managing-commonwealth-resources/planning-and-reporting/commonwealth-performance-framework/evaluation-commonwealth-rmg-130/what-evaluation#ftn1</b:URL>
    <b:Author>
      <b:Author>
        <b:Corporate>Australian Government Department of Finance</b:Corporate>
      </b:Author>
    </b:Author>
    <b:RefOrder>5</b:RefOrder>
  </b:Source>
  <b:Source>
    <b:Tag>Bli15</b:Tag>
    <b:SourceType>Report</b:SourceType>
    <b:Guid>{6534AE93-416E-4604-A983-D067612914B5}</b:Guid>
    <b:Author>
      <b:Author>
        <b:NameList>
          <b:Person>
            <b:Last>Blignault</b:Last>
            <b:First>Ilse</b:First>
            <b:Middle>et al.</b:Middle>
          </b:Person>
        </b:NameList>
      </b:Author>
    </b:Author>
    <b:Title>The value of partnerships: lessons from a multi-site evaluation of a national social and emotional wellbeing program for Indigenous youth</b:Title>
    <b:Year>2015</b:Year>
    <b:Publisher>Australian and New Zealand Journal of Public Health</b:Publisher>
    <b:RefOrder>6</b:RefOrder>
  </b:Source>
  <b:Source>
    <b:Tag>Bro18</b:Tag>
    <b:SourceType>Report</b:SourceType>
    <b:Guid>{37B1EEFD-82BB-4A60-86DA-4600B62182C0}</b:Guid>
    <b:Author>
      <b:Author>
        <b:NameList>
          <b:Person>
            <b:Last>Browne</b:Last>
            <b:First>Jennifer</b:First>
            <b:Middle>et al.</b:Middle>
          </b:Person>
        </b:NameList>
      </b:Author>
    </b:Author>
    <b:Title>Food and nutrition programs for Aboriginal and Torres Strait Islander Australians: an overview of systematic reviews</b:Title>
    <b:Year>2018</b:Year>
    <b:Publisher>Australian Health Review</b:Publisher>
    <b:RefOrder>7</b:RefOrder>
  </b:Source>
  <b:Source>
    <b:Tag>Aus23</b:Tag>
    <b:SourceType>InternetSite</b:SourceType>
    <b:Guid>{7D0F77E1-BE48-4C49-88DF-D29C77DC0ED4}</b:Guid>
    <b:Title>When to evaluate?</b:Title>
    <b:Year>2021</b:Year>
    <b:Author>
      <b:Author>
        <b:Corporate>Australian Government: Department of Finance</b:Corporate>
      </b:Author>
    </b:Author>
    <b:URL>https://www.finance.gov.au/government/managing-commonwealth-resources/planning-and-reporting/commonwealth-performance-framework/evaluation-commonwealth-rmg-130/when-evaluate</b:URL>
    <b:RefOrder>8</b:RefOrder>
  </b:Source>
  <b:Source>
    <b:Tag>Cam20</b:Tag>
    <b:SourceType>Report</b:SourceType>
    <b:Guid>{331F5C81-D488-415B-8289-1071B730D6A3}</b:Guid>
    <b:Author>
      <b:Author>
        <b:NameList>
          <b:Person>
            <b:Last>Campbell</b:Last>
            <b:First>Brayden</b:First>
            <b:Middle>et al.</b:Middle>
          </b:Person>
        </b:NameList>
      </b:Author>
    </b:Author>
    <b:Title>A 'joint' approach: design, implementation and preliminary outcomes of an early conservative knee and hip osteoarthritis service in northern New South Wales, Australia</b:Title>
    <b:Year>2020</b:Year>
    <b:RefOrder>9</b:RefOrder>
  </b:Source>
  <b:Source>
    <b:Tag>Dab21</b:Tag>
    <b:SourceType>Book</b:SourceType>
    <b:Guid>{C53CBDD1-B4BD-4BF6-A6EF-35634221B9FE}</b:Guid>
    <b:Author>
      <b:Author>
        <b:NameList>
          <b:Person>
            <b:Last>Dabkowski</b:Last>
            <b:First>Elissa</b:First>
            <b:Middle>et al.</b:Middle>
          </b:Person>
        </b:NameList>
      </b:Author>
    </b:Author>
    <b:Title>An exploration into suicide prevention initiatives for mental health nurses: A systematic literature review</b:Title>
    <b:Year>2021</b:Year>
    <b:Publisher>International Journal of Mental Health Nursing</b:Publisher>
    <b:RefOrder>10</b:RefOrder>
  </b:Source>
  <b:Source>
    <b:Tag>Aus18</b:Tag>
    <b:SourceType>Misc</b:SourceType>
    <b:Guid>{4FDA9894-2FF6-4838-8EA5-EC2F70D0E4BB}</b:Guid>
    <b:Title>Our Wellbeing Landscape</b:Title>
    <b:Year>2018</b:Year>
    <b:Author>
      <b:Author>
        <b:Corporate>Australian Government Department of Veterans' Affairs</b:Corporate>
      </b:Author>
    </b:Author>
    <b:RefOrder>11</b:RefOrder>
  </b:Source>
  <b:Source>
    <b:Tag>Dor21</b:Tag>
    <b:SourceType>Report</b:SourceType>
    <b:Guid>{55704F21-06A7-444A-BE23-F60174C60E42}</b:Guid>
    <b:Author>
      <b:Author>
        <b:NameList>
          <b:Person>
            <b:Last>Doran</b:Last>
            <b:First>Christopher</b:First>
            <b:Middle>M et al.</b:Middle>
          </b:Person>
        </b:NameList>
      </b:Author>
    </b:Author>
    <b:Title>Impact and Return on Investment of the Take Kare Safe Space Program - A Harm Reduction Strategy Implemented in Sydney, Australia</b:Title>
    <b:Year>2021</b:Year>
    <b:RefOrder>12</b:RefOrder>
  </b:Source>
  <b:Source>
    <b:Tag>Dav16</b:Tag>
    <b:SourceType>Report</b:SourceType>
    <b:Guid>{C1D35C17-56D9-4EDC-9DE1-3EF921EA88A0}</b:Guid>
    <b:Author>
      <b:Author>
        <b:NameList>
          <b:Person>
            <b:Last>Davies</b:Last>
            <b:First>Jenny</b:First>
            <b:Middle>et al.</b:Middle>
          </b:Person>
        </b:NameList>
      </b:Author>
    </b:Author>
    <b:Title>Developing an Australian health and aged care research agenda: a systematic review of evidence at the subacute interface</b:Title>
    <b:Year>2016</b:Year>
    <b:RefOrder>13</b:RefOrder>
  </b:Source>
  <b:Source>
    <b:Tag>KPM21</b:Tag>
    <b:SourceType>Report</b:SourceType>
    <b:Guid>{37F11447-B7EA-4602-AF7D-17248D7CB375}</b:Guid>
    <b:Author>
      <b:Author>
        <b:Corporate>KPMG</b:Corporate>
      </b:Author>
    </b:Author>
    <b:Title>Evaluation and review of the National Suicide Prevention Leadership and Support Program</b:Title>
    <b:Year>2021</b:Year>
    <b:RefOrder>14</b:RefOrder>
  </b:Source>
  <b:Source>
    <b:Tag>Dea20</b:Tag>
    <b:SourceType>Report</b:SourceType>
    <b:Guid>{B12A422D-2BAD-42A7-A380-90E375E1139F}</b:Guid>
    <b:Author>
      <b:Author>
        <b:NameList>
          <b:Person>
            <b:Last>Deans</b:Last>
            <b:First>C</b:First>
          </b:Person>
        </b:NameList>
      </b:Author>
    </b:Author>
    <b:Title>Benefits and Employment and Care for Peer Support Staff in the Veteran Community: A Rapid Narrative Literature Review</b:Title>
    <b:Year>2020</b:Year>
    <b:RefOrder>15</b:RefOrder>
  </b:Source>
  <b:Source>
    <b:Tag>Com20</b:Tag>
    <b:SourceType>Report</b:SourceType>
    <b:Guid>{23D76A9F-B800-4D5C-806C-D430A04B8ED3}</b:Guid>
    <b:Author>
      <b:Author>
        <b:Corporate>Australian Government Productivity Commission</b:Corporate>
      </b:Author>
    </b:Author>
    <b:Title>A Guide to Evaluation under the Indigenous Evaluation Strategy</b:Title>
    <b:Year>2020</b:Year>
    <b:RefOrder>16</b:RefOrder>
  </b:Source>
  <b:Source>
    <b:Tag>Mar21</b:Tag>
    <b:SourceType>Report</b:SourceType>
    <b:Guid>{22D3D51C-C305-48AF-B393-5D5EC5FABC52}</b:Guid>
    <b:Author>
      <b:Author>
        <b:NameList>
          <b:Person>
            <b:Last>Marsden</b:Last>
            <b:First>Elisabeth</b:First>
            <b:Middle>et al.</b:Middle>
          </b:Person>
        </b:NameList>
      </b:Author>
    </b:Author>
    <b:Title>A structure and process evaluation of the geriatric emergency department intervention model</b:Title>
    <b:Year>2021</b:Year>
    <b:RefOrder>17</b:RefOrder>
  </b:Source>
  <b:Source>
    <b:Tag>Gei18</b:Tag>
    <b:SourceType>Report</b:SourceType>
    <b:Guid>{126B76F5-5BBB-45A4-9A35-0A247560E338}</b:Guid>
    <b:Author>
      <b:Author>
        <b:NameList>
          <b:Person>
            <b:Last>Geia</b:Last>
            <b:First>Lynore</b:First>
            <b:Middle>et al.</b:Middle>
          </b:Person>
        </b:NameList>
      </b:Author>
    </b:Author>
    <b:Title>Adolescent and young adult substance use in Australian Indigenous Communities: a systematic review of demand control program outcomes</b:Title>
    <b:Year>2018</b:Year>
    <b:Publisher>Australian and New Zealand Journal of Public Health</b:Publisher>
    <b:RefOrder>18</b:RefOrder>
  </b:Source>
  <b:Source>
    <b:Tag>Cen22</b:Tag>
    <b:SourceType>DocumentFromInternetSite</b:SourceType>
    <b:Guid>{9C336DBA-4DD8-4135-9282-19C020427A05}</b:Guid>
    <b:Title>CDC Coffee Break: Evaluative Thinking: Strategies for reflective thinking in your organisation</b:Title>
    <b:Author>
      <b:Author>
        <b:Corporate>Centers for Disease Control and Prevention</b:Corporate>
      </b:Author>
    </b:Author>
    <b:URL>https://www.cdc.gov/dhdsp/docs/CB-June2018-508.pdf</b:URL>
    <b:RefOrder>19</b:RefOrder>
  </b:Source>
  <b:Source>
    <b:Tag>Mor20</b:Tag>
    <b:SourceType>Report</b:SourceType>
    <b:Guid>{E96BBABF-F598-487C-B3CC-97349BD517B7}</b:Guid>
    <b:Author>
      <b:Author>
        <b:NameList>
          <b:Person>
            <b:Last>Moreton</b:Last>
            <b:First>Sam</b:First>
            <b:Middle>et al.</b:Middle>
          </b:Person>
        </b:NameList>
      </b:Author>
    </b:Author>
    <b:Title>Economic and clinical outcomes of the nurse practitioner-led Sydney Adventist Hospital Community Palliative Care Service</b:Title>
    <b:Year>2020</b:Year>
    <b:RefOrder>20</b:RefOrder>
  </b:Source>
  <b:Source>
    <b:Tag>Lee19</b:Tag>
    <b:SourceType>Report</b:SourceType>
    <b:Guid>{EBAA9486-C67A-4BF2-9E29-DAE34C3D930A}</b:Guid>
    <b:Author>
      <b:Author>
        <b:NameList>
          <b:Person>
            <b:Last>Lee</b:Last>
            <b:First>Xing</b:First>
            <b:Middle>Ju et al.</b:Middle>
          </b:Person>
        </b:NameList>
      </b:Author>
    </b:Author>
    <b:Title>Review of methods and study designs of evaluations related to clinical pathways</b:Title>
    <b:Year>2019</b:Year>
    <b:RefOrder>21</b:RefOrder>
  </b:Source>
  <b:Source>
    <b:Tag>Pre22</b:Tag>
    <b:SourceType>DocumentFromInternetSite</b:SourceType>
    <b:Guid>{9250B4C3-EFD0-4337-A62C-B1A6F7DBF22C}</b:Guid>
    <b:Title>Types of evaluation</b:Title>
    <b:InternetSiteTitle>Program Performance and Evaluation Office (PPEO)</b:InternetSiteTitle>
    <b:URL>https://www.cdc.gov/std/program/pupestd/types%20of%20evaluation.pdf</b:URL>
    <b:Author>
      <b:Author>
        <b:Corporate>Centers for Disease Control and Prevention</b:Corporate>
      </b:Author>
    </b:Author>
    <b:RefOrder>22</b:RefOrder>
  </b:Source>
  <b:Source>
    <b:Tag>Per19</b:Tag>
    <b:SourceType>Report</b:SourceType>
    <b:Guid>{6D9EC320-9C98-408E-B9FD-705F7A5D70E8}</b:Guid>
    <b:Author>
      <b:Author>
        <b:NameList>
          <b:Person>
            <b:Last>Perceval</b:Last>
            <b:First>Meg</b:First>
            <b:Middle>et al.</b:Middle>
          </b:Person>
        </b:NameList>
      </b:Author>
    </b:Author>
    <b:Title>Evaluation of the SCARF Well-Being and Suicide Prevention Program for Rural Australian Communities</b:Title>
    <b:Year>2019</b:Year>
    <b:RefOrder>23</b:RefOrder>
  </b:Source>
  <b:Source>
    <b:Tag>Lim16</b:Tag>
    <b:SourceType>Report</b:SourceType>
    <b:Guid>{F33892EE-EEE9-4779-A0C6-5DCA36F6A64D}</b:Guid>
    <b:Author>
      <b:Author>
        <b:NameList>
          <b:Person>
            <b:Last>Lim</b:Last>
            <b:First>Megan,</b:First>
            <b:Middle>S. C., et al.</b:Middle>
          </b:Person>
        </b:NameList>
      </b:Author>
    </b:Author>
    <b:Title>Reach, engagement, and effectiveness: a systematic review of evaluation methodologies used in health promotion via social networking sites</b:Title>
    <b:Year>2016</b:Year>
    <b:Publisher>Health Promotion Journal of Australia</b:Publisher>
    <b:RefOrder>24</b:RefOrder>
  </b:Source>
  <b:Source>
    <b:Tag>Edw16</b:Tag>
    <b:SourceType>Report</b:SourceType>
    <b:Guid>{E64E4D22-B20C-4FB0-9BC5-172D842226FE}</b:Guid>
    <b:Author>
      <b:Author>
        <b:NameList>
          <b:Person>
            <b:Last>Edwards</b:Last>
            <b:First>Barry</b:First>
            <b:Middle>et al.</b:Middle>
          </b:Person>
        </b:NameList>
      </b:Author>
    </b:Author>
    <b:Title>Building research and evaluation capacity in population health: the NSW Health approach</b:Title>
    <b:Year>2016</b:Year>
    <b:RefOrder>25</b:RefOrder>
  </b:Source>
  <b:Source>
    <b:Tag>Rah20</b:Tag>
    <b:SourceType>Report</b:SourceType>
    <b:Guid>{415EEF90-8C86-4BFD-A61E-A5C51365E7BC}</b:Guid>
    <b:Author>
      <b:Author>
        <b:NameList>
          <b:Person>
            <b:Last>Rahja</b:Last>
            <b:First>Miia</b:First>
            <b:Middle>et al.</b:Middle>
          </b:Person>
        </b:NameList>
      </b:Author>
    </b:Author>
    <b:Title>Some gain for a small investment: An economic evaluation of an exercise program for people living in residential aged care</b:Title>
    <b:Year>2020</b:Year>
    <b:RefOrder>26</b:RefOrder>
  </b:Source>
  <b:Source>
    <b:Tag>Lok17</b:Tag>
    <b:SourceType>Report</b:SourceType>
    <b:Guid>{7DA7A558-3AC3-4E1E-A945-2FA9C100BDAF}</b:Guid>
    <b:Author>
      <b:Author>
        <b:NameList>
          <b:Person>
            <b:Last>Lokuge</b:Last>
            <b:First>Kamalini</b:First>
            <b:Middle>et al.</b:Middle>
          </b:Person>
        </b:NameList>
      </b:Author>
    </b:Author>
    <b:Title>Indigenous health program evaluation design and methods in Australia: a systematic review of the evidence</b:Title>
    <b:Year>2017</b:Year>
    <b:Publisher>Australian and New Zealand Journal of Public Health</b:Publisher>
    <b:RefOrder>27</b:RefOrder>
  </b:Source>
  <b:Source>
    <b:Tag>NSW2016</b:Tag>
    <b:SourceType>DocumentFromInternetSite</b:SourceType>
    <b:Guid>{DE1FD55F-BF4C-4D43-AF02-615C2C7DA0CD}</b:Guid>
    <b:Author>
      <b:Author>
        <b:Corporate>NSW Government Department of Premier and Cabinet</b:Corporate>
      </b:Author>
    </b:Author>
    <b:Title>NSW Government Program Evaluation Guidelines</b:Title>
    <b:Year>2016</b:Year>
    <b:Month>January</b:Month>
    <b:URL>https://www.cveevaluation.nsw.gov.au/__data/assets/pdf_file/0007/771757/nsw-government-program-evaluation-guidelines.pdf</b:URL>
    <b:RefOrder>28</b:RefOrder>
  </b:Source>
  <b:Source>
    <b:Tag>Sco19</b:Tag>
    <b:SourceType>Book</b:SourceType>
    <b:Guid>{5A7A0272-C98A-45ED-8646-6A3A35490379}</b:Guid>
    <b:Author>
      <b:Author>
        <b:NameList>
          <b:Person>
            <b:Last>Scott</b:Last>
            <b:First>Theresa</b:First>
            <b:Middle>et al.</b:Middle>
          </b:Person>
        </b:NameList>
      </b:Author>
    </b:Author>
    <b:Title>Implementation and evaluation of a driving cessation intervention to improve community mobility and wellbeing outcomes for people living with dementia: study protocol of the 'CarFreeMe' for people with dementia program</b:Title>
    <b:Year>2019</b:Year>
    <b:Publisher>BMC Geriatric</b:Publisher>
    <b:RefOrder>29</b:RefOrder>
  </b:Source>
  <b:Source>
    <b:Tag>New20</b:Tag>
    <b:SourceType>Report</b:SourceType>
    <b:Guid>{1DAA529E-FEB7-4329-9438-AA8147972685}</b:Guid>
    <b:Author>
      <b:Author>
        <b:NameList>
          <b:Person>
            <b:Last>Newton</b:Last>
            <b:First>Danielle</b:First>
            <b:Middle>et al.</b:Middle>
          </b:Person>
        </b:NameList>
      </b:Author>
    </b:Author>
    <b:Title>A review of Evidence‐Based Evaluation of Measures for Assessing Social and Emotional Well‐Being in Indigenous Australians</b:Title>
    <b:Year>2020</b:Year>
    <b:Publisher>Australian Psychologist</b:Publisher>
    <b:RefOrder>30</b:RefOrder>
  </b:Source>
  <b:Source>
    <b:Tag>NSW19</b:Tag>
    <b:SourceType>DocumentFromInternetSite</b:SourceType>
    <b:Guid>{9CACB132-164E-4C5A-96FA-75CDA3D30E74}</b:Guid>
    <b:Title>Commissioning Evaluation Services: A Guide</b:Title>
    <b:Year>2019</b:Year>
    <b:Author>
      <b:Author>
        <b:Corporate>NSW Ministry of Health: Centre for Epidemiology and Evidence</b:Corporate>
      </b:Author>
    </b:Author>
    <b:InternetSiteTitle>NSW Health</b:InternetSiteTitle>
    <b:Month>September</b:Month>
    <b:URL>https://www.health.nsw.gov.au/research/Pages/evaluation-guide.aspx</b:URL>
    <b:RefOrder>31</b:RefOrder>
  </b:Source>
  <b:Source>
    <b:Tag>The20</b:Tag>
    <b:SourceType>Report</b:SourceType>
    <b:Guid>{FA5B1DC7-2F1B-4C7C-ADA8-3CBDF1740BC0}</b:Guid>
    <b:Author>
      <b:Author>
        <b:Corporate>The George Institute of Global Health, EY, The University of Sydney </b:Corporate>
      </b:Author>
    </b:Author>
    <b:Title>Evaluation of the Early Psychosis Youth Services Program</b:Title>
    <b:Year>2020</b:Year>
    <b:RefOrder>32</b:RefOrder>
  </b:Source>
  <b:Source>
    <b:Tag>Senrs</b:Tag>
    <b:SourceType>Report</b:SourceType>
    <b:Guid>{0CCD85DE-52F3-4CF5-A828-C878192FF270}</b:Guid>
    <b:Author>
      <b:Author>
        <b:NameList>
          <b:Person>
            <b:Last>Senanayake</b:Last>
            <b:First>Sameera</b:First>
            <b:Middle>et al.</b:Middle>
          </b:Person>
        </b:NameList>
      </b:Author>
    </b:Author>
    <b:Title>Impact and outcome evaluation of HealthPathways: a scoping review of published methodologies</b:Title>
    <b:Year>2021</b:Year>
    <b:Publisher>The Royal New Zealand College of General Practitioners</b:Publisher>
    <b:RefOrder>33</b:RefOrder>
  </b:Source>
  <b:Source>
    <b:Tag>NSW191</b:Tag>
    <b:SourceType>DocumentFromInternetSite</b:SourceType>
    <b:Guid>{CC06FF37-807E-434F-BC3B-338EFDE3CF2F}</b:Guid>
    <b:Author>
      <b:Author>
        <b:Corporate>NSW Ministry of Health, Centre for Epidemiology and Evidence</b:Corporate>
      </b:Author>
    </b:Author>
    <b:Title>Study Design for Evaluating Population Health and Health Service Interventions: A Guide</b:Title>
    <b:Year>2019</b:Year>
    <b:URL>https://www.health.nsw.gov.au/research/Publications/study-design-guide.pdf</b:URL>
    <b:RefOrder>34</b:RefOrder>
  </b:Source>
  <b:Source>
    <b:Tag>Tja17</b:Tag>
    <b:SourceType>Report</b:SourceType>
    <b:Guid>{B3E2EFDB-0257-45C4-92C7-1B5CE847F692}</b:Guid>
    <b:Author>
      <b:Author>
        <b:NameList>
          <b:Person>
            <b:Last>Tjalaminu</b:Last>
            <b:First>Mia</b:First>
            <b:Middle>et al.</b:Middle>
          </b:Person>
        </b:NameList>
      </b:Author>
    </b:Author>
    <b:Title>An Evaluation of the National Empowerement Project Cultural, Social, and Emotional Wellbeing Program</b:Title>
    <b:Year>2017</b:Year>
    <b:Publisher>Journal of Indigenous Wellbeing</b:Publisher>
    <b:RefOrder>35</b:RefOrder>
  </b:Source>
  <b:Source>
    <b:Tag>Sni15</b:Tag>
    <b:SourceType>Report</b:SourceType>
    <b:Guid>{663428C6-6D70-40C5-B83D-EE6EC2F8ACF5}</b:Guid>
    <b:Author>
      <b:Author>
        <b:NameList>
          <b:Person>
            <b:Last>Snijder</b:Last>
            <b:First>Mieke</b:First>
            <b:Middle>et al.</b:Middle>
          </b:Person>
        </b:NameList>
      </b:Author>
    </b:Author>
    <b:Title>A systematic review of studies evaluating Australian indigenous community development projects: the extent of community participation, their methodological quality and their outcomes</b:Title>
    <b:Year>2015</b:Year>
    <b:Publisher>BMC Public Health</b:Publisher>
    <b:RefOrder>36</b:RefOrder>
  </b:Source>
  <b:Source>
    <b:Tag>Que20</b:Tag>
    <b:SourceType>DocumentFromInternetSite</b:SourceType>
    <b:Guid>{E0E60C01-C8A5-4511-942C-805485AAE651}</b:Guid>
    <b:Author>
      <b:Author>
        <b:Corporate> Queensland Government Statistician's Office: Queensland Treasury</b:Corporate>
      </b:Author>
    </b:Author>
    <b:Title>Queensland Government Program Evaluation Guidelines, Second Edition</b:Title>
    <b:Year>2020</b:Year>
    <b:RefOrder>37</b:RefOrder>
  </b:Source>
  <b:Source>
    <b:Tag>Tra15</b:Tag>
    <b:SourceType>Report</b:SourceType>
    <b:Guid>{1773CD11-6CAF-4BD3-AC2A-959C8E668D05}</b:Guid>
    <b:Author>
      <b:Author>
        <b:NameList>
          <b:Person>
            <b:Last>Trankle</b:Last>
            <b:First>Steven</b:First>
            <b:Middle>et al.</b:Middle>
          </b:Person>
        </b:NameList>
      </b:Author>
    </b:Author>
    <b:Title>The Nepean Blue Mountains Partners in Recovery Evaluation</b:Title>
    <b:Year>2015</b:Year>
    <b:RefOrder>38</b:RefOrder>
  </b:Source>
  <b:Source>
    <b:Tag>Soc17</b:Tag>
    <b:SourceType>Report</b:SourceType>
    <b:Guid>{E175BCA6-C575-4314-87D9-85A6A7FC4E56}</b:Guid>
    <b:Title>Making sense of evaluation: A handbook for everyone</b:Title>
    <b:Year>2017</b:Year>
    <b:Author>
      <b:Author>
        <b:Corporate>New Zealand Government: Social Policy and Research Unit (Superu)</b:Corporate>
      </b:Author>
    </b:Author>
    <b:RefOrder>39</b:RefOrder>
  </b:Source>
  <b:Source>
    <b:Tag>Uni22</b:Tag>
    <b:SourceType>Report</b:SourceType>
    <b:Guid>{98DB0901-A60D-4AD4-8171-F512FE8655B7}</b:Guid>
    <b:Author>
      <b:Author>
        <b:Corporate>University of Queensland</b:Corporate>
      </b:Author>
    </b:Author>
    <b:Title>Evaluation of the Pharmaceutical Benefits Scheme Subsidised Take Home Naloxone Pilot</b:Title>
    <b:Year>2022</b:Year>
    <b:RefOrder>40</b:RefOrder>
  </b:Source>
  <b:Source>
    <b:Tag>UKE18</b:Tag>
    <b:SourceType>ElectronicSource</b:SourceType>
    <b:Guid>{F290A159-A7A7-4D95-8FC9-BB1B5B4A67A1}</b:Guid>
    <b:Title>Guidelines for Good Practice in Evaluation </b:Title>
    <b:Year>2018</b:Year>
    <b:Author>
      <b:Author>
        <b:Corporate>UK Evaluation Society</b:Corporate>
      </b:Author>
    </b:Author>
    <b:RefOrder>41</b:RefOrder>
  </b:Source>
  <b:Source>
    <b:Tag>Uni20</b:Tag>
    <b:SourceType>Report</b:SourceType>
    <b:Guid>{B133B426-5F5D-4CF7-AB8E-7B3EF39B296E}</b:Guid>
    <b:Author>
      <b:Author>
        <b:Corporate>University of Melbourne</b:Corporate>
      </b:Author>
    </b:Author>
    <b:Title>National Suicide Prevention Trial</b:Title>
    <b:Year>2020</b:Year>
    <b:RefOrder>42</b:RefOrder>
  </b:Source>
  <b:Source>
    <b:Tag>Vic10</b:Tag>
    <b:SourceType>DocumentFromInternetSite</b:SourceType>
    <b:Guid>{2BB19100-B235-437D-A880-D6C58C01DBBE}</b:Guid>
    <b:Author>
      <b:Author>
        <b:NameList>
          <b:Person>
            <b:Last>Victorian Government Department of Health</b:Last>
            <b:First>Prevention</b:First>
            <b:Middle>and Population Health Branch</b:Middle>
          </b:Person>
        </b:NameList>
      </b:Author>
    </b:Author>
    <b:Title>Evaluation framework for health promotion and disease prevention programs</b:Title>
    <b:Year>2010</b:Year>
    <b:URL>http://www.health.vic.gov.au/healthpromotion/evidence_evaluation/cdp_tools.htm</b:URL>
    <b:RefOrder>43</b:RefOrder>
  </b:Source>
  <b:Source>
    <b:Tag>Uni21</b:Tag>
    <b:SourceType>Report</b:SourceType>
    <b:Guid>{EB5372B6-37ED-46BE-9DE3-B1EBB49AB060}</b:Guid>
    <b:Author>
      <b:Author>
        <b:Corporate>University of Queensland</b:Corporate>
      </b:Author>
    </b:Author>
    <b:Title>Final report for the overarching evaluation of the National Support for Child and Youth Mental Health Program</b:Title>
    <b:Year>2021</b:Year>
    <b:RefOrder>44</b:RefOrder>
  </b:Source>
  <b:Source>
    <b:Tag>Vol07</b:Tag>
    <b:SourceType>Report</b:SourceType>
    <b:Guid>{0462219E-039A-44CD-932A-3C0A7B376D6A}</b:Guid>
    <b:Author>
      <b:Author>
        <b:NameList>
          <b:Person>
            <b:Last>Volkov</b:Last>
            <b:First>Boris</b:First>
            <b:Middle>B. et al.</b:Middle>
          </b:Person>
        </b:NameList>
      </b:Author>
    </b:Author>
    <b:Title>A Checklist for Building Organisational Evaluation Capacity</b:Title>
    <b:Year>2007</b:Year>
    <b:RefOrder>45</b:RefOrder>
  </b:Source>
  <b:Source>
    <b:Tag>Aus221</b:Tag>
    <b:SourceType>DocumentFromInternetSite</b:SourceType>
    <b:Guid>{3403004B-ED9F-4129-81D4-BA05A756C7F5}</b:Guid>
    <b:Author>
      <b:Author>
        <b:Corporate>Australian Government Department of Finance</b:Corporate>
      </b:Author>
    </b:Author>
    <b:Title>Evaluation in the Commonwealth (RMG 130)</b:Title>
    <b:Year>2022</b:Year>
    <b:Month>May</b:Month>
    <b:Day>23</b:Day>
    <b:URL>https://www.finance.gov.au/government/managing-commonwealth-resources/planning-and-reporting/commonwealth-performance-framework/evaluation-commonwealth-rmg-130</b:URL>
    <b:RefOrder>46</b:RefOrder>
  </b:Source>
</b:Sources>
</file>

<file path=customXml/itemProps1.xml><?xml version="1.0" encoding="utf-8"?>
<ds:datastoreItem xmlns:ds="http://schemas.openxmlformats.org/officeDocument/2006/customXml" ds:itemID="{E3F14586-2DDF-4522-A526-26245ADA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23390</Words>
  <Characters>133328</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2023-10-26T03:50:00Z</dcterms:created>
  <dcterms:modified xsi:type="dcterms:W3CDTF">2023-10-26T03:50:00Z</dcterms:modified>
</cp:coreProperties>
</file>