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90" w:type="dxa"/>
        <w:tblInd w:w="-108" w:type="dxa"/>
        <w:tblLook w:val="04A0" w:firstRow="1" w:lastRow="0" w:firstColumn="1" w:lastColumn="0" w:noHBand="0" w:noVBand="1"/>
      </w:tblPr>
      <w:tblGrid>
        <w:gridCol w:w="11090"/>
      </w:tblGrid>
      <w:tr w:rsidR="0031590B" w:rsidRPr="002F01D4" w14:paraId="69041D52" w14:textId="77777777" w:rsidTr="00DF79A6">
        <w:trPr>
          <w:trHeight w:val="9774"/>
        </w:trPr>
        <w:tc>
          <w:tcPr>
            <w:tcW w:w="11090" w:type="dxa"/>
          </w:tcPr>
          <w:p w14:paraId="00BAAC0C" w14:textId="77777777" w:rsidR="0031590B" w:rsidRPr="002F01D4" w:rsidRDefault="0031590B" w:rsidP="00DF79A6">
            <w:pPr>
              <w:pStyle w:val="Heading1"/>
              <w:rPr>
                <w:color w:val="FFFFFF" w:themeColor="background1"/>
              </w:rPr>
            </w:pPr>
            <w:bookmarkStart w:id="0" w:name="_Toc99652996"/>
            <w:bookmarkStart w:id="1" w:name="_Toc101536608"/>
            <w:bookmarkStart w:id="2" w:name="_Toc103944818"/>
            <w:bookmarkStart w:id="3" w:name="_Toc121096012"/>
            <w:bookmarkStart w:id="4" w:name="_GoBack"/>
          </w:p>
          <w:p w14:paraId="1466FAB7" w14:textId="77777777" w:rsidR="0031590B" w:rsidRPr="002F01D4" w:rsidRDefault="0031590B" w:rsidP="00DF79A6">
            <w:pPr>
              <w:pStyle w:val="Heading1"/>
              <w:rPr>
                <w:color w:val="FFFFFF" w:themeColor="background1"/>
              </w:rPr>
            </w:pPr>
          </w:p>
          <w:p w14:paraId="4DACF45B" w14:textId="77777777" w:rsidR="0031590B" w:rsidRPr="002F01D4" w:rsidRDefault="0031590B" w:rsidP="00DF79A6">
            <w:pPr>
              <w:pStyle w:val="Heading1"/>
              <w:rPr>
                <w:color w:val="FFFFFF" w:themeColor="background1"/>
              </w:rPr>
            </w:pPr>
          </w:p>
          <w:p w14:paraId="7F271D09" w14:textId="77777777" w:rsidR="0031590B" w:rsidRPr="001A1C1E" w:rsidRDefault="0031590B" w:rsidP="00DF79A6">
            <w:pPr>
              <w:pStyle w:val="Heading1"/>
              <w:jc w:val="left"/>
              <w:rPr>
                <w:color w:val="FFFFFF" w:themeColor="background1"/>
                <w:sz w:val="72"/>
                <w:szCs w:val="72"/>
              </w:rPr>
            </w:pPr>
            <w:bookmarkStart w:id="5" w:name="_Toc165018119"/>
            <w:r w:rsidRPr="001A1C1E">
              <w:rPr>
                <w:color w:val="FFFFFF" w:themeColor="background1"/>
                <w:sz w:val="72"/>
                <w:szCs w:val="72"/>
              </w:rPr>
              <w:t>Technical Report</w:t>
            </w:r>
            <w:bookmarkEnd w:id="5"/>
          </w:p>
          <w:p w14:paraId="1A91DFDA" w14:textId="77777777" w:rsidR="0031590B" w:rsidRPr="001A1C1E" w:rsidRDefault="0031590B" w:rsidP="00DF79A6">
            <w:pPr>
              <w:pStyle w:val="Heading1"/>
              <w:jc w:val="left"/>
              <w:rPr>
                <w:color w:val="FFFFFF" w:themeColor="background1"/>
              </w:rPr>
            </w:pPr>
          </w:p>
          <w:p w14:paraId="69457227" w14:textId="77777777" w:rsidR="0031590B" w:rsidRPr="001A1C1E" w:rsidRDefault="0031590B" w:rsidP="00DF79A6">
            <w:pPr>
              <w:pStyle w:val="Heading1"/>
              <w:jc w:val="left"/>
              <w:rPr>
                <w:color w:val="FFFFFF" w:themeColor="background1"/>
              </w:rPr>
            </w:pPr>
          </w:p>
          <w:p w14:paraId="283938B5" w14:textId="77777777" w:rsidR="0031590B" w:rsidRPr="001A1C1E" w:rsidRDefault="0031590B" w:rsidP="00DF79A6">
            <w:pPr>
              <w:pStyle w:val="Heading1"/>
              <w:jc w:val="left"/>
              <w:rPr>
                <w:color w:val="FFFFFF" w:themeColor="background1"/>
                <w:sz w:val="28"/>
                <w:szCs w:val="28"/>
              </w:rPr>
            </w:pPr>
            <w:bookmarkStart w:id="6" w:name="_Toc165018120"/>
            <w:r w:rsidRPr="001A1C1E">
              <w:rPr>
                <w:color w:val="FFFFFF" w:themeColor="background1"/>
                <w:sz w:val="28"/>
                <w:szCs w:val="28"/>
              </w:rPr>
              <w:t>Emerging and Adjunct Treatments for Common Mental Health Conditions Affecting Veterans:</w:t>
            </w:r>
            <w:bookmarkEnd w:id="6"/>
            <w:r w:rsidRPr="001A1C1E">
              <w:rPr>
                <w:color w:val="FFFFFF" w:themeColor="background1"/>
                <w:sz w:val="28"/>
                <w:szCs w:val="28"/>
              </w:rPr>
              <w:t xml:space="preserve"> </w:t>
            </w:r>
          </w:p>
          <w:p w14:paraId="364138DE" w14:textId="77777777" w:rsidR="0031590B" w:rsidRPr="001A1C1E" w:rsidRDefault="0031590B" w:rsidP="00DF79A6">
            <w:pPr>
              <w:pStyle w:val="Heading1"/>
              <w:jc w:val="left"/>
              <w:rPr>
                <w:color w:val="FFFFFF" w:themeColor="background1"/>
                <w:sz w:val="28"/>
                <w:szCs w:val="28"/>
              </w:rPr>
            </w:pPr>
            <w:bookmarkStart w:id="7" w:name="_Toc165018121"/>
            <w:r w:rsidRPr="001A1C1E">
              <w:rPr>
                <w:color w:val="FFFFFF" w:themeColor="background1"/>
                <w:sz w:val="28"/>
                <w:szCs w:val="28"/>
              </w:rPr>
              <w:t>A Rapid Evidence Assessment</w:t>
            </w:r>
            <w:bookmarkEnd w:id="7"/>
          </w:p>
          <w:p w14:paraId="7F2F7091" w14:textId="77777777" w:rsidR="0031590B" w:rsidRPr="001A1C1E" w:rsidRDefault="0031590B" w:rsidP="00DF79A6">
            <w:pPr>
              <w:pStyle w:val="Heading1"/>
              <w:jc w:val="left"/>
              <w:rPr>
                <w:color w:val="FFFFFF" w:themeColor="background1"/>
              </w:rPr>
            </w:pPr>
          </w:p>
          <w:p w14:paraId="59FE554C" w14:textId="60F2BF8D" w:rsidR="0031590B" w:rsidRDefault="0031590B" w:rsidP="00DF79A6">
            <w:pPr>
              <w:pStyle w:val="Heading1"/>
              <w:pBdr>
                <w:top w:val="single" w:sz="12" w:space="1" w:color="FFFFFF" w:themeColor="background1"/>
                <w:bottom w:val="single" w:sz="12" w:space="1" w:color="FFFFFF" w:themeColor="background1"/>
              </w:pBdr>
              <w:spacing w:line="276" w:lineRule="auto"/>
              <w:jc w:val="left"/>
              <w:rPr>
                <w:color w:val="FFFFFF" w:themeColor="background1"/>
              </w:rPr>
            </w:pPr>
            <w:bookmarkStart w:id="8" w:name="_Toc165018122"/>
            <w:r w:rsidRPr="0031590B">
              <w:rPr>
                <w:rFonts w:cstheme="majorHAnsi"/>
                <w:color w:val="FFFFFF" w:themeColor="background1"/>
                <w:sz w:val="72"/>
              </w:rPr>
              <w:t>Medicinal Cannabis Interventions</w:t>
            </w:r>
            <w:bookmarkEnd w:id="8"/>
          </w:p>
          <w:p w14:paraId="0D1B30BC" w14:textId="77777777" w:rsidR="0031590B" w:rsidRDefault="0031590B" w:rsidP="00DF79A6">
            <w:pPr>
              <w:pStyle w:val="Heading1"/>
              <w:rPr>
                <w:color w:val="FFFFFF" w:themeColor="background1"/>
              </w:rPr>
            </w:pPr>
          </w:p>
          <w:p w14:paraId="672953E4" w14:textId="77777777" w:rsidR="0031590B" w:rsidRDefault="0031590B" w:rsidP="00DF79A6">
            <w:pPr>
              <w:pStyle w:val="Heading1"/>
              <w:rPr>
                <w:color w:val="FFFFFF" w:themeColor="background1"/>
              </w:rPr>
            </w:pPr>
            <w:r w:rsidRPr="002F01D4">
              <w:rPr>
                <w:color w:val="FFFFFF" w:themeColor="background1"/>
              </w:rPr>
              <w:tab/>
            </w:r>
          </w:p>
          <w:p w14:paraId="3784497D" w14:textId="77777777" w:rsidR="0031590B" w:rsidRPr="00C55295" w:rsidRDefault="0031590B" w:rsidP="00DF79A6">
            <w:pPr>
              <w:pStyle w:val="Heading1"/>
              <w:rPr>
                <w:b/>
                <w:color w:val="FFFFFF" w:themeColor="background1"/>
              </w:rPr>
            </w:pPr>
          </w:p>
        </w:tc>
      </w:tr>
    </w:tbl>
    <w:bookmarkStart w:id="9" w:name="_Toc165018123"/>
    <w:bookmarkEnd w:id="4"/>
    <w:p w14:paraId="5DE5B59E" w14:textId="77777777" w:rsidR="0031590B" w:rsidRPr="002F01D4" w:rsidRDefault="0031590B" w:rsidP="0031590B">
      <w:pPr>
        <w:pStyle w:val="Heading1"/>
        <w:rPr>
          <w:color w:val="FFFFFF" w:themeColor="background1"/>
        </w:rPr>
      </w:pPr>
      <w:r>
        <w:rPr>
          <w:noProof/>
          <w:lang w:eastAsia="en-AU"/>
        </w:rPr>
        <mc:AlternateContent>
          <mc:Choice Requires="wps">
            <w:drawing>
              <wp:anchor distT="0" distB="0" distL="114300" distR="114300" simplePos="0" relativeHeight="251663361" behindDoc="1" locked="0" layoutInCell="1" allowOverlap="1" wp14:anchorId="4A8F21B2" wp14:editId="48B56054">
                <wp:simplePos x="0" y="0"/>
                <wp:positionH relativeFrom="column">
                  <wp:posOffset>-704215</wp:posOffset>
                </wp:positionH>
                <wp:positionV relativeFrom="paragraph">
                  <wp:posOffset>-6911248</wp:posOffset>
                </wp:positionV>
                <wp:extent cx="7853082" cy="10829581"/>
                <wp:effectExtent l="0" t="0" r="14605" b="10160"/>
                <wp:wrapNone/>
                <wp:docPr id="10" name="Rectangle 10" title="Decorative"/>
                <wp:cNvGraphicFramePr/>
                <a:graphic xmlns:a="http://schemas.openxmlformats.org/drawingml/2006/main">
                  <a:graphicData uri="http://schemas.microsoft.com/office/word/2010/wordprocessingShape">
                    <wps:wsp>
                      <wps:cNvSpPr/>
                      <wps:spPr>
                        <a:xfrm>
                          <a:off x="0" y="0"/>
                          <a:ext cx="7853082" cy="10829581"/>
                        </a:xfrm>
                        <a:prstGeom prst="rect">
                          <a:avLst/>
                        </a:prstGeom>
                        <a:solidFill>
                          <a:srgbClr val="00518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6618D" id="Rectangle 10" o:spid="_x0000_s1026" alt="Title: Decorative" style="position:absolute;margin-left:-55.45pt;margin-top:-544.2pt;width:618.35pt;height:852.7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" fillcolor="#005183" strokecolor="#1f4d78 [1604]" strokeweight="1pt"/>
            </w:pict>
          </mc:Fallback>
        </mc:AlternateContent>
      </w:r>
      <w:bookmarkEnd w:id="9"/>
    </w:p>
    <w:p w14:paraId="50755EA4" w14:textId="77777777" w:rsidR="0031590B" w:rsidRDefault="0031590B" w:rsidP="0031590B">
      <w:pPr>
        <w:pStyle w:val="Heading1"/>
        <w:rPr>
          <w:lang w:val="en-US"/>
        </w:rPr>
      </w:pPr>
    </w:p>
    <w:p w14:paraId="41BC972A" w14:textId="77777777" w:rsidR="0031590B" w:rsidRDefault="0031590B" w:rsidP="0031590B">
      <w:pPr>
        <w:rPr>
          <w:lang w:val="en-US"/>
        </w:rPr>
      </w:pPr>
    </w:p>
    <w:p w14:paraId="7AFFFB13" w14:textId="465A8D7C" w:rsidR="0031590B" w:rsidRPr="002E5DB7" w:rsidRDefault="0031590B" w:rsidP="0031590B">
      <w:pPr>
        <w:rPr>
          <w:b/>
          <w:color w:val="FFFFFF" w:themeColor="background1"/>
          <w:sz w:val="40"/>
          <w:lang w:val="en-US"/>
        </w:rPr>
      </w:pPr>
      <w:r w:rsidRPr="002E5DB7">
        <w:rPr>
          <w:b/>
          <w:color w:val="FFFFFF" w:themeColor="background1"/>
          <w:sz w:val="40"/>
          <w:lang w:val="en-US"/>
        </w:rPr>
        <w:t>202</w:t>
      </w:r>
      <w:r w:rsidR="003D4E73">
        <w:rPr>
          <w:b/>
          <w:color w:val="FFFFFF" w:themeColor="background1"/>
          <w:sz w:val="40"/>
          <w:lang w:val="en-US"/>
        </w:rPr>
        <w:t>4</w:t>
      </w:r>
    </w:p>
    <w:p w14:paraId="494FF96B" w14:textId="77777777" w:rsidR="0031590B" w:rsidRDefault="0031590B" w:rsidP="0031590B">
      <w:pPr>
        <w:rPr>
          <w:lang w:val="en-US"/>
        </w:rPr>
      </w:pPr>
    </w:p>
    <w:p w14:paraId="1C205EE8" w14:textId="77777777" w:rsidR="0031590B" w:rsidRDefault="0031590B" w:rsidP="0031590B">
      <w:pPr>
        <w:rPr>
          <w:lang w:val="en-US"/>
        </w:rPr>
      </w:pPr>
    </w:p>
    <w:p w14:paraId="20E5A660" w14:textId="77777777" w:rsidR="0031590B" w:rsidRDefault="0031590B" w:rsidP="0031590B">
      <w:pPr>
        <w:rPr>
          <w:lang w:val="en-US"/>
        </w:rPr>
      </w:pPr>
    </w:p>
    <w:p w14:paraId="252C7E47" w14:textId="77777777" w:rsidR="0031590B" w:rsidRDefault="0031590B" w:rsidP="0031590B">
      <w:pPr>
        <w:rPr>
          <w:lang w:val="en-US"/>
        </w:rPr>
      </w:pPr>
    </w:p>
    <w:p w14:paraId="36F5359F" w14:textId="77777777" w:rsidR="0031590B" w:rsidRDefault="0031590B" w:rsidP="0031590B">
      <w:pPr>
        <w:rPr>
          <w:lang w:val="en-US"/>
        </w:rPr>
      </w:pPr>
      <w:r>
        <w:rPr>
          <w:noProof/>
          <w:color w:val="FFFFFF" w:themeColor="background1"/>
          <w:lang w:eastAsia="en-AU"/>
        </w:rPr>
        <w:drawing>
          <wp:anchor distT="0" distB="0" distL="114300" distR="114300" simplePos="0" relativeHeight="251664385" behindDoc="0" locked="0" layoutInCell="1" allowOverlap="1" wp14:anchorId="2A5A4655" wp14:editId="6DE69ED6">
            <wp:simplePos x="0" y="0"/>
            <wp:positionH relativeFrom="margin">
              <wp:posOffset>3453765</wp:posOffset>
            </wp:positionH>
            <wp:positionV relativeFrom="margin">
              <wp:posOffset>8832062</wp:posOffset>
            </wp:positionV>
            <wp:extent cx="3197812" cy="626356"/>
            <wp:effectExtent l="0" t="0" r="3175" b="2540"/>
            <wp:wrapNone/>
            <wp:docPr id="11" name="Picture 11" title="Gallipoli Medical Research Foundation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MRF LOGO inverse_NO GRAPHIC_no slogan.png"/>
                    <pic:cNvPicPr/>
                  </pic:nvPicPr>
                  <pic:blipFill>
                    <a:blip r:embed="rId11">
                      <a:extLst>
                        <a:ext uri="{28A0092B-C50C-407E-A947-70E740481C1C}">
                          <a14:useLocalDpi xmlns:a14="http://schemas.microsoft.com/office/drawing/2010/main" val="0"/>
                        </a:ext>
                      </a:extLst>
                    </a:blip>
                    <a:stretch>
                      <a:fillRect/>
                    </a:stretch>
                  </pic:blipFill>
                  <pic:spPr>
                    <a:xfrm>
                      <a:off x="0" y="0"/>
                      <a:ext cx="3197812" cy="626356"/>
                    </a:xfrm>
                    <a:prstGeom prst="rect">
                      <a:avLst/>
                    </a:prstGeom>
                  </pic:spPr>
                </pic:pic>
              </a:graphicData>
            </a:graphic>
            <wp14:sizeRelH relativeFrom="margin">
              <wp14:pctWidth>0</wp14:pctWidth>
            </wp14:sizeRelH>
            <wp14:sizeRelV relativeFrom="margin">
              <wp14:pctHeight>0</wp14:pctHeight>
            </wp14:sizeRelV>
          </wp:anchor>
        </w:drawing>
      </w:r>
    </w:p>
    <w:p w14:paraId="7816E7B4" w14:textId="77777777" w:rsidR="0031590B" w:rsidRDefault="0031590B" w:rsidP="0031590B">
      <w:pPr>
        <w:rPr>
          <w:lang w:val="en-US"/>
        </w:rPr>
      </w:pPr>
    </w:p>
    <w:p w14:paraId="21C3E784" w14:textId="77777777" w:rsidR="0031590B" w:rsidRDefault="0031590B" w:rsidP="0031590B">
      <w:pPr>
        <w:rPr>
          <w:lang w:val="en-US"/>
        </w:rPr>
      </w:pPr>
    </w:p>
    <w:p w14:paraId="739587FE" w14:textId="77777777" w:rsidR="0031590B" w:rsidRPr="002E5DB7" w:rsidRDefault="0031590B" w:rsidP="0031590B">
      <w:pPr>
        <w:rPr>
          <w:lang w:val="en-US"/>
        </w:rPr>
        <w:sectPr w:rsidR="0031590B" w:rsidRPr="002E5DB7" w:rsidSect="00AA7189">
          <w:headerReference w:type="default" r:id="rId12"/>
          <w:footerReference w:type="default" r:id="rId13"/>
          <w:pgSz w:w="11906" w:h="16838"/>
          <w:pgMar w:top="720" w:right="720" w:bottom="720" w:left="720" w:header="708" w:footer="708" w:gutter="0"/>
          <w:cols w:space="708"/>
          <w:docGrid w:linePitch="360"/>
        </w:sectPr>
      </w:pPr>
    </w:p>
    <w:p w14:paraId="2AEB73AA" w14:textId="4FFA77BB" w:rsidR="004D0865" w:rsidRDefault="004D0865" w:rsidP="004D0865">
      <w:pPr>
        <w:pStyle w:val="Heading2"/>
        <w:rPr>
          <w:lang w:val="en-US"/>
        </w:rPr>
      </w:pPr>
      <w:bookmarkStart w:id="10" w:name="_Toc165018124"/>
      <w:bookmarkStart w:id="11" w:name="_Toc99653002"/>
      <w:bookmarkStart w:id="12" w:name="_Toc101536615"/>
      <w:bookmarkStart w:id="13" w:name="_Toc103944825"/>
      <w:bookmarkStart w:id="14" w:name="_Toc121096017"/>
      <w:bookmarkEnd w:id="0"/>
      <w:bookmarkEnd w:id="1"/>
      <w:bookmarkEnd w:id="2"/>
      <w:bookmarkEnd w:id="3"/>
      <w:r>
        <w:rPr>
          <w:lang w:val="en-US"/>
        </w:rPr>
        <w:lastRenderedPageBreak/>
        <w:t>Technical Report (202</w:t>
      </w:r>
      <w:r w:rsidR="003D4E73">
        <w:rPr>
          <w:lang w:val="en-US"/>
        </w:rPr>
        <w:t>4</w:t>
      </w:r>
      <w:r>
        <w:rPr>
          <w:lang w:val="en-US"/>
        </w:rPr>
        <w:t>)</w:t>
      </w:r>
      <w:bookmarkEnd w:id="10"/>
    </w:p>
    <w:p w14:paraId="25C0FAC1" w14:textId="014EB50B" w:rsidR="004D0865" w:rsidRDefault="004D0865" w:rsidP="004D0865">
      <w:pPr>
        <w:jc w:val="both"/>
      </w:pPr>
      <w:bookmarkStart w:id="15" w:name="_Toc121689226"/>
      <w:r>
        <w:rPr>
          <w:lang w:val="en-US"/>
        </w:rPr>
        <w:t>Emerging and Adjunct Treatments for Common Mental Health Conditions Affecting Veterans: A Rapid Evidence Assessment</w:t>
      </w:r>
      <w:bookmarkEnd w:id="15"/>
      <w:r>
        <w:rPr>
          <w:lang w:val="en-US"/>
        </w:rPr>
        <w:t xml:space="preserve"> – </w:t>
      </w:r>
      <w:bookmarkStart w:id="16" w:name="_Toc102037341"/>
      <w:bookmarkStart w:id="17" w:name="_Toc102143169"/>
      <w:bookmarkStart w:id="18" w:name="_Toc121689227"/>
      <w:r>
        <w:rPr>
          <w:lang w:val="en-US"/>
        </w:rPr>
        <w:t xml:space="preserve">Medicinal Cannabis </w:t>
      </w:r>
      <w:r>
        <w:t>Interventions</w:t>
      </w:r>
      <w:bookmarkEnd w:id="16"/>
      <w:bookmarkEnd w:id="17"/>
      <w:bookmarkEnd w:id="18"/>
      <w:r>
        <w:t>.</w:t>
      </w:r>
    </w:p>
    <w:p w14:paraId="7E7C5786" w14:textId="77777777" w:rsidR="00BB0D21" w:rsidRPr="009B4D43" w:rsidRDefault="00BB0D21" w:rsidP="00BB0D21">
      <w:pPr>
        <w:pStyle w:val="Heading2"/>
      </w:pPr>
      <w:bookmarkStart w:id="19" w:name="_Toc165018125"/>
      <w:r w:rsidRPr="009B4D43">
        <w:t>Disclaimer</w:t>
      </w:r>
      <w:bookmarkEnd w:id="11"/>
      <w:bookmarkEnd w:id="12"/>
      <w:bookmarkEnd w:id="13"/>
      <w:bookmarkEnd w:id="14"/>
      <w:bookmarkEnd w:id="19"/>
    </w:p>
    <w:p w14:paraId="03369AE8" w14:textId="12FA84B9" w:rsidR="00BB0D21" w:rsidRPr="009B4D43" w:rsidRDefault="00BB0D21" w:rsidP="00BB0D21">
      <w:pPr>
        <w:jc w:val="both"/>
      </w:pPr>
      <w:r w:rsidRPr="009B4D43">
        <w:t>The materials contained in this report (including the articles selected and analyses conducted) are the responsibility of the Gallipoli Medical Research Foundation, and do not necessarily reflect the views of the Australian Government. The Gallipoli Medical Research Foundation does not endorse any approach presented in the report. The evidence in the report is based on peer-reviewed literature that was indexed in electronic databases, and published in scientific journals, during the period 1 January 2017 to 8 February 2022. It is recommended that the reader consider evidence published before and after these dates. Sources of evidence that were excluded from the report include non-English language literature, non-peer-reviewed literature (e.g., reports), and other information in the public domain (e.g., newspapers, websites</w:t>
      </w:r>
      <w:r w:rsidR="003B13D6">
        <w:t>,</w:t>
      </w:r>
      <w:r w:rsidRPr="009B4D43">
        <w:t xml:space="preserve"> and blogs).</w:t>
      </w:r>
    </w:p>
    <w:p w14:paraId="60E1670F" w14:textId="77777777" w:rsidR="00BB0D21" w:rsidRPr="009B4D43" w:rsidRDefault="00BB0D21" w:rsidP="00BB0D21"/>
    <w:p w14:paraId="423B8DCF" w14:textId="77777777" w:rsidR="00BB0D21" w:rsidRPr="009B4D43" w:rsidRDefault="00BB0D21" w:rsidP="00BB0D21"/>
    <w:p w14:paraId="01BC0323" w14:textId="77777777" w:rsidR="00BB0D21" w:rsidRPr="009B4D43" w:rsidRDefault="00BB0D21" w:rsidP="00BB0D21"/>
    <w:p w14:paraId="24D10D63" w14:textId="77777777" w:rsidR="00BB0D21" w:rsidRPr="009B4D43" w:rsidRDefault="00BB0D21" w:rsidP="00BB0D21"/>
    <w:p w14:paraId="02FB673D" w14:textId="77777777" w:rsidR="00BB0D21" w:rsidRPr="009B4D43" w:rsidRDefault="00BB0D21" w:rsidP="00BB0D21"/>
    <w:p w14:paraId="01B4323B" w14:textId="77777777" w:rsidR="00BB0D21" w:rsidRPr="009B4D43" w:rsidRDefault="00BB0D21" w:rsidP="00BB0D21"/>
    <w:p w14:paraId="7072B447" w14:textId="164A77EA" w:rsidR="00AF2FC4" w:rsidRPr="00C52342" w:rsidRDefault="00AF2FC4" w:rsidP="00AF2FC4">
      <w:pPr>
        <w:jc w:val="both"/>
      </w:pPr>
      <w:r w:rsidRPr="00516102">
        <w:t xml:space="preserve">ISBN </w:t>
      </w:r>
      <w:r w:rsidR="00516102" w:rsidRPr="00516102">
        <w:t>978-0-6486329-1-7</w:t>
      </w:r>
    </w:p>
    <w:p w14:paraId="7B7B0059" w14:textId="45DCBDFC" w:rsidR="00AF2FC4" w:rsidRDefault="00AF2FC4" w:rsidP="00AF2FC4">
      <w:pPr>
        <w:jc w:val="both"/>
      </w:pPr>
      <w:r>
        <w:t>© Commonwealth of Australia 202</w:t>
      </w:r>
      <w:r w:rsidR="000F3CB7">
        <w:t>4</w:t>
      </w:r>
      <w:r>
        <w:t xml:space="preserve"> </w:t>
      </w:r>
    </w:p>
    <w:p w14:paraId="38C96093" w14:textId="77777777" w:rsidR="00AF2FC4" w:rsidRDefault="00AF2FC4" w:rsidP="00AF2FC4">
      <w:pPr>
        <w:jc w:val="both"/>
      </w:pPr>
      <w:r>
        <w:t xml:space="preserve">Unless otherwise noted, copyright (and other intellectual property rights, if any) in this publication is owned by the Commonwealth of Australia. </w:t>
      </w:r>
    </w:p>
    <w:p w14:paraId="208AC630" w14:textId="77777777" w:rsidR="00AF2FC4" w:rsidRDefault="00AF2FC4" w:rsidP="00AF2FC4">
      <w:pPr>
        <w:jc w:val="both"/>
      </w:pPr>
      <w:r>
        <w:t xml:space="preserve">This publication is licensed under a Creative Commons Attribution 4.0 International (CC BY 4.0). The Creative Commons 4.0 International Licence is a standard form licence agreement that allows you to copy, distribute, transmit and adapt this publication provided that you attribute the work. </w:t>
      </w:r>
    </w:p>
    <w:p w14:paraId="06E1F0AA" w14:textId="77777777" w:rsidR="00AF2FC4" w:rsidRDefault="00AF2FC4" w:rsidP="00AF2FC4">
      <w:pPr>
        <w:jc w:val="both"/>
      </w:pPr>
      <w:r>
        <w:t xml:space="preserve">The full licence terms are available from: </w:t>
      </w:r>
      <w:hyperlink r:id="rId14" w:history="1">
        <w:r>
          <w:rPr>
            <w:rStyle w:val="Hyperlink"/>
          </w:rPr>
          <w:t>https://creativecommons.org/licenses/by/4.0/</w:t>
        </w:r>
      </w:hyperlink>
    </w:p>
    <w:p w14:paraId="24DA5957" w14:textId="77777777" w:rsidR="00AF2FC4" w:rsidRDefault="00AF2FC4" w:rsidP="00AF2FC4">
      <w:pPr>
        <w:spacing w:after="0" w:line="240" w:lineRule="auto"/>
        <w:jc w:val="both"/>
      </w:pPr>
      <w:r>
        <w:t>Requests and enquiries concerning reproduction and rights should be addressed to:</w:t>
      </w:r>
    </w:p>
    <w:p w14:paraId="67A21F31" w14:textId="77777777" w:rsidR="00AF2FC4" w:rsidRDefault="00AF2FC4" w:rsidP="00AF2FC4">
      <w:pPr>
        <w:spacing w:after="0" w:line="240" w:lineRule="auto"/>
        <w:jc w:val="both"/>
      </w:pPr>
      <w:r>
        <w:t xml:space="preserve"> </w:t>
      </w:r>
    </w:p>
    <w:p w14:paraId="51938AAB" w14:textId="77777777" w:rsidR="00AF2FC4" w:rsidRDefault="00AF2FC4" w:rsidP="00AF2FC4">
      <w:pPr>
        <w:spacing w:after="0" w:line="240" w:lineRule="auto"/>
        <w:ind w:left="720"/>
        <w:jc w:val="both"/>
      </w:pPr>
      <w:r>
        <w:t xml:space="preserve">The Department of Veterans’ Affairs </w:t>
      </w:r>
    </w:p>
    <w:p w14:paraId="243BA33B" w14:textId="77777777" w:rsidR="00AF2FC4" w:rsidRDefault="00AF2FC4" w:rsidP="00AF2FC4">
      <w:pPr>
        <w:spacing w:after="0" w:line="240" w:lineRule="auto"/>
        <w:ind w:left="720"/>
        <w:jc w:val="both"/>
      </w:pPr>
      <w:r>
        <w:t xml:space="preserve">GPO Box 9998 </w:t>
      </w:r>
    </w:p>
    <w:p w14:paraId="1EF1D17F" w14:textId="77777777" w:rsidR="00AF2FC4" w:rsidRDefault="00AF2FC4" w:rsidP="00AF2FC4">
      <w:pPr>
        <w:spacing w:after="0" w:line="240" w:lineRule="auto"/>
        <w:ind w:left="720"/>
        <w:jc w:val="both"/>
      </w:pPr>
      <w:r>
        <w:t xml:space="preserve">Brisbane QLD 4001 </w:t>
      </w:r>
    </w:p>
    <w:p w14:paraId="3DFEBE6B" w14:textId="77777777" w:rsidR="00AF2FC4" w:rsidRDefault="00AF2FC4" w:rsidP="00AF2FC4">
      <w:pPr>
        <w:spacing w:after="0" w:line="240" w:lineRule="auto"/>
        <w:ind w:left="720"/>
        <w:jc w:val="both"/>
      </w:pPr>
    </w:p>
    <w:p w14:paraId="70DBDB12" w14:textId="77777777" w:rsidR="00AF2FC4" w:rsidRDefault="00AF2FC4" w:rsidP="00AF2FC4">
      <w:pPr>
        <w:spacing w:after="0" w:line="240" w:lineRule="auto"/>
        <w:ind w:left="720"/>
        <w:jc w:val="both"/>
        <w:rPr>
          <w:rStyle w:val="Hyperlink"/>
        </w:rPr>
      </w:pPr>
      <w:r>
        <w:t xml:space="preserve">or emailed to: </w:t>
      </w:r>
      <w:hyperlink r:id="rId15" w:history="1">
        <w:r>
          <w:rPr>
            <w:rStyle w:val="Hyperlink"/>
          </w:rPr>
          <w:t>publications@dva.gov.au</w:t>
        </w:r>
      </w:hyperlink>
    </w:p>
    <w:p w14:paraId="3D703754" w14:textId="77777777" w:rsidR="00AF2FC4" w:rsidRDefault="00AF2FC4" w:rsidP="00AF2FC4">
      <w:pPr>
        <w:spacing w:after="0" w:line="240" w:lineRule="auto"/>
        <w:ind w:left="720"/>
        <w:jc w:val="both"/>
        <w:rPr>
          <w:rStyle w:val="Hyperlink"/>
        </w:rPr>
      </w:pPr>
    </w:p>
    <w:p w14:paraId="150759AD" w14:textId="77777777" w:rsidR="00AF2FC4" w:rsidRDefault="00AF2FC4" w:rsidP="00AF2FC4">
      <w:pPr>
        <w:spacing w:after="0" w:line="240" w:lineRule="auto"/>
        <w:jc w:val="both"/>
      </w:pPr>
      <w:r>
        <w:t xml:space="preserve">Suggested reference: </w:t>
      </w:r>
    </w:p>
    <w:p w14:paraId="5607F240" w14:textId="77777777" w:rsidR="00AF2FC4" w:rsidRDefault="00AF2FC4" w:rsidP="00AF2FC4">
      <w:pPr>
        <w:spacing w:after="0" w:line="240" w:lineRule="auto"/>
        <w:jc w:val="both"/>
      </w:pPr>
    </w:p>
    <w:p w14:paraId="5671AEAC" w14:textId="3A0140FA" w:rsidR="00035390" w:rsidRPr="001B4CA9" w:rsidRDefault="00035390" w:rsidP="00F62917">
      <w:pPr>
        <w:pStyle w:val="NoSpacing"/>
        <w:jc w:val="both"/>
        <w:rPr>
          <w:szCs w:val="20"/>
          <w:lang w:val="en-US"/>
        </w:rPr>
      </w:pPr>
      <w:r w:rsidRPr="00F62917">
        <w:rPr>
          <w:sz w:val="20"/>
          <w:szCs w:val="20"/>
        </w:rPr>
        <w:t>Maguire, A. M., Beilby, H., Soole, R., Tabinga, A., Barker, N., Fear, N. T., Kenardy, J., Tuffaha, H., &amp; Khoo, A. (202</w:t>
      </w:r>
      <w:r w:rsidR="003D4E73">
        <w:rPr>
          <w:sz w:val="20"/>
          <w:szCs w:val="20"/>
        </w:rPr>
        <w:t>4</w:t>
      </w:r>
      <w:r w:rsidRPr="00F62917">
        <w:rPr>
          <w:sz w:val="20"/>
          <w:szCs w:val="20"/>
        </w:rPr>
        <w:t xml:space="preserve">). </w:t>
      </w:r>
      <w:r w:rsidRPr="00F62917">
        <w:rPr>
          <w:i/>
          <w:iCs/>
          <w:sz w:val="20"/>
          <w:szCs w:val="20"/>
        </w:rPr>
        <w:t>Emerging and adjunct treatments for common mental health conditions affecting veterans: A rapid evidence assessment – Medicinal cannabis interventions</w:t>
      </w:r>
      <w:r w:rsidRPr="00F62917">
        <w:rPr>
          <w:sz w:val="20"/>
          <w:szCs w:val="20"/>
        </w:rPr>
        <w:t>. Technical report prepared by Gallipoli Medical Research Foundation for the Department of Veterans’ Affairs, Australian Government. Canberra: Commonwealth of Australia.</w:t>
      </w:r>
    </w:p>
    <w:p w14:paraId="40D87C86" w14:textId="77777777" w:rsidR="00AF2FC4" w:rsidRDefault="00AF2FC4" w:rsidP="00AF2FC4">
      <w:pPr>
        <w:spacing w:after="0" w:line="240" w:lineRule="auto"/>
        <w:jc w:val="both"/>
      </w:pPr>
    </w:p>
    <w:p w14:paraId="4C2E05E8" w14:textId="77777777" w:rsidR="00AF2FC4" w:rsidRDefault="00AF2FC4" w:rsidP="00AF2FC4">
      <w:pPr>
        <w:spacing w:after="0" w:line="240" w:lineRule="auto"/>
        <w:jc w:val="both"/>
      </w:pPr>
      <w:r>
        <w:t xml:space="preserve">This report is available from: </w:t>
      </w:r>
    </w:p>
    <w:p w14:paraId="1CA57E55" w14:textId="77777777" w:rsidR="00AF2FC4" w:rsidRDefault="00AF2FC4" w:rsidP="00AF2FC4">
      <w:pPr>
        <w:spacing w:after="0" w:line="240" w:lineRule="auto"/>
        <w:jc w:val="both"/>
      </w:pPr>
    </w:p>
    <w:p w14:paraId="13EC4FAF" w14:textId="77777777" w:rsidR="00AF2FC4" w:rsidRPr="00DD64AA" w:rsidRDefault="00AF2FC4" w:rsidP="00AF2FC4">
      <w:pPr>
        <w:spacing w:after="0" w:line="240" w:lineRule="auto"/>
        <w:jc w:val="both"/>
        <w:rPr>
          <w:szCs w:val="20"/>
        </w:rPr>
      </w:pPr>
      <w:r>
        <w:t xml:space="preserve">The Department of Veterans’ Affairs, Australian </w:t>
      </w:r>
      <w:r w:rsidRPr="002F3E68">
        <w:rPr>
          <w:szCs w:val="20"/>
        </w:rPr>
        <w:t xml:space="preserve">Government. </w:t>
      </w:r>
      <w:hyperlink r:id="rId16" w:history="1">
        <w:r w:rsidRPr="00DD64AA">
          <w:rPr>
            <w:rStyle w:val="Hyperlink"/>
            <w:szCs w:val="20"/>
          </w:rPr>
          <w:t>Research and Studies | Department of Veterans' Affairs (dva.gov.au)</w:t>
        </w:r>
      </w:hyperlink>
    </w:p>
    <w:p w14:paraId="2B0BDC31" w14:textId="77777777" w:rsidR="00BD06C4" w:rsidRPr="00E04238" w:rsidRDefault="00BD06C4" w:rsidP="00BD06C4">
      <w:pPr>
        <w:pStyle w:val="Heading2"/>
      </w:pPr>
      <w:bookmarkStart w:id="20" w:name="_Toc99653003"/>
      <w:bookmarkStart w:id="21" w:name="_Toc101537910"/>
      <w:bookmarkStart w:id="22" w:name="_Toc102143174"/>
      <w:bookmarkStart w:id="23" w:name="_Toc103944826"/>
      <w:bookmarkStart w:id="24" w:name="_Toc121096018"/>
      <w:bookmarkStart w:id="25" w:name="_Toc165018126"/>
      <w:bookmarkStart w:id="26" w:name="_Toc99653005"/>
      <w:bookmarkStart w:id="27" w:name="_Toc101536618"/>
      <w:r w:rsidRPr="00E04238">
        <w:lastRenderedPageBreak/>
        <w:t>Authors</w:t>
      </w:r>
      <w:bookmarkEnd w:id="20"/>
      <w:bookmarkEnd w:id="21"/>
      <w:bookmarkEnd w:id="22"/>
      <w:bookmarkEnd w:id="23"/>
      <w:bookmarkEnd w:id="24"/>
      <w:bookmarkEnd w:id="25"/>
    </w:p>
    <w:p w14:paraId="010B04C5" w14:textId="1B245B85" w:rsidR="00BD06C4" w:rsidRPr="00E04238" w:rsidRDefault="00BD06C4" w:rsidP="00BD06C4">
      <w:pPr>
        <w:jc w:val="both"/>
      </w:pPr>
      <w:r w:rsidRPr="00E04238">
        <w:t>Dr Angela M Maguire</w:t>
      </w:r>
      <w:r w:rsidRPr="00E04238">
        <w:rPr>
          <w:vertAlign w:val="superscript"/>
        </w:rPr>
        <w:t>1,2</w:t>
      </w:r>
      <w:r w:rsidRPr="00E04238">
        <w:t xml:space="preserve"> - </w:t>
      </w:r>
      <w:hyperlink r:id="rId17" w:history="1">
        <w:r w:rsidRPr="00E04238">
          <w:rPr>
            <w:rStyle w:val="Hyperlink"/>
          </w:rPr>
          <w:t>https://orcid.org/0000-0002-1564-9457</w:t>
        </w:r>
      </w:hyperlink>
      <w:r w:rsidRPr="00E04238">
        <w:t xml:space="preserve"> </w:t>
      </w:r>
    </w:p>
    <w:p w14:paraId="1EC29930" w14:textId="5CD7BE94" w:rsidR="00BD06C4" w:rsidRPr="00E04238" w:rsidRDefault="00BD06C4" w:rsidP="00BD06C4">
      <w:pPr>
        <w:jc w:val="both"/>
      </w:pPr>
      <w:r w:rsidRPr="00E04238">
        <w:t>Dr Rebecca Soole</w:t>
      </w:r>
      <w:r w:rsidRPr="00E04238">
        <w:rPr>
          <w:vertAlign w:val="superscript"/>
        </w:rPr>
        <w:t>1</w:t>
      </w:r>
      <w:r w:rsidRPr="00E04238">
        <w:t xml:space="preserve"> - </w:t>
      </w:r>
      <w:hyperlink r:id="rId18" w:history="1">
        <w:r w:rsidRPr="00E04238">
          <w:rPr>
            <w:rStyle w:val="Hyperlink"/>
          </w:rPr>
          <w:t>https://orcid.org/0000-0002-4262-3850</w:t>
        </w:r>
      </w:hyperlink>
      <w:r w:rsidRPr="00E04238">
        <w:t xml:space="preserve"> </w:t>
      </w:r>
    </w:p>
    <w:p w14:paraId="2A7B92F1" w14:textId="4BA6074B" w:rsidR="00BD06C4" w:rsidRDefault="00BD06C4" w:rsidP="00BD06C4">
      <w:pPr>
        <w:jc w:val="both"/>
      </w:pPr>
      <w:r>
        <w:t>Ms Hannah B</w:t>
      </w:r>
      <w:r w:rsidRPr="00E04238">
        <w:t>e</w:t>
      </w:r>
      <w:r>
        <w:t>i</w:t>
      </w:r>
      <w:r w:rsidRPr="00E04238">
        <w:t>lby</w:t>
      </w:r>
      <w:r w:rsidRPr="00E04238">
        <w:rPr>
          <w:vertAlign w:val="superscript"/>
        </w:rPr>
        <w:t>3</w:t>
      </w:r>
      <w:r w:rsidRPr="00E04238">
        <w:t xml:space="preserve"> - </w:t>
      </w:r>
      <w:hyperlink r:id="rId19" w:history="1">
        <w:r w:rsidRPr="00E04238">
          <w:rPr>
            <w:rStyle w:val="Hyperlink"/>
          </w:rPr>
          <w:t>https://orcid.org/0000-0001-7361-6023</w:t>
        </w:r>
      </w:hyperlink>
      <w:r w:rsidRPr="00E04238">
        <w:t xml:space="preserve"> </w:t>
      </w:r>
    </w:p>
    <w:p w14:paraId="6528D03E" w14:textId="5BB7159F" w:rsidR="00541DD8" w:rsidRPr="001B67A3" w:rsidRDefault="00541DD8" w:rsidP="00541DD8">
      <w:pPr>
        <w:jc w:val="both"/>
      </w:pPr>
      <w:r>
        <w:t>Ms Angeli Tabinga</w:t>
      </w:r>
      <w:r w:rsidRPr="001B67A3">
        <w:rPr>
          <w:vertAlign w:val="superscript"/>
        </w:rPr>
        <w:t>1</w:t>
      </w:r>
      <w:r>
        <w:rPr>
          <w:vertAlign w:val="superscript"/>
        </w:rPr>
        <w:t>,2</w:t>
      </w:r>
      <w:r>
        <w:t xml:space="preserve"> - </w:t>
      </w:r>
      <w:hyperlink r:id="rId20" w:history="1">
        <w:r w:rsidRPr="00776255">
          <w:rPr>
            <w:rStyle w:val="Hyperlink"/>
          </w:rPr>
          <w:t>https://orcid.org/0000-0001-7552-1044</w:t>
        </w:r>
      </w:hyperlink>
      <w:r>
        <w:t xml:space="preserve"> </w:t>
      </w:r>
    </w:p>
    <w:p w14:paraId="61C0F7FC" w14:textId="19C55725" w:rsidR="00BD06C4" w:rsidRPr="00E04238" w:rsidRDefault="00BD06C4" w:rsidP="00BD06C4">
      <w:pPr>
        <w:jc w:val="both"/>
      </w:pPr>
      <w:r w:rsidRPr="00E04238">
        <w:t>Ms Natalie Barker</w:t>
      </w:r>
      <w:r w:rsidRPr="00E04238">
        <w:rPr>
          <w:vertAlign w:val="superscript"/>
        </w:rPr>
        <w:t>4</w:t>
      </w:r>
      <w:r w:rsidRPr="00E04238">
        <w:t xml:space="preserve"> - </w:t>
      </w:r>
      <w:hyperlink r:id="rId21" w:history="1">
        <w:r w:rsidRPr="00E04238">
          <w:rPr>
            <w:rStyle w:val="Hyperlink"/>
          </w:rPr>
          <w:t>https://orcid.org/0000-0002-2418-8007</w:t>
        </w:r>
      </w:hyperlink>
      <w:r w:rsidRPr="00E04238">
        <w:t xml:space="preserve"> </w:t>
      </w:r>
    </w:p>
    <w:p w14:paraId="42F66B3B" w14:textId="42ACECE0" w:rsidR="00BD06C4" w:rsidRPr="00E04238" w:rsidRDefault="00BD06C4" w:rsidP="00BD06C4">
      <w:pPr>
        <w:jc w:val="both"/>
      </w:pPr>
      <w:r w:rsidRPr="00E04238">
        <w:t>Professor Nicola T Fear</w:t>
      </w:r>
      <w:r w:rsidRPr="00E04238">
        <w:rPr>
          <w:vertAlign w:val="superscript"/>
        </w:rPr>
        <w:t>1,5</w:t>
      </w:r>
      <w:r w:rsidRPr="00E04238">
        <w:t xml:space="preserve"> - </w:t>
      </w:r>
      <w:hyperlink r:id="rId22" w:history="1">
        <w:r w:rsidRPr="00E04238">
          <w:rPr>
            <w:rStyle w:val="Hyperlink"/>
          </w:rPr>
          <w:t>https://orcid.org/0000-0002-5792-2925</w:t>
        </w:r>
      </w:hyperlink>
      <w:r w:rsidRPr="00E04238">
        <w:t xml:space="preserve"> </w:t>
      </w:r>
    </w:p>
    <w:p w14:paraId="027C8F27" w14:textId="7F081D52" w:rsidR="00BD06C4" w:rsidRPr="00E04238" w:rsidRDefault="00BD06C4" w:rsidP="00BD06C4">
      <w:pPr>
        <w:jc w:val="both"/>
      </w:pPr>
      <w:r w:rsidRPr="00E04238">
        <w:t>Emeritus Professor Justin Kenardy</w:t>
      </w:r>
      <w:r w:rsidRPr="00E04238">
        <w:rPr>
          <w:vertAlign w:val="superscript"/>
        </w:rPr>
        <w:t>1,6</w:t>
      </w:r>
      <w:r>
        <w:rPr>
          <w:vertAlign w:val="superscript"/>
        </w:rPr>
        <w:t>,7</w:t>
      </w:r>
      <w:r w:rsidRPr="00E04238">
        <w:t xml:space="preserve"> - </w:t>
      </w:r>
      <w:hyperlink r:id="rId23" w:history="1">
        <w:r w:rsidRPr="00E04238">
          <w:rPr>
            <w:rStyle w:val="Hyperlink"/>
          </w:rPr>
          <w:t>https://orcid.org/0000-0001-9475-8450</w:t>
        </w:r>
      </w:hyperlink>
      <w:r w:rsidRPr="00E04238">
        <w:t xml:space="preserve"> </w:t>
      </w:r>
    </w:p>
    <w:p w14:paraId="4C3F4D7A" w14:textId="37352094" w:rsidR="00BD06C4" w:rsidRDefault="00BD06C4" w:rsidP="00BD06C4">
      <w:pPr>
        <w:jc w:val="both"/>
      </w:pPr>
      <w:r w:rsidRPr="00E04238">
        <w:t>Associate Professor Haitham Tuffaha</w:t>
      </w:r>
      <w:r w:rsidRPr="00E04238">
        <w:rPr>
          <w:vertAlign w:val="superscript"/>
        </w:rPr>
        <w:t>3</w:t>
      </w:r>
      <w:r w:rsidRPr="00E04238">
        <w:t xml:space="preserve"> - </w:t>
      </w:r>
      <w:hyperlink r:id="rId24" w:history="1">
        <w:r w:rsidRPr="00E04238">
          <w:rPr>
            <w:rStyle w:val="Hyperlink"/>
          </w:rPr>
          <w:t>https://orcid.org/0000-0003-2993-3480</w:t>
        </w:r>
      </w:hyperlink>
      <w:r w:rsidRPr="00E04238">
        <w:t xml:space="preserve"> </w:t>
      </w:r>
    </w:p>
    <w:p w14:paraId="013FE2CB" w14:textId="7559CBB8" w:rsidR="00B77E4A" w:rsidRPr="00E04238" w:rsidRDefault="00B77E4A" w:rsidP="00B77E4A">
      <w:pPr>
        <w:jc w:val="both"/>
      </w:pPr>
      <w:r w:rsidRPr="00E04238">
        <w:t>Dr Andrew Khoo</w:t>
      </w:r>
      <w:r>
        <w:rPr>
          <w:vertAlign w:val="superscript"/>
        </w:rPr>
        <w:t>1,2,8</w:t>
      </w:r>
      <w:r w:rsidRPr="00E04238">
        <w:t xml:space="preserve"> - </w:t>
      </w:r>
      <w:hyperlink r:id="rId25" w:history="1">
        <w:r w:rsidRPr="00E04238">
          <w:rPr>
            <w:rStyle w:val="Hyperlink"/>
          </w:rPr>
          <w:t>https://orcid.org/0000-0002-4851-6431</w:t>
        </w:r>
      </w:hyperlink>
      <w:r w:rsidRPr="00E04238">
        <w:t xml:space="preserve"> </w:t>
      </w:r>
    </w:p>
    <w:p w14:paraId="338C2101" w14:textId="77777777" w:rsidR="00BD06C4" w:rsidRPr="00E04238" w:rsidRDefault="00BD06C4" w:rsidP="00BD06C4">
      <w:pPr>
        <w:pStyle w:val="Heading2"/>
      </w:pPr>
      <w:bookmarkStart w:id="28" w:name="_Toc96361155"/>
      <w:bookmarkStart w:id="29" w:name="_Toc97042175"/>
      <w:bookmarkStart w:id="30" w:name="_Toc99653004"/>
      <w:bookmarkStart w:id="31" w:name="_Toc101537911"/>
      <w:bookmarkStart w:id="32" w:name="_Toc102143175"/>
      <w:bookmarkStart w:id="33" w:name="_Toc103944827"/>
      <w:bookmarkStart w:id="34" w:name="_Toc121096019"/>
      <w:bookmarkStart w:id="35" w:name="_Toc165018127"/>
      <w:r w:rsidRPr="00E04238">
        <w:t>Authors’ details</w:t>
      </w:r>
      <w:bookmarkEnd w:id="28"/>
      <w:bookmarkEnd w:id="29"/>
      <w:bookmarkEnd w:id="30"/>
      <w:bookmarkEnd w:id="31"/>
      <w:bookmarkEnd w:id="32"/>
      <w:bookmarkEnd w:id="33"/>
      <w:bookmarkEnd w:id="34"/>
      <w:bookmarkEnd w:id="35"/>
    </w:p>
    <w:p w14:paraId="21DAFB7B" w14:textId="77777777" w:rsidR="00BD06C4" w:rsidRPr="00E04238" w:rsidRDefault="00BD06C4" w:rsidP="00BD06C4">
      <w:pPr>
        <w:pStyle w:val="ListParagraph"/>
        <w:numPr>
          <w:ilvl w:val="0"/>
          <w:numId w:val="3"/>
        </w:numPr>
        <w:spacing w:after="160"/>
        <w:jc w:val="both"/>
      </w:pPr>
      <w:r w:rsidRPr="00E04238">
        <w:t>Gallipoli Medical Research Foundation, Greenslopes Private Hospital, Greenslopes Qld 4120, Australia.</w:t>
      </w:r>
    </w:p>
    <w:p w14:paraId="68EE6889" w14:textId="77777777" w:rsidR="00BD06C4" w:rsidRPr="00E04238" w:rsidRDefault="00BD06C4" w:rsidP="00BD06C4">
      <w:pPr>
        <w:pStyle w:val="ListParagraph"/>
        <w:numPr>
          <w:ilvl w:val="0"/>
          <w:numId w:val="3"/>
        </w:numPr>
        <w:spacing w:after="160"/>
        <w:jc w:val="both"/>
      </w:pPr>
      <w:r w:rsidRPr="00E04238">
        <w:t>The University of Queensland, Faculty of Medicine, St Lucia Qld 4072, Australia.</w:t>
      </w:r>
    </w:p>
    <w:p w14:paraId="1D2D3B38" w14:textId="77777777" w:rsidR="00BD06C4" w:rsidRDefault="00BD06C4" w:rsidP="00BD06C4">
      <w:pPr>
        <w:pStyle w:val="ListParagraph"/>
        <w:numPr>
          <w:ilvl w:val="0"/>
          <w:numId w:val="3"/>
        </w:numPr>
        <w:spacing w:after="160"/>
        <w:jc w:val="both"/>
      </w:pPr>
      <w:r w:rsidRPr="00E04238">
        <w:t>The University of Queensland, Centre for the Business and Economics of Health, St Lucia Qld 4072, Australia.</w:t>
      </w:r>
    </w:p>
    <w:p w14:paraId="6B4598F3" w14:textId="77777777" w:rsidR="00BD06C4" w:rsidRDefault="00BD06C4" w:rsidP="00BD06C4">
      <w:pPr>
        <w:pStyle w:val="ListParagraph"/>
        <w:numPr>
          <w:ilvl w:val="0"/>
          <w:numId w:val="3"/>
        </w:numPr>
      </w:pPr>
      <w:r>
        <w:t>The University of Queensland, UQ Library, Herston Qld 4006, Australia.</w:t>
      </w:r>
    </w:p>
    <w:p w14:paraId="680998A9" w14:textId="77777777" w:rsidR="00BD06C4" w:rsidRPr="00E04238" w:rsidRDefault="00BD06C4" w:rsidP="00BD06C4">
      <w:pPr>
        <w:pStyle w:val="ListParagraph"/>
        <w:numPr>
          <w:ilvl w:val="0"/>
          <w:numId w:val="3"/>
        </w:numPr>
        <w:spacing w:after="160"/>
        <w:jc w:val="both"/>
      </w:pPr>
      <w:r w:rsidRPr="00E04238">
        <w:t>King's College London, Weston Education Centre, London SE5 9RJ, United Kingdom.</w:t>
      </w:r>
    </w:p>
    <w:p w14:paraId="53328B4C" w14:textId="77777777" w:rsidR="00BD06C4" w:rsidRDefault="00BD06C4" w:rsidP="00BD06C4">
      <w:pPr>
        <w:pStyle w:val="ListParagraph"/>
        <w:numPr>
          <w:ilvl w:val="0"/>
          <w:numId w:val="3"/>
        </w:numPr>
        <w:spacing w:after="160"/>
        <w:jc w:val="both"/>
      </w:pPr>
      <w:r w:rsidRPr="00E04238">
        <w:t>The University of Queensland, Faculty of Health and Behavioural Sciences, St Lucia Qld 4072, Australia.</w:t>
      </w:r>
    </w:p>
    <w:p w14:paraId="5516BEC5" w14:textId="77777777" w:rsidR="00BD06C4" w:rsidRDefault="00BD06C4" w:rsidP="00BD06C4">
      <w:pPr>
        <w:pStyle w:val="ListParagraph"/>
        <w:numPr>
          <w:ilvl w:val="0"/>
          <w:numId w:val="3"/>
        </w:numPr>
        <w:spacing w:after="160"/>
        <w:jc w:val="both"/>
      </w:pPr>
      <w:r>
        <w:t>Jamieson Trauma Institute, Royal Brisbane and Women’s Hospital, Herston Qld 4029, Australia.</w:t>
      </w:r>
    </w:p>
    <w:p w14:paraId="64A17570" w14:textId="77777777" w:rsidR="00BD06C4" w:rsidRPr="00E04238" w:rsidRDefault="00BD06C4" w:rsidP="00BD06C4">
      <w:pPr>
        <w:pStyle w:val="ListParagraph"/>
        <w:numPr>
          <w:ilvl w:val="0"/>
          <w:numId w:val="3"/>
        </w:numPr>
        <w:spacing w:after="160"/>
        <w:jc w:val="both"/>
      </w:pPr>
      <w:r w:rsidRPr="00E04238">
        <w:t>Toowong Private Hospital, Toowong Qld 4066, Australia.</w:t>
      </w:r>
    </w:p>
    <w:p w14:paraId="7F250BE1" w14:textId="77777777" w:rsidR="00BB0D21" w:rsidRPr="009B4D43" w:rsidRDefault="00BB0D21" w:rsidP="001D28F3">
      <w:pPr>
        <w:pStyle w:val="Heading2"/>
        <w:jc w:val="both"/>
      </w:pPr>
      <w:bookmarkStart w:id="36" w:name="_Toc103944828"/>
      <w:bookmarkStart w:id="37" w:name="_Toc121096020"/>
      <w:bookmarkStart w:id="38" w:name="_Toc165018128"/>
      <w:r w:rsidRPr="009B4D43">
        <w:t>Acknowledgements</w:t>
      </w:r>
      <w:bookmarkEnd w:id="26"/>
      <w:bookmarkEnd w:id="27"/>
      <w:bookmarkEnd w:id="36"/>
      <w:bookmarkEnd w:id="37"/>
      <w:bookmarkEnd w:id="38"/>
    </w:p>
    <w:p w14:paraId="4B45AC9A" w14:textId="7D31E5EB" w:rsidR="00BB0D21" w:rsidRPr="009B4D43" w:rsidRDefault="00BB0D21" w:rsidP="001D28F3">
      <w:pPr>
        <w:jc w:val="both"/>
      </w:pPr>
      <w:r w:rsidRPr="009B4D43">
        <w:t>This project was funded by the Department of Veterans’ Affairs (DVA). We would like to thank Dr Rebecca Mellor for her contributions to the project concept and funding submission</w:t>
      </w:r>
      <w:r w:rsidR="001F3B66">
        <w:t>,</w:t>
      </w:r>
      <w:r w:rsidRPr="009B4D43">
        <w:t xml:space="preserve"> Mr Lars Eriksson for peer-reviewing the search strategies</w:t>
      </w:r>
      <w:r w:rsidR="0080157C">
        <w:t xml:space="preserve">, </w:t>
      </w:r>
      <w:r w:rsidR="0080157C" w:rsidRPr="00385DD8">
        <w:t>and Dr Jie Hu for reviewing the risk-of-bias and GRADE assessments</w:t>
      </w:r>
      <w:r w:rsidRPr="009B4D43">
        <w:t>. We would like to acknowledge the DVA Emerging Treatments Project Team for their contributions to the development of the search strategies</w:t>
      </w:r>
      <w:r w:rsidR="001F3B66">
        <w:t>,</w:t>
      </w:r>
      <w:r w:rsidRPr="009B4D43">
        <w:t xml:space="preserve"> and for their feedback on the PROSPERO protocol and the final version of the report.  </w:t>
      </w:r>
    </w:p>
    <w:p w14:paraId="013C4438" w14:textId="5803CF46" w:rsidR="00BB0D21" w:rsidRPr="009B4D43" w:rsidRDefault="00BB0D21" w:rsidP="009E318E">
      <w:pPr>
        <w:pStyle w:val="Heading2"/>
      </w:pPr>
      <w:bookmarkStart w:id="39" w:name="_Toc99653007"/>
      <w:bookmarkStart w:id="40" w:name="_Toc101536620"/>
      <w:bookmarkStart w:id="41" w:name="_Toc103944830"/>
      <w:bookmarkStart w:id="42" w:name="_Toc121096022"/>
      <w:bookmarkStart w:id="43" w:name="_Toc165018129"/>
      <w:r w:rsidRPr="009B4D43">
        <w:t>Keywords</w:t>
      </w:r>
      <w:bookmarkEnd w:id="39"/>
      <w:bookmarkEnd w:id="40"/>
      <w:bookmarkEnd w:id="41"/>
      <w:bookmarkEnd w:id="42"/>
      <w:bookmarkEnd w:id="43"/>
    </w:p>
    <w:p w14:paraId="0011D7BD" w14:textId="77777777" w:rsidR="00BB0D21" w:rsidRPr="009B4D43" w:rsidRDefault="00BB0D21" w:rsidP="001D28F3">
      <w:pPr>
        <w:jc w:val="both"/>
      </w:pPr>
      <w:r w:rsidRPr="009B4D43">
        <w:t>rapid review, emerging treatment, adjunct treatment, posttraumatic stress disorder, anxiety disorders, mood disorders, depressive disorders, substance-related disorders, addictive disorders, trauma- and stressor-related disorders, veterans.</w:t>
      </w:r>
    </w:p>
    <w:p w14:paraId="478E1466" w14:textId="77777777" w:rsidR="00BB0D21" w:rsidRPr="009B4D43" w:rsidRDefault="00BB0D21" w:rsidP="00BB0D21">
      <w:pPr>
        <w:sectPr w:rsidR="00BB0D21" w:rsidRPr="009B4D43" w:rsidSect="00AA7189">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pPr>
    </w:p>
    <w:p w14:paraId="30B16EDF" w14:textId="77777777" w:rsidR="00BB0D21" w:rsidRPr="00931864" w:rsidRDefault="00BB0D21" w:rsidP="00BB0D21">
      <w:pPr>
        <w:pStyle w:val="Heading1"/>
      </w:pPr>
      <w:bookmarkStart w:id="44" w:name="_Toc99653008"/>
      <w:bookmarkStart w:id="45" w:name="_Toc101536621"/>
      <w:bookmarkStart w:id="46" w:name="_Toc103944831"/>
      <w:bookmarkStart w:id="47" w:name="_Toc121096023"/>
      <w:bookmarkStart w:id="48" w:name="_Toc165018130"/>
      <w:r w:rsidRPr="00122119">
        <w:lastRenderedPageBreak/>
        <w:t>Table of Contents</w:t>
      </w:r>
      <w:bookmarkEnd w:id="44"/>
      <w:bookmarkEnd w:id="45"/>
      <w:bookmarkEnd w:id="46"/>
      <w:bookmarkEnd w:id="47"/>
      <w:bookmarkEnd w:id="48"/>
    </w:p>
    <w:sdt>
      <w:sdtPr>
        <w:id w:val="-1639260914"/>
        <w:docPartObj>
          <w:docPartGallery w:val="Table of Contents"/>
          <w:docPartUnique/>
        </w:docPartObj>
      </w:sdtPr>
      <w:sdtEndPr>
        <w:rPr>
          <w:noProof/>
          <w:highlight w:val="yellow"/>
        </w:rPr>
      </w:sdtEndPr>
      <w:sdtContent>
        <w:p w14:paraId="4EFE0972" w14:textId="4A639136" w:rsidR="00F62917" w:rsidRDefault="00BB0D21" w:rsidP="001F43E8">
          <w:pPr>
            <w:pStyle w:val="TOC1"/>
            <w:spacing w:after="120"/>
            <w:rPr>
              <w:rFonts w:eastAsiaTheme="minorEastAsia"/>
              <w:noProof/>
              <w:kern w:val="2"/>
              <w:sz w:val="22"/>
              <w:lang w:eastAsia="en-AU"/>
              <w14:ligatures w14:val="standardContextual"/>
            </w:rPr>
          </w:pPr>
          <w:r w:rsidRPr="002973F7">
            <w:rPr>
              <w:highlight w:val="yellow"/>
            </w:rPr>
            <w:fldChar w:fldCharType="begin"/>
          </w:r>
          <w:r w:rsidRPr="002973F7">
            <w:rPr>
              <w:highlight w:val="yellow"/>
            </w:rPr>
            <w:instrText xml:space="preserve"> TOC \o "1-3" \h \z \u </w:instrText>
          </w:r>
          <w:r w:rsidRPr="002973F7">
            <w:rPr>
              <w:highlight w:val="yellow"/>
            </w:rPr>
            <w:fldChar w:fldCharType="separate"/>
          </w:r>
          <w:hyperlink w:anchor="_Toc165018130" w:history="1">
            <w:r w:rsidR="00F62917" w:rsidRPr="003A62A6">
              <w:rPr>
                <w:rStyle w:val="Hyperlink"/>
                <w:noProof/>
              </w:rPr>
              <w:t>Table of Contents</w:t>
            </w:r>
            <w:r w:rsidR="00F62917">
              <w:rPr>
                <w:noProof/>
                <w:webHidden/>
              </w:rPr>
              <w:tab/>
            </w:r>
            <w:r w:rsidR="00F62917">
              <w:rPr>
                <w:noProof/>
                <w:webHidden/>
              </w:rPr>
              <w:fldChar w:fldCharType="begin"/>
            </w:r>
            <w:r w:rsidR="00F62917">
              <w:rPr>
                <w:noProof/>
                <w:webHidden/>
              </w:rPr>
              <w:instrText xml:space="preserve"> PAGEREF _Toc165018130 \h </w:instrText>
            </w:r>
            <w:r w:rsidR="00F62917">
              <w:rPr>
                <w:noProof/>
                <w:webHidden/>
              </w:rPr>
            </w:r>
            <w:r w:rsidR="00F62917">
              <w:rPr>
                <w:noProof/>
                <w:webHidden/>
              </w:rPr>
              <w:fldChar w:fldCharType="separate"/>
            </w:r>
            <w:r w:rsidR="002B24EB">
              <w:rPr>
                <w:noProof/>
                <w:webHidden/>
              </w:rPr>
              <w:t>4</w:t>
            </w:r>
            <w:r w:rsidR="00F62917">
              <w:rPr>
                <w:noProof/>
                <w:webHidden/>
              </w:rPr>
              <w:fldChar w:fldCharType="end"/>
            </w:r>
          </w:hyperlink>
        </w:p>
        <w:p w14:paraId="02BD3827" w14:textId="389EFCE8" w:rsidR="00F62917" w:rsidRDefault="00F7136B" w:rsidP="001F43E8">
          <w:pPr>
            <w:pStyle w:val="TOC1"/>
            <w:spacing w:after="120"/>
            <w:rPr>
              <w:rFonts w:eastAsiaTheme="minorEastAsia"/>
              <w:noProof/>
              <w:kern w:val="2"/>
              <w:sz w:val="22"/>
              <w:lang w:eastAsia="en-AU"/>
              <w14:ligatures w14:val="standardContextual"/>
            </w:rPr>
          </w:pPr>
          <w:hyperlink w:anchor="_Toc165018131" w:history="1">
            <w:r w:rsidR="00F62917" w:rsidRPr="003A62A6">
              <w:rPr>
                <w:rStyle w:val="Hyperlink"/>
                <w:noProof/>
              </w:rPr>
              <w:t>List of Tables</w:t>
            </w:r>
            <w:r w:rsidR="00F62917">
              <w:rPr>
                <w:noProof/>
                <w:webHidden/>
              </w:rPr>
              <w:tab/>
            </w:r>
            <w:r w:rsidR="00F62917">
              <w:rPr>
                <w:noProof/>
                <w:webHidden/>
              </w:rPr>
              <w:fldChar w:fldCharType="begin"/>
            </w:r>
            <w:r w:rsidR="00F62917">
              <w:rPr>
                <w:noProof/>
                <w:webHidden/>
              </w:rPr>
              <w:instrText xml:space="preserve"> PAGEREF _Toc165018131 \h </w:instrText>
            </w:r>
            <w:r w:rsidR="00F62917">
              <w:rPr>
                <w:noProof/>
                <w:webHidden/>
              </w:rPr>
            </w:r>
            <w:r w:rsidR="00F62917">
              <w:rPr>
                <w:noProof/>
                <w:webHidden/>
              </w:rPr>
              <w:fldChar w:fldCharType="separate"/>
            </w:r>
            <w:r w:rsidR="002B24EB">
              <w:rPr>
                <w:noProof/>
                <w:webHidden/>
              </w:rPr>
              <w:t>4</w:t>
            </w:r>
            <w:r w:rsidR="00F62917">
              <w:rPr>
                <w:noProof/>
                <w:webHidden/>
              </w:rPr>
              <w:fldChar w:fldCharType="end"/>
            </w:r>
          </w:hyperlink>
        </w:p>
        <w:p w14:paraId="301FEC90" w14:textId="62C646EF" w:rsidR="00F62917" w:rsidRDefault="00F7136B" w:rsidP="001F43E8">
          <w:pPr>
            <w:pStyle w:val="TOC1"/>
            <w:spacing w:after="120"/>
            <w:rPr>
              <w:rFonts w:eastAsiaTheme="minorEastAsia"/>
              <w:noProof/>
              <w:kern w:val="2"/>
              <w:sz w:val="22"/>
              <w:lang w:eastAsia="en-AU"/>
              <w14:ligatures w14:val="standardContextual"/>
            </w:rPr>
          </w:pPr>
          <w:hyperlink w:anchor="_Toc165018132" w:history="1">
            <w:r w:rsidR="00F62917" w:rsidRPr="003A62A6">
              <w:rPr>
                <w:rStyle w:val="Hyperlink"/>
                <w:noProof/>
              </w:rPr>
              <w:t>List of Figures</w:t>
            </w:r>
            <w:r w:rsidR="00F62917">
              <w:rPr>
                <w:noProof/>
                <w:webHidden/>
              </w:rPr>
              <w:tab/>
            </w:r>
            <w:r w:rsidR="00F62917">
              <w:rPr>
                <w:noProof/>
                <w:webHidden/>
              </w:rPr>
              <w:fldChar w:fldCharType="begin"/>
            </w:r>
            <w:r w:rsidR="00F62917">
              <w:rPr>
                <w:noProof/>
                <w:webHidden/>
              </w:rPr>
              <w:instrText xml:space="preserve"> PAGEREF _Toc165018132 \h </w:instrText>
            </w:r>
            <w:r w:rsidR="00F62917">
              <w:rPr>
                <w:noProof/>
                <w:webHidden/>
              </w:rPr>
            </w:r>
            <w:r w:rsidR="00F62917">
              <w:rPr>
                <w:noProof/>
                <w:webHidden/>
              </w:rPr>
              <w:fldChar w:fldCharType="separate"/>
            </w:r>
            <w:r w:rsidR="002B24EB">
              <w:rPr>
                <w:noProof/>
                <w:webHidden/>
              </w:rPr>
              <w:t>4</w:t>
            </w:r>
            <w:r w:rsidR="00F62917">
              <w:rPr>
                <w:noProof/>
                <w:webHidden/>
              </w:rPr>
              <w:fldChar w:fldCharType="end"/>
            </w:r>
          </w:hyperlink>
        </w:p>
        <w:p w14:paraId="53C3133A" w14:textId="00A94726" w:rsidR="00F62917" w:rsidRDefault="00F7136B" w:rsidP="001F43E8">
          <w:pPr>
            <w:pStyle w:val="TOC1"/>
            <w:spacing w:after="120"/>
            <w:rPr>
              <w:rFonts w:eastAsiaTheme="minorEastAsia"/>
              <w:noProof/>
              <w:kern w:val="2"/>
              <w:sz w:val="22"/>
              <w:lang w:eastAsia="en-AU"/>
              <w14:ligatures w14:val="standardContextual"/>
            </w:rPr>
          </w:pPr>
          <w:hyperlink w:anchor="_Toc165018133" w:history="1">
            <w:r w:rsidR="00F62917" w:rsidRPr="003A62A6">
              <w:rPr>
                <w:rStyle w:val="Hyperlink"/>
                <w:noProof/>
              </w:rPr>
              <w:t>List of Abbreviations</w:t>
            </w:r>
            <w:r w:rsidR="00F62917">
              <w:rPr>
                <w:noProof/>
                <w:webHidden/>
              </w:rPr>
              <w:tab/>
            </w:r>
            <w:r w:rsidR="00F62917">
              <w:rPr>
                <w:noProof/>
                <w:webHidden/>
              </w:rPr>
              <w:fldChar w:fldCharType="begin"/>
            </w:r>
            <w:r w:rsidR="00F62917">
              <w:rPr>
                <w:noProof/>
                <w:webHidden/>
              </w:rPr>
              <w:instrText xml:space="preserve"> PAGEREF _Toc165018133 \h </w:instrText>
            </w:r>
            <w:r w:rsidR="00F62917">
              <w:rPr>
                <w:noProof/>
                <w:webHidden/>
              </w:rPr>
            </w:r>
            <w:r w:rsidR="00F62917">
              <w:rPr>
                <w:noProof/>
                <w:webHidden/>
              </w:rPr>
              <w:fldChar w:fldCharType="separate"/>
            </w:r>
            <w:r w:rsidR="002B24EB">
              <w:rPr>
                <w:noProof/>
                <w:webHidden/>
              </w:rPr>
              <w:t>5</w:t>
            </w:r>
            <w:r w:rsidR="00F62917">
              <w:rPr>
                <w:noProof/>
                <w:webHidden/>
              </w:rPr>
              <w:fldChar w:fldCharType="end"/>
            </w:r>
          </w:hyperlink>
        </w:p>
        <w:p w14:paraId="7DC56A6A" w14:textId="160FD8C1" w:rsidR="00F62917" w:rsidRDefault="00F7136B" w:rsidP="001F43E8">
          <w:pPr>
            <w:pStyle w:val="TOC1"/>
            <w:spacing w:after="120"/>
            <w:rPr>
              <w:rFonts w:eastAsiaTheme="minorEastAsia"/>
              <w:noProof/>
              <w:kern w:val="2"/>
              <w:sz w:val="22"/>
              <w:lang w:eastAsia="en-AU"/>
              <w14:ligatures w14:val="standardContextual"/>
            </w:rPr>
          </w:pPr>
          <w:hyperlink w:anchor="_Toc165018134" w:history="1">
            <w:r w:rsidR="00F62917" w:rsidRPr="003A62A6">
              <w:rPr>
                <w:rStyle w:val="Hyperlink"/>
                <w:noProof/>
              </w:rPr>
              <w:t>Assessments and Outcome Measures: Clinician-Administered and Self-Report</w:t>
            </w:r>
            <w:r w:rsidR="00F62917">
              <w:rPr>
                <w:noProof/>
                <w:webHidden/>
              </w:rPr>
              <w:tab/>
            </w:r>
            <w:r w:rsidR="00F62917">
              <w:rPr>
                <w:noProof/>
                <w:webHidden/>
              </w:rPr>
              <w:fldChar w:fldCharType="begin"/>
            </w:r>
            <w:r w:rsidR="00F62917">
              <w:rPr>
                <w:noProof/>
                <w:webHidden/>
              </w:rPr>
              <w:instrText xml:space="preserve"> PAGEREF _Toc165018134 \h </w:instrText>
            </w:r>
            <w:r w:rsidR="00F62917">
              <w:rPr>
                <w:noProof/>
                <w:webHidden/>
              </w:rPr>
            </w:r>
            <w:r w:rsidR="00F62917">
              <w:rPr>
                <w:noProof/>
                <w:webHidden/>
              </w:rPr>
              <w:fldChar w:fldCharType="separate"/>
            </w:r>
            <w:r w:rsidR="002B24EB">
              <w:rPr>
                <w:noProof/>
                <w:webHidden/>
              </w:rPr>
              <w:t>6</w:t>
            </w:r>
            <w:r w:rsidR="00F62917">
              <w:rPr>
                <w:noProof/>
                <w:webHidden/>
              </w:rPr>
              <w:fldChar w:fldCharType="end"/>
            </w:r>
          </w:hyperlink>
        </w:p>
        <w:p w14:paraId="19905640" w14:textId="5F93D47D" w:rsidR="00F62917" w:rsidRDefault="00F7136B" w:rsidP="001F43E8">
          <w:pPr>
            <w:pStyle w:val="TOC1"/>
            <w:spacing w:after="120"/>
            <w:rPr>
              <w:rFonts w:eastAsiaTheme="minorEastAsia"/>
              <w:noProof/>
              <w:kern w:val="2"/>
              <w:sz w:val="22"/>
              <w:lang w:eastAsia="en-AU"/>
              <w14:ligatures w14:val="standardContextual"/>
            </w:rPr>
          </w:pPr>
          <w:hyperlink w:anchor="_Toc165018135" w:history="1">
            <w:r w:rsidR="00F62917" w:rsidRPr="003A62A6">
              <w:rPr>
                <w:rStyle w:val="Hyperlink"/>
                <w:noProof/>
              </w:rPr>
              <w:t>Glossary of Terms</w:t>
            </w:r>
            <w:r w:rsidR="00F62917">
              <w:rPr>
                <w:noProof/>
                <w:webHidden/>
              </w:rPr>
              <w:tab/>
            </w:r>
            <w:r w:rsidR="00F62917">
              <w:rPr>
                <w:noProof/>
                <w:webHidden/>
              </w:rPr>
              <w:fldChar w:fldCharType="begin"/>
            </w:r>
            <w:r w:rsidR="00F62917">
              <w:rPr>
                <w:noProof/>
                <w:webHidden/>
              </w:rPr>
              <w:instrText xml:space="preserve"> PAGEREF _Toc165018135 \h </w:instrText>
            </w:r>
            <w:r w:rsidR="00F62917">
              <w:rPr>
                <w:noProof/>
                <w:webHidden/>
              </w:rPr>
            </w:r>
            <w:r w:rsidR="00F62917">
              <w:rPr>
                <w:noProof/>
                <w:webHidden/>
              </w:rPr>
              <w:fldChar w:fldCharType="separate"/>
            </w:r>
            <w:r w:rsidR="002B24EB">
              <w:rPr>
                <w:noProof/>
                <w:webHidden/>
              </w:rPr>
              <w:t>7</w:t>
            </w:r>
            <w:r w:rsidR="00F62917">
              <w:rPr>
                <w:noProof/>
                <w:webHidden/>
              </w:rPr>
              <w:fldChar w:fldCharType="end"/>
            </w:r>
          </w:hyperlink>
        </w:p>
        <w:p w14:paraId="3D7C43C7" w14:textId="1A79A5D8" w:rsidR="00F62917" w:rsidRDefault="00F7136B" w:rsidP="001F43E8">
          <w:pPr>
            <w:pStyle w:val="TOC1"/>
            <w:spacing w:after="120"/>
            <w:rPr>
              <w:rFonts w:eastAsiaTheme="minorEastAsia"/>
              <w:noProof/>
              <w:kern w:val="2"/>
              <w:sz w:val="22"/>
              <w:lang w:eastAsia="en-AU"/>
              <w14:ligatures w14:val="standardContextual"/>
            </w:rPr>
          </w:pPr>
          <w:hyperlink w:anchor="_Toc165018171" w:history="1">
            <w:r w:rsidR="00F62917" w:rsidRPr="003A62A6">
              <w:rPr>
                <w:rStyle w:val="Hyperlink"/>
                <w:noProof/>
                <w:lang w:val="en-US"/>
              </w:rPr>
              <w:t>Executive Summary</w:t>
            </w:r>
            <w:r w:rsidR="00F62917">
              <w:rPr>
                <w:noProof/>
                <w:webHidden/>
              </w:rPr>
              <w:tab/>
            </w:r>
            <w:r w:rsidR="00F62917">
              <w:rPr>
                <w:noProof/>
                <w:webHidden/>
              </w:rPr>
              <w:fldChar w:fldCharType="begin"/>
            </w:r>
            <w:r w:rsidR="00F62917">
              <w:rPr>
                <w:noProof/>
                <w:webHidden/>
              </w:rPr>
              <w:instrText xml:space="preserve"> PAGEREF _Toc165018171 \h </w:instrText>
            </w:r>
            <w:r w:rsidR="00F62917">
              <w:rPr>
                <w:noProof/>
                <w:webHidden/>
              </w:rPr>
            </w:r>
            <w:r w:rsidR="00F62917">
              <w:rPr>
                <w:noProof/>
                <w:webHidden/>
              </w:rPr>
              <w:fldChar w:fldCharType="separate"/>
            </w:r>
            <w:r w:rsidR="002B24EB">
              <w:rPr>
                <w:noProof/>
                <w:webHidden/>
              </w:rPr>
              <w:t>16</w:t>
            </w:r>
            <w:r w:rsidR="00F62917">
              <w:rPr>
                <w:noProof/>
                <w:webHidden/>
              </w:rPr>
              <w:fldChar w:fldCharType="end"/>
            </w:r>
          </w:hyperlink>
        </w:p>
        <w:p w14:paraId="43A8E6B1" w14:textId="7C2BAE5C" w:rsidR="00F62917" w:rsidRDefault="00F7136B" w:rsidP="001F43E8">
          <w:pPr>
            <w:pStyle w:val="TOC1"/>
            <w:spacing w:after="120"/>
            <w:rPr>
              <w:rFonts w:eastAsiaTheme="minorEastAsia"/>
              <w:noProof/>
              <w:kern w:val="2"/>
              <w:sz w:val="22"/>
              <w:lang w:eastAsia="en-AU"/>
              <w14:ligatures w14:val="standardContextual"/>
            </w:rPr>
          </w:pPr>
          <w:hyperlink w:anchor="_Toc165018184" w:history="1">
            <w:r w:rsidR="00F62917" w:rsidRPr="003A62A6">
              <w:rPr>
                <w:rStyle w:val="Hyperlink"/>
                <w:noProof/>
                <w:lang w:val="en-US"/>
              </w:rPr>
              <w:t>Introduction</w:t>
            </w:r>
            <w:r w:rsidR="00F62917">
              <w:rPr>
                <w:noProof/>
                <w:webHidden/>
              </w:rPr>
              <w:tab/>
            </w:r>
            <w:r w:rsidR="00F62917">
              <w:rPr>
                <w:noProof/>
                <w:webHidden/>
              </w:rPr>
              <w:fldChar w:fldCharType="begin"/>
            </w:r>
            <w:r w:rsidR="00F62917">
              <w:rPr>
                <w:noProof/>
                <w:webHidden/>
              </w:rPr>
              <w:instrText xml:space="preserve"> PAGEREF _Toc165018184 \h </w:instrText>
            </w:r>
            <w:r w:rsidR="00F62917">
              <w:rPr>
                <w:noProof/>
                <w:webHidden/>
              </w:rPr>
            </w:r>
            <w:r w:rsidR="00F62917">
              <w:rPr>
                <w:noProof/>
                <w:webHidden/>
              </w:rPr>
              <w:fldChar w:fldCharType="separate"/>
            </w:r>
            <w:r w:rsidR="002B24EB">
              <w:rPr>
                <w:noProof/>
                <w:webHidden/>
              </w:rPr>
              <w:t>20</w:t>
            </w:r>
            <w:r w:rsidR="00F62917">
              <w:rPr>
                <w:noProof/>
                <w:webHidden/>
              </w:rPr>
              <w:fldChar w:fldCharType="end"/>
            </w:r>
          </w:hyperlink>
        </w:p>
        <w:p w14:paraId="34388AB8" w14:textId="5E217189" w:rsidR="00F62917" w:rsidRDefault="00F7136B" w:rsidP="001F43E8">
          <w:pPr>
            <w:pStyle w:val="TOC1"/>
            <w:spacing w:after="120"/>
            <w:rPr>
              <w:rFonts w:eastAsiaTheme="minorEastAsia"/>
              <w:noProof/>
              <w:kern w:val="2"/>
              <w:sz w:val="22"/>
              <w:lang w:eastAsia="en-AU"/>
              <w14:ligatures w14:val="standardContextual"/>
            </w:rPr>
          </w:pPr>
          <w:hyperlink w:anchor="_Toc165018190" w:history="1">
            <w:r w:rsidR="00F62917" w:rsidRPr="003A62A6">
              <w:rPr>
                <w:rStyle w:val="Hyperlink"/>
                <w:noProof/>
              </w:rPr>
              <w:t>Methods</w:t>
            </w:r>
            <w:r w:rsidR="00F62917">
              <w:rPr>
                <w:noProof/>
                <w:webHidden/>
              </w:rPr>
              <w:tab/>
            </w:r>
            <w:r w:rsidR="00F62917">
              <w:rPr>
                <w:noProof/>
                <w:webHidden/>
              </w:rPr>
              <w:fldChar w:fldCharType="begin"/>
            </w:r>
            <w:r w:rsidR="00F62917">
              <w:rPr>
                <w:noProof/>
                <w:webHidden/>
              </w:rPr>
              <w:instrText xml:space="preserve"> PAGEREF _Toc165018190 \h </w:instrText>
            </w:r>
            <w:r w:rsidR="00F62917">
              <w:rPr>
                <w:noProof/>
                <w:webHidden/>
              </w:rPr>
            </w:r>
            <w:r w:rsidR="00F62917">
              <w:rPr>
                <w:noProof/>
                <w:webHidden/>
              </w:rPr>
              <w:fldChar w:fldCharType="separate"/>
            </w:r>
            <w:r w:rsidR="002B24EB">
              <w:rPr>
                <w:noProof/>
                <w:webHidden/>
              </w:rPr>
              <w:t>21</w:t>
            </w:r>
            <w:r w:rsidR="00F62917">
              <w:rPr>
                <w:noProof/>
                <w:webHidden/>
              </w:rPr>
              <w:fldChar w:fldCharType="end"/>
            </w:r>
          </w:hyperlink>
        </w:p>
        <w:p w14:paraId="4B7172BD" w14:textId="4909219D" w:rsidR="00F62917" w:rsidRDefault="00F7136B" w:rsidP="001F43E8">
          <w:pPr>
            <w:pStyle w:val="TOC1"/>
            <w:spacing w:after="120"/>
            <w:rPr>
              <w:rFonts w:eastAsiaTheme="minorEastAsia"/>
              <w:noProof/>
              <w:kern w:val="2"/>
              <w:sz w:val="22"/>
              <w:lang w:eastAsia="en-AU"/>
              <w14:ligatures w14:val="standardContextual"/>
            </w:rPr>
          </w:pPr>
          <w:hyperlink w:anchor="_Toc165018208" w:history="1">
            <w:r w:rsidR="00F62917" w:rsidRPr="003A62A6">
              <w:rPr>
                <w:rStyle w:val="Hyperlink"/>
                <w:noProof/>
              </w:rPr>
              <w:t>Results: Medicinal Cannabis Interventions</w:t>
            </w:r>
            <w:r w:rsidR="00F62917">
              <w:rPr>
                <w:noProof/>
                <w:webHidden/>
              </w:rPr>
              <w:tab/>
            </w:r>
            <w:r w:rsidR="00F62917">
              <w:rPr>
                <w:noProof/>
                <w:webHidden/>
              </w:rPr>
              <w:fldChar w:fldCharType="begin"/>
            </w:r>
            <w:r w:rsidR="00F62917">
              <w:rPr>
                <w:noProof/>
                <w:webHidden/>
              </w:rPr>
              <w:instrText xml:space="preserve"> PAGEREF _Toc165018208 \h </w:instrText>
            </w:r>
            <w:r w:rsidR="00F62917">
              <w:rPr>
                <w:noProof/>
                <w:webHidden/>
              </w:rPr>
            </w:r>
            <w:r w:rsidR="00F62917">
              <w:rPr>
                <w:noProof/>
                <w:webHidden/>
              </w:rPr>
              <w:fldChar w:fldCharType="separate"/>
            </w:r>
            <w:r w:rsidR="002B24EB">
              <w:rPr>
                <w:noProof/>
                <w:webHidden/>
              </w:rPr>
              <w:t>25</w:t>
            </w:r>
            <w:r w:rsidR="00F62917">
              <w:rPr>
                <w:noProof/>
                <w:webHidden/>
              </w:rPr>
              <w:fldChar w:fldCharType="end"/>
            </w:r>
          </w:hyperlink>
        </w:p>
        <w:p w14:paraId="1FABABC1" w14:textId="3E938E08" w:rsidR="00F62917" w:rsidRDefault="00F7136B" w:rsidP="001F43E8">
          <w:pPr>
            <w:pStyle w:val="TOC1"/>
            <w:spacing w:after="120"/>
            <w:rPr>
              <w:rFonts w:eastAsiaTheme="minorEastAsia"/>
              <w:noProof/>
              <w:kern w:val="2"/>
              <w:sz w:val="22"/>
              <w:lang w:eastAsia="en-AU"/>
              <w14:ligatures w14:val="standardContextual"/>
            </w:rPr>
          </w:pPr>
          <w:hyperlink w:anchor="_Toc165018210" w:history="1">
            <w:r w:rsidR="00F62917" w:rsidRPr="003A62A6">
              <w:rPr>
                <w:rStyle w:val="Hyperlink"/>
                <w:noProof/>
              </w:rPr>
              <w:t>Summary of the Evidence: Medicinal Cannabis Interventions</w:t>
            </w:r>
            <w:r w:rsidR="00F62917">
              <w:rPr>
                <w:noProof/>
                <w:webHidden/>
              </w:rPr>
              <w:tab/>
            </w:r>
            <w:r w:rsidR="00F62917">
              <w:rPr>
                <w:noProof/>
                <w:webHidden/>
              </w:rPr>
              <w:fldChar w:fldCharType="begin"/>
            </w:r>
            <w:r w:rsidR="00F62917">
              <w:rPr>
                <w:noProof/>
                <w:webHidden/>
              </w:rPr>
              <w:instrText xml:space="preserve"> PAGEREF _Toc165018210 \h </w:instrText>
            </w:r>
            <w:r w:rsidR="00F62917">
              <w:rPr>
                <w:noProof/>
                <w:webHidden/>
              </w:rPr>
            </w:r>
            <w:r w:rsidR="00F62917">
              <w:rPr>
                <w:noProof/>
                <w:webHidden/>
              </w:rPr>
              <w:fldChar w:fldCharType="separate"/>
            </w:r>
            <w:r w:rsidR="002B24EB">
              <w:rPr>
                <w:noProof/>
                <w:webHidden/>
              </w:rPr>
              <w:t>27</w:t>
            </w:r>
            <w:r w:rsidR="00F62917">
              <w:rPr>
                <w:noProof/>
                <w:webHidden/>
              </w:rPr>
              <w:fldChar w:fldCharType="end"/>
            </w:r>
          </w:hyperlink>
        </w:p>
        <w:p w14:paraId="6D7003B0" w14:textId="1F9A87A0" w:rsidR="00F62917" w:rsidRDefault="00F7136B" w:rsidP="001F43E8">
          <w:pPr>
            <w:pStyle w:val="TOC1"/>
            <w:spacing w:after="120"/>
            <w:rPr>
              <w:rFonts w:eastAsiaTheme="minorEastAsia"/>
              <w:noProof/>
              <w:kern w:val="2"/>
              <w:sz w:val="22"/>
              <w:lang w:eastAsia="en-AU"/>
              <w14:ligatures w14:val="standardContextual"/>
            </w:rPr>
          </w:pPr>
          <w:hyperlink w:anchor="_Toc165018219" w:history="1">
            <w:r w:rsidR="00F62917" w:rsidRPr="003A62A6">
              <w:rPr>
                <w:rStyle w:val="Hyperlink"/>
                <w:noProof/>
              </w:rPr>
              <w:t>Strengths and Limitations</w:t>
            </w:r>
            <w:r w:rsidR="00F62917">
              <w:rPr>
                <w:noProof/>
                <w:webHidden/>
              </w:rPr>
              <w:tab/>
            </w:r>
            <w:r w:rsidR="00F62917">
              <w:rPr>
                <w:noProof/>
                <w:webHidden/>
              </w:rPr>
              <w:fldChar w:fldCharType="begin"/>
            </w:r>
            <w:r w:rsidR="00F62917">
              <w:rPr>
                <w:noProof/>
                <w:webHidden/>
              </w:rPr>
              <w:instrText xml:space="preserve"> PAGEREF _Toc165018219 \h </w:instrText>
            </w:r>
            <w:r w:rsidR="00F62917">
              <w:rPr>
                <w:noProof/>
                <w:webHidden/>
              </w:rPr>
            </w:r>
            <w:r w:rsidR="00F62917">
              <w:rPr>
                <w:noProof/>
                <w:webHidden/>
              </w:rPr>
              <w:fldChar w:fldCharType="separate"/>
            </w:r>
            <w:r w:rsidR="002B24EB">
              <w:rPr>
                <w:noProof/>
                <w:webHidden/>
              </w:rPr>
              <w:t>35</w:t>
            </w:r>
            <w:r w:rsidR="00F62917">
              <w:rPr>
                <w:noProof/>
                <w:webHidden/>
              </w:rPr>
              <w:fldChar w:fldCharType="end"/>
            </w:r>
          </w:hyperlink>
        </w:p>
        <w:p w14:paraId="7D4A7989" w14:textId="45E621BD" w:rsidR="00F62917" w:rsidRDefault="00F7136B" w:rsidP="001F43E8">
          <w:pPr>
            <w:pStyle w:val="TOC1"/>
            <w:spacing w:after="120"/>
            <w:rPr>
              <w:rFonts w:eastAsiaTheme="minorEastAsia"/>
              <w:noProof/>
              <w:kern w:val="2"/>
              <w:sz w:val="22"/>
              <w:lang w:eastAsia="en-AU"/>
              <w14:ligatures w14:val="standardContextual"/>
            </w:rPr>
          </w:pPr>
          <w:hyperlink w:anchor="_Toc165018220" w:history="1">
            <w:r w:rsidR="00F62917" w:rsidRPr="003A62A6">
              <w:rPr>
                <w:rStyle w:val="Hyperlink"/>
                <w:noProof/>
              </w:rPr>
              <w:t>Conclusions and Recommendations for Future Research</w:t>
            </w:r>
            <w:r w:rsidR="00F62917">
              <w:rPr>
                <w:noProof/>
                <w:webHidden/>
              </w:rPr>
              <w:tab/>
            </w:r>
            <w:r w:rsidR="00F62917">
              <w:rPr>
                <w:noProof/>
                <w:webHidden/>
              </w:rPr>
              <w:fldChar w:fldCharType="begin"/>
            </w:r>
            <w:r w:rsidR="00F62917">
              <w:rPr>
                <w:noProof/>
                <w:webHidden/>
              </w:rPr>
              <w:instrText xml:space="preserve"> PAGEREF _Toc165018220 \h </w:instrText>
            </w:r>
            <w:r w:rsidR="00F62917">
              <w:rPr>
                <w:noProof/>
                <w:webHidden/>
              </w:rPr>
            </w:r>
            <w:r w:rsidR="00F62917">
              <w:rPr>
                <w:noProof/>
                <w:webHidden/>
              </w:rPr>
              <w:fldChar w:fldCharType="separate"/>
            </w:r>
            <w:r w:rsidR="002B24EB">
              <w:rPr>
                <w:noProof/>
                <w:webHidden/>
              </w:rPr>
              <w:t>35</w:t>
            </w:r>
            <w:r w:rsidR="00F62917">
              <w:rPr>
                <w:noProof/>
                <w:webHidden/>
              </w:rPr>
              <w:fldChar w:fldCharType="end"/>
            </w:r>
          </w:hyperlink>
        </w:p>
        <w:p w14:paraId="2D256DB0" w14:textId="3843E704" w:rsidR="00F62917" w:rsidRDefault="00F7136B" w:rsidP="001F43E8">
          <w:pPr>
            <w:pStyle w:val="TOC1"/>
            <w:spacing w:after="120"/>
            <w:rPr>
              <w:rFonts w:eastAsiaTheme="minorEastAsia"/>
              <w:noProof/>
              <w:kern w:val="2"/>
              <w:sz w:val="22"/>
              <w:lang w:eastAsia="en-AU"/>
              <w14:ligatures w14:val="standardContextual"/>
            </w:rPr>
          </w:pPr>
          <w:hyperlink w:anchor="_Toc165018221" w:history="1">
            <w:r w:rsidR="00F62917" w:rsidRPr="003A62A6">
              <w:rPr>
                <w:rStyle w:val="Hyperlink"/>
                <w:noProof/>
              </w:rPr>
              <w:t>Reference List</w:t>
            </w:r>
            <w:r w:rsidR="00F62917">
              <w:rPr>
                <w:noProof/>
                <w:webHidden/>
              </w:rPr>
              <w:tab/>
            </w:r>
            <w:r w:rsidR="00F62917">
              <w:rPr>
                <w:noProof/>
                <w:webHidden/>
              </w:rPr>
              <w:fldChar w:fldCharType="begin"/>
            </w:r>
            <w:r w:rsidR="00F62917">
              <w:rPr>
                <w:noProof/>
                <w:webHidden/>
              </w:rPr>
              <w:instrText xml:space="preserve"> PAGEREF _Toc165018221 \h </w:instrText>
            </w:r>
            <w:r w:rsidR="00F62917">
              <w:rPr>
                <w:noProof/>
                <w:webHidden/>
              </w:rPr>
            </w:r>
            <w:r w:rsidR="00F62917">
              <w:rPr>
                <w:noProof/>
                <w:webHidden/>
              </w:rPr>
              <w:fldChar w:fldCharType="separate"/>
            </w:r>
            <w:r w:rsidR="002B24EB">
              <w:rPr>
                <w:noProof/>
                <w:webHidden/>
              </w:rPr>
              <w:t>37</w:t>
            </w:r>
            <w:r w:rsidR="00F62917">
              <w:rPr>
                <w:noProof/>
                <w:webHidden/>
              </w:rPr>
              <w:fldChar w:fldCharType="end"/>
            </w:r>
          </w:hyperlink>
        </w:p>
        <w:p w14:paraId="0FEDC897" w14:textId="299102B4" w:rsidR="00F62917" w:rsidRDefault="00F7136B" w:rsidP="001F43E8">
          <w:pPr>
            <w:pStyle w:val="TOC1"/>
            <w:spacing w:after="120"/>
            <w:rPr>
              <w:rFonts w:eastAsiaTheme="minorEastAsia"/>
              <w:noProof/>
              <w:kern w:val="2"/>
              <w:sz w:val="22"/>
              <w:lang w:eastAsia="en-AU"/>
              <w14:ligatures w14:val="standardContextual"/>
            </w:rPr>
          </w:pPr>
          <w:hyperlink w:anchor="_Toc165018222" w:history="1">
            <w:r w:rsidR="00F62917" w:rsidRPr="003A62A6">
              <w:rPr>
                <w:rStyle w:val="Hyperlink"/>
                <w:noProof/>
              </w:rPr>
              <w:t>Appendix 1: Best-Practice Guidelines for Rapid Reviews</w:t>
            </w:r>
            <w:r w:rsidR="00F62917">
              <w:rPr>
                <w:noProof/>
                <w:webHidden/>
              </w:rPr>
              <w:tab/>
            </w:r>
            <w:r w:rsidR="00F62917">
              <w:rPr>
                <w:noProof/>
                <w:webHidden/>
              </w:rPr>
              <w:fldChar w:fldCharType="begin"/>
            </w:r>
            <w:r w:rsidR="00F62917">
              <w:rPr>
                <w:noProof/>
                <w:webHidden/>
              </w:rPr>
              <w:instrText xml:space="preserve"> PAGEREF _Toc165018222 \h </w:instrText>
            </w:r>
            <w:r w:rsidR="00F62917">
              <w:rPr>
                <w:noProof/>
                <w:webHidden/>
              </w:rPr>
            </w:r>
            <w:r w:rsidR="00F62917">
              <w:rPr>
                <w:noProof/>
                <w:webHidden/>
              </w:rPr>
              <w:fldChar w:fldCharType="separate"/>
            </w:r>
            <w:r w:rsidR="002B24EB">
              <w:rPr>
                <w:noProof/>
                <w:webHidden/>
              </w:rPr>
              <w:t>43</w:t>
            </w:r>
            <w:r w:rsidR="00F62917">
              <w:rPr>
                <w:noProof/>
                <w:webHidden/>
              </w:rPr>
              <w:fldChar w:fldCharType="end"/>
            </w:r>
          </w:hyperlink>
        </w:p>
        <w:p w14:paraId="3034FF8E" w14:textId="63865FD4" w:rsidR="00F62917" w:rsidRDefault="00F7136B" w:rsidP="001F43E8">
          <w:pPr>
            <w:pStyle w:val="TOC1"/>
            <w:spacing w:after="120"/>
            <w:rPr>
              <w:rFonts w:eastAsiaTheme="minorEastAsia"/>
              <w:noProof/>
              <w:kern w:val="2"/>
              <w:sz w:val="22"/>
              <w:lang w:eastAsia="en-AU"/>
              <w14:ligatures w14:val="standardContextual"/>
            </w:rPr>
          </w:pPr>
          <w:hyperlink w:anchor="_Toc165018223" w:history="1">
            <w:r w:rsidR="00F62917" w:rsidRPr="003A62A6">
              <w:rPr>
                <w:rStyle w:val="Hyperlink"/>
                <w:noProof/>
              </w:rPr>
              <w:t>Appendix 2: Population, Intervention, Comparator, Outcome (PICO) Framework</w:t>
            </w:r>
            <w:r w:rsidR="00F62917">
              <w:rPr>
                <w:noProof/>
                <w:webHidden/>
              </w:rPr>
              <w:tab/>
            </w:r>
            <w:r w:rsidR="00F62917">
              <w:rPr>
                <w:noProof/>
                <w:webHidden/>
              </w:rPr>
              <w:fldChar w:fldCharType="begin"/>
            </w:r>
            <w:r w:rsidR="00F62917">
              <w:rPr>
                <w:noProof/>
                <w:webHidden/>
              </w:rPr>
              <w:instrText xml:space="preserve"> PAGEREF _Toc165018223 \h </w:instrText>
            </w:r>
            <w:r w:rsidR="00F62917">
              <w:rPr>
                <w:noProof/>
                <w:webHidden/>
              </w:rPr>
            </w:r>
            <w:r w:rsidR="00F62917">
              <w:rPr>
                <w:noProof/>
                <w:webHidden/>
              </w:rPr>
              <w:fldChar w:fldCharType="separate"/>
            </w:r>
            <w:r w:rsidR="002B24EB">
              <w:rPr>
                <w:noProof/>
                <w:webHidden/>
              </w:rPr>
              <w:t>45</w:t>
            </w:r>
            <w:r w:rsidR="00F62917">
              <w:rPr>
                <w:noProof/>
                <w:webHidden/>
              </w:rPr>
              <w:fldChar w:fldCharType="end"/>
            </w:r>
          </w:hyperlink>
        </w:p>
        <w:p w14:paraId="7C3CB4FD" w14:textId="2D8CEEFE" w:rsidR="00F62917" w:rsidRDefault="00F7136B" w:rsidP="001F43E8">
          <w:pPr>
            <w:pStyle w:val="TOC1"/>
            <w:spacing w:after="120"/>
            <w:rPr>
              <w:rFonts w:eastAsiaTheme="minorEastAsia"/>
              <w:noProof/>
              <w:kern w:val="2"/>
              <w:sz w:val="22"/>
              <w:lang w:eastAsia="en-AU"/>
              <w14:ligatures w14:val="standardContextual"/>
            </w:rPr>
          </w:pPr>
          <w:hyperlink w:anchor="_Toc165018224" w:history="1">
            <w:r w:rsidR="00F62917" w:rsidRPr="003A62A6">
              <w:rPr>
                <w:rStyle w:val="Hyperlink"/>
                <w:noProof/>
              </w:rPr>
              <w:t>Appendix 3: Search Strategy (PubMed)</w:t>
            </w:r>
            <w:r w:rsidR="00F62917">
              <w:rPr>
                <w:noProof/>
                <w:webHidden/>
              </w:rPr>
              <w:tab/>
            </w:r>
            <w:r w:rsidR="00F62917">
              <w:rPr>
                <w:noProof/>
                <w:webHidden/>
              </w:rPr>
              <w:fldChar w:fldCharType="begin"/>
            </w:r>
            <w:r w:rsidR="00F62917">
              <w:rPr>
                <w:noProof/>
                <w:webHidden/>
              </w:rPr>
              <w:instrText xml:space="preserve"> PAGEREF _Toc165018224 \h </w:instrText>
            </w:r>
            <w:r w:rsidR="00F62917">
              <w:rPr>
                <w:noProof/>
                <w:webHidden/>
              </w:rPr>
            </w:r>
            <w:r w:rsidR="00F62917">
              <w:rPr>
                <w:noProof/>
                <w:webHidden/>
              </w:rPr>
              <w:fldChar w:fldCharType="separate"/>
            </w:r>
            <w:r w:rsidR="002B24EB">
              <w:rPr>
                <w:noProof/>
                <w:webHidden/>
              </w:rPr>
              <w:t>46</w:t>
            </w:r>
            <w:r w:rsidR="00F62917">
              <w:rPr>
                <w:noProof/>
                <w:webHidden/>
              </w:rPr>
              <w:fldChar w:fldCharType="end"/>
            </w:r>
          </w:hyperlink>
        </w:p>
        <w:p w14:paraId="6EAA032F" w14:textId="78B38E60" w:rsidR="00F62917" w:rsidRDefault="00F7136B" w:rsidP="001F43E8">
          <w:pPr>
            <w:pStyle w:val="TOC1"/>
            <w:spacing w:after="120"/>
            <w:rPr>
              <w:rFonts w:eastAsiaTheme="minorEastAsia"/>
              <w:noProof/>
              <w:kern w:val="2"/>
              <w:sz w:val="22"/>
              <w:lang w:eastAsia="en-AU"/>
              <w14:ligatures w14:val="standardContextual"/>
            </w:rPr>
          </w:pPr>
          <w:hyperlink w:anchor="_Toc165018229" w:history="1">
            <w:r w:rsidR="00F62917" w:rsidRPr="003A62A6">
              <w:rPr>
                <w:rStyle w:val="Hyperlink"/>
                <w:noProof/>
              </w:rPr>
              <w:t>Appendix 4: List of Excluded Studies</w:t>
            </w:r>
            <w:r w:rsidR="00F62917">
              <w:rPr>
                <w:noProof/>
                <w:webHidden/>
              </w:rPr>
              <w:tab/>
            </w:r>
            <w:r w:rsidR="00F62917">
              <w:rPr>
                <w:noProof/>
                <w:webHidden/>
              </w:rPr>
              <w:fldChar w:fldCharType="begin"/>
            </w:r>
            <w:r w:rsidR="00F62917">
              <w:rPr>
                <w:noProof/>
                <w:webHidden/>
              </w:rPr>
              <w:instrText xml:space="preserve"> PAGEREF _Toc165018229 \h </w:instrText>
            </w:r>
            <w:r w:rsidR="00F62917">
              <w:rPr>
                <w:noProof/>
                <w:webHidden/>
              </w:rPr>
            </w:r>
            <w:r w:rsidR="00F62917">
              <w:rPr>
                <w:noProof/>
                <w:webHidden/>
              </w:rPr>
              <w:fldChar w:fldCharType="separate"/>
            </w:r>
            <w:r w:rsidR="002B24EB">
              <w:rPr>
                <w:noProof/>
                <w:webHidden/>
              </w:rPr>
              <w:t>47</w:t>
            </w:r>
            <w:r w:rsidR="00F62917">
              <w:rPr>
                <w:noProof/>
                <w:webHidden/>
              </w:rPr>
              <w:fldChar w:fldCharType="end"/>
            </w:r>
          </w:hyperlink>
        </w:p>
        <w:p w14:paraId="78B0661D" w14:textId="0DDC4D14" w:rsidR="00F62917" w:rsidRDefault="00F7136B" w:rsidP="001F43E8">
          <w:pPr>
            <w:pStyle w:val="TOC1"/>
            <w:spacing w:after="120"/>
            <w:rPr>
              <w:rFonts w:eastAsiaTheme="minorEastAsia"/>
              <w:noProof/>
              <w:kern w:val="2"/>
              <w:sz w:val="22"/>
              <w:lang w:eastAsia="en-AU"/>
              <w14:ligatures w14:val="standardContextual"/>
            </w:rPr>
          </w:pPr>
          <w:hyperlink w:anchor="_Toc165018235" w:history="1">
            <w:r w:rsidR="00F62917" w:rsidRPr="003A62A6">
              <w:rPr>
                <w:rStyle w:val="Hyperlink"/>
                <w:noProof/>
              </w:rPr>
              <w:t>Appendix 5: List of Included Studies</w:t>
            </w:r>
            <w:r w:rsidR="00F62917">
              <w:rPr>
                <w:noProof/>
                <w:webHidden/>
              </w:rPr>
              <w:tab/>
            </w:r>
            <w:r w:rsidR="00F62917">
              <w:rPr>
                <w:noProof/>
                <w:webHidden/>
              </w:rPr>
              <w:fldChar w:fldCharType="begin"/>
            </w:r>
            <w:r w:rsidR="00F62917">
              <w:rPr>
                <w:noProof/>
                <w:webHidden/>
              </w:rPr>
              <w:instrText xml:space="preserve"> PAGEREF _Toc165018235 \h </w:instrText>
            </w:r>
            <w:r w:rsidR="00F62917">
              <w:rPr>
                <w:noProof/>
                <w:webHidden/>
              </w:rPr>
            </w:r>
            <w:r w:rsidR="00F62917">
              <w:rPr>
                <w:noProof/>
                <w:webHidden/>
              </w:rPr>
              <w:fldChar w:fldCharType="separate"/>
            </w:r>
            <w:r w:rsidR="002B24EB">
              <w:rPr>
                <w:noProof/>
                <w:webHidden/>
              </w:rPr>
              <w:t>51</w:t>
            </w:r>
            <w:r w:rsidR="00F62917">
              <w:rPr>
                <w:noProof/>
                <w:webHidden/>
              </w:rPr>
              <w:fldChar w:fldCharType="end"/>
            </w:r>
          </w:hyperlink>
        </w:p>
        <w:p w14:paraId="1A03E19E" w14:textId="47958826" w:rsidR="00F62917" w:rsidRDefault="00F7136B" w:rsidP="001F43E8">
          <w:pPr>
            <w:pStyle w:val="TOC1"/>
            <w:spacing w:after="120"/>
            <w:rPr>
              <w:rFonts w:eastAsiaTheme="minorEastAsia"/>
              <w:noProof/>
              <w:kern w:val="2"/>
              <w:sz w:val="22"/>
              <w:lang w:eastAsia="en-AU"/>
              <w14:ligatures w14:val="standardContextual"/>
            </w:rPr>
          </w:pPr>
          <w:hyperlink w:anchor="_Toc165018237" w:history="1">
            <w:r w:rsidR="00F62917" w:rsidRPr="003A62A6">
              <w:rPr>
                <w:rStyle w:val="Hyperlink"/>
                <w:noProof/>
              </w:rPr>
              <w:t>Appendix 6: Matrix of Included Studies</w:t>
            </w:r>
            <w:r w:rsidR="00F62917">
              <w:rPr>
                <w:noProof/>
                <w:webHidden/>
              </w:rPr>
              <w:tab/>
            </w:r>
            <w:r w:rsidR="00F62917">
              <w:rPr>
                <w:noProof/>
                <w:webHidden/>
              </w:rPr>
              <w:fldChar w:fldCharType="begin"/>
            </w:r>
            <w:r w:rsidR="00F62917">
              <w:rPr>
                <w:noProof/>
                <w:webHidden/>
              </w:rPr>
              <w:instrText xml:space="preserve"> PAGEREF _Toc165018237 \h </w:instrText>
            </w:r>
            <w:r w:rsidR="00F62917">
              <w:rPr>
                <w:noProof/>
                <w:webHidden/>
              </w:rPr>
            </w:r>
            <w:r w:rsidR="00F62917">
              <w:rPr>
                <w:noProof/>
                <w:webHidden/>
              </w:rPr>
              <w:fldChar w:fldCharType="separate"/>
            </w:r>
            <w:r w:rsidR="002B24EB">
              <w:rPr>
                <w:noProof/>
                <w:webHidden/>
              </w:rPr>
              <w:t>52</w:t>
            </w:r>
            <w:r w:rsidR="00F62917">
              <w:rPr>
                <w:noProof/>
                <w:webHidden/>
              </w:rPr>
              <w:fldChar w:fldCharType="end"/>
            </w:r>
          </w:hyperlink>
        </w:p>
        <w:p w14:paraId="0658115A" w14:textId="3360DED7" w:rsidR="00F62917" w:rsidRDefault="00F7136B" w:rsidP="001F43E8">
          <w:pPr>
            <w:pStyle w:val="TOC1"/>
            <w:spacing w:after="120"/>
            <w:rPr>
              <w:rFonts w:eastAsiaTheme="minorEastAsia"/>
              <w:noProof/>
              <w:kern w:val="2"/>
              <w:sz w:val="22"/>
              <w:lang w:eastAsia="en-AU"/>
              <w14:ligatures w14:val="standardContextual"/>
            </w:rPr>
          </w:pPr>
          <w:hyperlink w:anchor="_Toc165018239" w:history="1">
            <w:r w:rsidR="00F62917" w:rsidRPr="003A62A6">
              <w:rPr>
                <w:rStyle w:val="Hyperlink"/>
                <w:noProof/>
              </w:rPr>
              <w:t>Appendix 7: Summary of Findings</w:t>
            </w:r>
            <w:r w:rsidR="00F62917">
              <w:rPr>
                <w:noProof/>
                <w:webHidden/>
              </w:rPr>
              <w:tab/>
            </w:r>
            <w:r w:rsidR="00F62917">
              <w:rPr>
                <w:noProof/>
                <w:webHidden/>
              </w:rPr>
              <w:fldChar w:fldCharType="begin"/>
            </w:r>
            <w:r w:rsidR="00F62917">
              <w:rPr>
                <w:noProof/>
                <w:webHidden/>
              </w:rPr>
              <w:instrText xml:space="preserve"> PAGEREF _Toc165018239 \h </w:instrText>
            </w:r>
            <w:r w:rsidR="00F62917">
              <w:rPr>
                <w:noProof/>
                <w:webHidden/>
              </w:rPr>
            </w:r>
            <w:r w:rsidR="00F62917">
              <w:rPr>
                <w:noProof/>
                <w:webHidden/>
              </w:rPr>
              <w:fldChar w:fldCharType="separate"/>
            </w:r>
            <w:r w:rsidR="002B24EB">
              <w:rPr>
                <w:noProof/>
                <w:webHidden/>
              </w:rPr>
              <w:t>53</w:t>
            </w:r>
            <w:r w:rsidR="00F62917">
              <w:rPr>
                <w:noProof/>
                <w:webHidden/>
              </w:rPr>
              <w:fldChar w:fldCharType="end"/>
            </w:r>
          </w:hyperlink>
        </w:p>
        <w:p w14:paraId="56933B8B" w14:textId="05711CF1" w:rsidR="00F62917" w:rsidRDefault="00F7136B" w:rsidP="001F43E8">
          <w:pPr>
            <w:pStyle w:val="TOC1"/>
            <w:spacing w:after="120"/>
            <w:rPr>
              <w:rFonts w:eastAsiaTheme="minorEastAsia"/>
              <w:noProof/>
              <w:kern w:val="2"/>
              <w:sz w:val="22"/>
              <w:lang w:eastAsia="en-AU"/>
              <w14:ligatures w14:val="standardContextual"/>
            </w:rPr>
          </w:pPr>
          <w:hyperlink w:anchor="_Toc165018253" w:history="1">
            <w:r w:rsidR="00F62917" w:rsidRPr="003A62A6">
              <w:rPr>
                <w:rStyle w:val="Hyperlink"/>
                <w:noProof/>
              </w:rPr>
              <w:t>Appendix 8: Risk of Bias Assessments (RoB2)</w:t>
            </w:r>
            <w:r w:rsidR="00F62917">
              <w:rPr>
                <w:noProof/>
                <w:webHidden/>
              </w:rPr>
              <w:tab/>
            </w:r>
            <w:r w:rsidR="00F62917">
              <w:rPr>
                <w:noProof/>
                <w:webHidden/>
              </w:rPr>
              <w:fldChar w:fldCharType="begin"/>
            </w:r>
            <w:r w:rsidR="00F62917">
              <w:rPr>
                <w:noProof/>
                <w:webHidden/>
              </w:rPr>
              <w:instrText xml:space="preserve"> PAGEREF _Toc165018253 \h </w:instrText>
            </w:r>
            <w:r w:rsidR="00F62917">
              <w:rPr>
                <w:noProof/>
                <w:webHidden/>
              </w:rPr>
            </w:r>
            <w:r w:rsidR="00F62917">
              <w:rPr>
                <w:noProof/>
                <w:webHidden/>
              </w:rPr>
              <w:fldChar w:fldCharType="separate"/>
            </w:r>
            <w:r w:rsidR="002B24EB">
              <w:rPr>
                <w:noProof/>
                <w:webHidden/>
              </w:rPr>
              <w:t>79</w:t>
            </w:r>
            <w:r w:rsidR="00F62917">
              <w:rPr>
                <w:noProof/>
                <w:webHidden/>
              </w:rPr>
              <w:fldChar w:fldCharType="end"/>
            </w:r>
          </w:hyperlink>
        </w:p>
        <w:p w14:paraId="278E9B33" w14:textId="344432A4" w:rsidR="00F62917" w:rsidRDefault="00F7136B" w:rsidP="001F43E8">
          <w:pPr>
            <w:pStyle w:val="TOC1"/>
            <w:spacing w:after="120"/>
            <w:rPr>
              <w:rFonts w:eastAsiaTheme="minorEastAsia"/>
              <w:noProof/>
              <w:kern w:val="2"/>
              <w:sz w:val="22"/>
              <w:lang w:eastAsia="en-AU"/>
              <w14:ligatures w14:val="standardContextual"/>
            </w:rPr>
          </w:pPr>
          <w:hyperlink w:anchor="_Toc165018255" w:history="1">
            <w:r w:rsidR="00F62917" w:rsidRPr="003A62A6">
              <w:rPr>
                <w:rStyle w:val="Hyperlink"/>
                <w:noProof/>
              </w:rPr>
              <w:t>Appendix 9: GRADE Certainty of Evidence Summaries</w:t>
            </w:r>
            <w:r w:rsidR="00F62917">
              <w:rPr>
                <w:noProof/>
                <w:webHidden/>
              </w:rPr>
              <w:tab/>
            </w:r>
            <w:r w:rsidR="00F62917">
              <w:rPr>
                <w:noProof/>
                <w:webHidden/>
              </w:rPr>
              <w:fldChar w:fldCharType="begin"/>
            </w:r>
            <w:r w:rsidR="00F62917">
              <w:rPr>
                <w:noProof/>
                <w:webHidden/>
              </w:rPr>
              <w:instrText xml:space="preserve"> PAGEREF _Toc165018255 \h </w:instrText>
            </w:r>
            <w:r w:rsidR="00F62917">
              <w:rPr>
                <w:noProof/>
                <w:webHidden/>
              </w:rPr>
            </w:r>
            <w:r w:rsidR="00F62917">
              <w:rPr>
                <w:noProof/>
                <w:webHidden/>
              </w:rPr>
              <w:fldChar w:fldCharType="separate"/>
            </w:r>
            <w:r w:rsidR="002B24EB">
              <w:rPr>
                <w:noProof/>
                <w:webHidden/>
              </w:rPr>
              <w:t>80</w:t>
            </w:r>
            <w:r w:rsidR="00F62917">
              <w:rPr>
                <w:noProof/>
                <w:webHidden/>
              </w:rPr>
              <w:fldChar w:fldCharType="end"/>
            </w:r>
          </w:hyperlink>
        </w:p>
        <w:p w14:paraId="05941485" w14:textId="68C2A156" w:rsidR="00BB0D21" w:rsidRPr="001D721C" w:rsidRDefault="00BB0D21" w:rsidP="001F43E8">
          <w:pPr>
            <w:pStyle w:val="TOC1"/>
            <w:spacing w:after="120"/>
            <w:rPr>
              <w:rFonts w:eastAsiaTheme="minorEastAsia"/>
              <w:noProof/>
              <w:sz w:val="22"/>
              <w:lang w:eastAsia="en-AU"/>
            </w:rPr>
          </w:pPr>
          <w:r w:rsidRPr="002973F7">
            <w:rPr>
              <w:noProof/>
              <w:highlight w:val="yellow"/>
            </w:rPr>
            <w:fldChar w:fldCharType="end"/>
          </w:r>
        </w:p>
      </w:sdtContent>
    </w:sdt>
    <w:p w14:paraId="1DA65AF4" w14:textId="0D2C54B3" w:rsidR="002973F7" w:rsidRDefault="002973F7" w:rsidP="002973F7">
      <w:pPr>
        <w:pStyle w:val="Heading1"/>
      </w:pPr>
      <w:bookmarkStart w:id="49" w:name="_Toc103944832"/>
      <w:bookmarkStart w:id="50" w:name="_Toc121096024"/>
      <w:bookmarkStart w:id="51" w:name="_Toc165018131"/>
      <w:r w:rsidRPr="00525D34">
        <w:t>List of Tables</w:t>
      </w:r>
      <w:bookmarkEnd w:id="49"/>
      <w:bookmarkEnd w:id="50"/>
      <w:bookmarkEnd w:id="51"/>
    </w:p>
    <w:p w14:paraId="7320E24B" w14:textId="6816CE61" w:rsidR="001F43E8" w:rsidRPr="001F43E8" w:rsidRDefault="00C2109E" w:rsidP="001F43E8">
      <w:pPr>
        <w:pStyle w:val="TableofFigures"/>
        <w:tabs>
          <w:tab w:val="right" w:leader="dot" w:pos="9016"/>
        </w:tabs>
        <w:spacing w:after="120"/>
        <w:rPr>
          <w:rFonts w:eastAsiaTheme="minorEastAsia"/>
          <w:noProof/>
          <w:kern w:val="2"/>
          <w:sz w:val="22"/>
          <w:lang w:eastAsia="en-AU"/>
          <w14:ligatures w14:val="standardContextual"/>
        </w:rPr>
      </w:pPr>
      <w:r w:rsidRPr="001F43E8">
        <w:fldChar w:fldCharType="begin"/>
      </w:r>
      <w:r w:rsidRPr="001F43E8">
        <w:instrText xml:space="preserve"> TOC \c "Table" </w:instrText>
      </w:r>
      <w:r w:rsidRPr="001F43E8">
        <w:fldChar w:fldCharType="separate"/>
      </w:r>
      <w:r w:rsidR="001F43E8" w:rsidRPr="001F43E8">
        <w:rPr>
          <w:noProof/>
        </w:rPr>
        <w:t>Table 1. Definitions employed by DVA to classify interventions.</w:t>
      </w:r>
      <w:r w:rsidR="001F43E8" w:rsidRPr="001F43E8">
        <w:rPr>
          <w:noProof/>
        </w:rPr>
        <w:tab/>
      </w:r>
      <w:r w:rsidR="001F43E8" w:rsidRPr="001F43E8">
        <w:rPr>
          <w:noProof/>
        </w:rPr>
        <w:fldChar w:fldCharType="begin"/>
      </w:r>
      <w:r w:rsidR="001F43E8" w:rsidRPr="001F43E8">
        <w:rPr>
          <w:noProof/>
        </w:rPr>
        <w:instrText xml:space="preserve"> PAGEREF _Toc165018277 \h </w:instrText>
      </w:r>
      <w:r w:rsidR="001F43E8" w:rsidRPr="001F43E8">
        <w:rPr>
          <w:noProof/>
        </w:rPr>
      </w:r>
      <w:r w:rsidR="001F43E8" w:rsidRPr="001F43E8">
        <w:rPr>
          <w:noProof/>
        </w:rPr>
        <w:fldChar w:fldCharType="separate"/>
      </w:r>
      <w:r w:rsidR="002B24EB">
        <w:rPr>
          <w:noProof/>
        </w:rPr>
        <w:t>21</w:t>
      </w:r>
      <w:r w:rsidR="001F43E8" w:rsidRPr="001F43E8">
        <w:rPr>
          <w:noProof/>
        </w:rPr>
        <w:fldChar w:fldCharType="end"/>
      </w:r>
    </w:p>
    <w:p w14:paraId="4F96489D" w14:textId="4B3611F3" w:rsidR="001F43E8" w:rsidRPr="001F43E8" w:rsidRDefault="001F43E8" w:rsidP="001F43E8">
      <w:pPr>
        <w:pStyle w:val="TableofFigures"/>
        <w:tabs>
          <w:tab w:val="right" w:leader="dot" w:pos="9016"/>
        </w:tabs>
        <w:spacing w:after="120"/>
        <w:rPr>
          <w:rFonts w:eastAsiaTheme="minorEastAsia"/>
          <w:noProof/>
          <w:kern w:val="2"/>
          <w:sz w:val="22"/>
          <w:lang w:eastAsia="en-AU"/>
          <w14:ligatures w14:val="standardContextual"/>
        </w:rPr>
      </w:pPr>
      <w:r w:rsidRPr="001F43E8">
        <w:rPr>
          <w:noProof/>
        </w:rPr>
        <w:t>Table 2. NHMRC “level of evidence” hierarchy for intervention research questions.</w:t>
      </w:r>
      <w:r w:rsidRPr="001F43E8">
        <w:rPr>
          <w:noProof/>
        </w:rPr>
        <w:tab/>
      </w:r>
      <w:r w:rsidRPr="001F43E8">
        <w:rPr>
          <w:noProof/>
        </w:rPr>
        <w:fldChar w:fldCharType="begin"/>
      </w:r>
      <w:r w:rsidRPr="001F43E8">
        <w:rPr>
          <w:noProof/>
        </w:rPr>
        <w:instrText xml:space="preserve"> PAGEREF _Toc165018278 \h </w:instrText>
      </w:r>
      <w:r w:rsidRPr="001F43E8">
        <w:rPr>
          <w:noProof/>
        </w:rPr>
      </w:r>
      <w:r w:rsidRPr="001F43E8">
        <w:rPr>
          <w:noProof/>
        </w:rPr>
        <w:fldChar w:fldCharType="separate"/>
      </w:r>
      <w:r w:rsidR="002B24EB">
        <w:rPr>
          <w:noProof/>
        </w:rPr>
        <w:t>22</w:t>
      </w:r>
      <w:r w:rsidRPr="001F43E8">
        <w:rPr>
          <w:noProof/>
        </w:rPr>
        <w:fldChar w:fldCharType="end"/>
      </w:r>
    </w:p>
    <w:p w14:paraId="536C8221" w14:textId="71EFEA80" w:rsidR="001F43E8" w:rsidRPr="001F43E8" w:rsidRDefault="001F43E8" w:rsidP="001F43E8">
      <w:pPr>
        <w:pStyle w:val="TableofFigures"/>
        <w:tabs>
          <w:tab w:val="right" w:leader="dot" w:pos="9016"/>
        </w:tabs>
        <w:spacing w:after="120"/>
        <w:rPr>
          <w:rFonts w:eastAsiaTheme="minorEastAsia"/>
          <w:noProof/>
          <w:kern w:val="2"/>
          <w:sz w:val="22"/>
          <w:lang w:eastAsia="en-AU"/>
          <w14:ligatures w14:val="standardContextual"/>
        </w:rPr>
      </w:pPr>
      <w:r w:rsidRPr="001F43E8">
        <w:rPr>
          <w:noProof/>
        </w:rPr>
        <w:t>Table 3. Overall risk-of-bias judgements for the revised Cochrane risk-of-bias tool for randomised trials.</w:t>
      </w:r>
      <w:r w:rsidRPr="001F43E8">
        <w:rPr>
          <w:noProof/>
        </w:rPr>
        <w:tab/>
      </w:r>
      <w:r w:rsidRPr="001F43E8">
        <w:rPr>
          <w:noProof/>
        </w:rPr>
        <w:fldChar w:fldCharType="begin"/>
      </w:r>
      <w:r w:rsidRPr="001F43E8">
        <w:rPr>
          <w:noProof/>
        </w:rPr>
        <w:instrText xml:space="preserve"> PAGEREF _Toc165018279 \h </w:instrText>
      </w:r>
      <w:r w:rsidRPr="001F43E8">
        <w:rPr>
          <w:noProof/>
        </w:rPr>
      </w:r>
      <w:r w:rsidRPr="001F43E8">
        <w:rPr>
          <w:noProof/>
        </w:rPr>
        <w:fldChar w:fldCharType="separate"/>
      </w:r>
      <w:r w:rsidR="002B24EB">
        <w:rPr>
          <w:noProof/>
        </w:rPr>
        <w:t>24</w:t>
      </w:r>
      <w:r w:rsidRPr="001F43E8">
        <w:rPr>
          <w:noProof/>
        </w:rPr>
        <w:fldChar w:fldCharType="end"/>
      </w:r>
    </w:p>
    <w:p w14:paraId="04C916B1" w14:textId="66464CB9" w:rsidR="001F43E8" w:rsidRPr="001F43E8" w:rsidRDefault="001F43E8" w:rsidP="001F43E8">
      <w:pPr>
        <w:pStyle w:val="TableofFigures"/>
        <w:tabs>
          <w:tab w:val="right" w:leader="dot" w:pos="9016"/>
        </w:tabs>
        <w:spacing w:after="120"/>
        <w:rPr>
          <w:rFonts w:eastAsiaTheme="minorEastAsia"/>
          <w:noProof/>
          <w:kern w:val="2"/>
          <w:sz w:val="22"/>
          <w:lang w:eastAsia="en-AU"/>
          <w14:ligatures w14:val="standardContextual"/>
        </w:rPr>
      </w:pPr>
      <w:r w:rsidRPr="001F43E8">
        <w:rPr>
          <w:noProof/>
        </w:rPr>
        <w:t>Table 4. Interpretation of the four levels of evidence used in the GRADE profile.</w:t>
      </w:r>
      <w:r w:rsidRPr="001F43E8">
        <w:rPr>
          <w:noProof/>
        </w:rPr>
        <w:tab/>
      </w:r>
      <w:r w:rsidRPr="001F43E8">
        <w:rPr>
          <w:noProof/>
        </w:rPr>
        <w:fldChar w:fldCharType="begin"/>
      </w:r>
      <w:r w:rsidRPr="001F43E8">
        <w:rPr>
          <w:noProof/>
        </w:rPr>
        <w:instrText xml:space="preserve"> PAGEREF _Toc165018280 \h </w:instrText>
      </w:r>
      <w:r w:rsidRPr="001F43E8">
        <w:rPr>
          <w:noProof/>
        </w:rPr>
      </w:r>
      <w:r w:rsidRPr="001F43E8">
        <w:rPr>
          <w:noProof/>
        </w:rPr>
        <w:fldChar w:fldCharType="separate"/>
      </w:r>
      <w:r w:rsidR="002B24EB">
        <w:rPr>
          <w:noProof/>
        </w:rPr>
        <w:t>24</w:t>
      </w:r>
      <w:r w:rsidRPr="001F43E8">
        <w:rPr>
          <w:noProof/>
        </w:rPr>
        <w:fldChar w:fldCharType="end"/>
      </w:r>
    </w:p>
    <w:p w14:paraId="0BAD3C99" w14:textId="31782A97" w:rsidR="002973F7" w:rsidRDefault="00C2109E" w:rsidP="001F43E8">
      <w:pPr>
        <w:spacing w:line="360" w:lineRule="auto"/>
      </w:pPr>
      <w:r w:rsidRPr="001F43E8">
        <w:fldChar w:fldCharType="end"/>
      </w:r>
    </w:p>
    <w:p w14:paraId="0FFA6F3C" w14:textId="151D7DEF" w:rsidR="002973F7" w:rsidRDefault="002973F7" w:rsidP="002973F7">
      <w:pPr>
        <w:pStyle w:val="Heading1"/>
      </w:pPr>
      <w:bookmarkStart w:id="52" w:name="_Toc103944833"/>
      <w:bookmarkStart w:id="53" w:name="_Toc121096025"/>
      <w:bookmarkStart w:id="54" w:name="_Toc165018132"/>
      <w:r w:rsidRPr="00525D34">
        <w:t>List of Figures</w:t>
      </w:r>
      <w:bookmarkEnd w:id="52"/>
      <w:bookmarkEnd w:id="53"/>
      <w:bookmarkEnd w:id="54"/>
    </w:p>
    <w:p w14:paraId="466930EF" w14:textId="2986F97F" w:rsidR="001D721C" w:rsidRPr="001D721C" w:rsidRDefault="001D721C" w:rsidP="00C2109E">
      <w:pPr>
        <w:pStyle w:val="TableofFigures"/>
        <w:tabs>
          <w:tab w:val="right" w:leader="dot" w:pos="9016"/>
        </w:tabs>
        <w:spacing w:line="360" w:lineRule="auto"/>
        <w:rPr>
          <w:noProof/>
        </w:rPr>
      </w:pPr>
      <w:r w:rsidRPr="001D721C">
        <w:fldChar w:fldCharType="begin"/>
      </w:r>
      <w:r w:rsidRPr="001D721C">
        <w:instrText xml:space="preserve"> TOC \c "Figure" </w:instrText>
      </w:r>
      <w:r w:rsidRPr="001D721C">
        <w:fldChar w:fldCharType="separate"/>
      </w:r>
      <w:r w:rsidRPr="001D721C">
        <w:rPr>
          <w:noProof/>
        </w:rPr>
        <w:t>Figure 1. PRISMA diagram detailing the number of records under consideration at each stage of the REA .</w:t>
      </w:r>
      <w:r w:rsidRPr="001D721C">
        <w:rPr>
          <w:noProof/>
        </w:rPr>
        <w:tab/>
      </w:r>
      <w:r w:rsidRPr="001D721C">
        <w:rPr>
          <w:noProof/>
        </w:rPr>
        <w:fldChar w:fldCharType="begin"/>
      </w:r>
      <w:r w:rsidRPr="001D721C">
        <w:rPr>
          <w:noProof/>
        </w:rPr>
        <w:instrText xml:space="preserve"> PAGEREF _Toc103945106 \h </w:instrText>
      </w:r>
      <w:r w:rsidRPr="001D721C">
        <w:rPr>
          <w:noProof/>
        </w:rPr>
      </w:r>
      <w:r w:rsidRPr="001D721C">
        <w:rPr>
          <w:noProof/>
        </w:rPr>
        <w:fldChar w:fldCharType="separate"/>
      </w:r>
      <w:r w:rsidR="002B24EB">
        <w:rPr>
          <w:noProof/>
        </w:rPr>
        <w:t>26</w:t>
      </w:r>
      <w:r w:rsidRPr="001D721C">
        <w:rPr>
          <w:noProof/>
        </w:rPr>
        <w:fldChar w:fldCharType="end"/>
      </w:r>
    </w:p>
    <w:p w14:paraId="1CE3E532" w14:textId="68908B58" w:rsidR="00BB0D21" w:rsidRPr="009B4D43" w:rsidRDefault="001D721C" w:rsidP="00C2109E">
      <w:pPr>
        <w:spacing w:line="360" w:lineRule="auto"/>
      </w:pPr>
      <w:r w:rsidRPr="001D721C">
        <w:fldChar w:fldCharType="end"/>
      </w:r>
    </w:p>
    <w:p w14:paraId="6DDC6F73" w14:textId="77777777" w:rsidR="00BB0D21" w:rsidRPr="009B4D43" w:rsidRDefault="00BB0D21" w:rsidP="00BB0D21"/>
    <w:p w14:paraId="3CAC8923" w14:textId="77777777" w:rsidR="00BB0D21" w:rsidRPr="009B4D43" w:rsidRDefault="00BB0D21" w:rsidP="00BB0D21">
      <w:pPr>
        <w:sectPr w:rsidR="00BB0D21" w:rsidRPr="009B4D43" w:rsidSect="00AA7189">
          <w:pgSz w:w="11906" w:h="16838"/>
          <w:pgMar w:top="1440" w:right="1440" w:bottom="1440" w:left="1440" w:header="708" w:footer="708" w:gutter="0"/>
          <w:cols w:space="708"/>
          <w:docGrid w:linePitch="360"/>
        </w:sectPr>
      </w:pPr>
    </w:p>
    <w:p w14:paraId="649C6962" w14:textId="77777777" w:rsidR="005D0A54" w:rsidRDefault="005D0A54" w:rsidP="005D0A54">
      <w:pPr>
        <w:pStyle w:val="Heading1"/>
      </w:pPr>
      <w:bookmarkStart w:id="55" w:name="_Toc165018133"/>
      <w:r w:rsidRPr="001975E8">
        <w:lastRenderedPageBreak/>
        <w:t>List of Abbreviations</w:t>
      </w:r>
      <w:bookmarkEnd w:id="55"/>
    </w:p>
    <w:p w14:paraId="5F83B8DB" w14:textId="77777777" w:rsidR="005D0A54" w:rsidRPr="0030146A" w:rsidRDefault="005D0A54" w:rsidP="005D0A54">
      <w:pPr>
        <w:jc w:val="both"/>
        <w:rPr>
          <w:szCs w:val="20"/>
        </w:rPr>
      </w:pPr>
      <w:r w:rsidRPr="0030146A">
        <w:rPr>
          <w:szCs w:val="20"/>
        </w:rPr>
        <w:t xml:space="preserve">AE – Adverse Event </w:t>
      </w:r>
    </w:p>
    <w:p w14:paraId="5B5784BF" w14:textId="77777777" w:rsidR="005D0A54" w:rsidRPr="0030146A" w:rsidRDefault="005D0A54" w:rsidP="005D0A54">
      <w:pPr>
        <w:jc w:val="both"/>
        <w:rPr>
          <w:szCs w:val="20"/>
        </w:rPr>
      </w:pPr>
      <w:r w:rsidRPr="0030146A">
        <w:rPr>
          <w:szCs w:val="20"/>
        </w:rPr>
        <w:t xml:space="preserve">CBD – Cannabidiol </w:t>
      </w:r>
    </w:p>
    <w:p w14:paraId="478C6F66" w14:textId="77777777" w:rsidR="005D0A54" w:rsidRPr="0030146A" w:rsidRDefault="005D0A54" w:rsidP="005D0A54">
      <w:pPr>
        <w:jc w:val="both"/>
        <w:rPr>
          <w:szCs w:val="20"/>
        </w:rPr>
      </w:pPr>
      <w:r w:rsidRPr="0030146A">
        <w:rPr>
          <w:szCs w:val="20"/>
        </w:rPr>
        <w:t xml:space="preserve">CBN – Cannabinol </w:t>
      </w:r>
    </w:p>
    <w:p w14:paraId="719A77FD" w14:textId="77777777" w:rsidR="005D0A54" w:rsidRDefault="005D0A54" w:rsidP="005D0A54">
      <w:pPr>
        <w:jc w:val="both"/>
        <w:rPr>
          <w:szCs w:val="20"/>
        </w:rPr>
      </w:pPr>
      <w:r w:rsidRPr="0030146A">
        <w:rPr>
          <w:szCs w:val="20"/>
        </w:rPr>
        <w:t>CBT – Cognitive Behavioural</w:t>
      </w:r>
      <w:r>
        <w:rPr>
          <w:szCs w:val="20"/>
        </w:rPr>
        <w:t xml:space="preserve"> Therapy</w:t>
      </w:r>
    </w:p>
    <w:p w14:paraId="4DFA203E" w14:textId="77777777" w:rsidR="005D0A54" w:rsidRPr="00D92D8C" w:rsidRDefault="005D0A54" w:rsidP="005D0A54">
      <w:pPr>
        <w:jc w:val="both"/>
        <w:rPr>
          <w:szCs w:val="20"/>
        </w:rPr>
      </w:pPr>
      <w:r>
        <w:rPr>
          <w:szCs w:val="20"/>
        </w:rPr>
        <w:t>DCS – D-cycloserine</w:t>
      </w:r>
    </w:p>
    <w:p w14:paraId="0FB3C3C4" w14:textId="77777777" w:rsidR="005D0A54" w:rsidRDefault="005D0A54" w:rsidP="005D0A54">
      <w:pPr>
        <w:jc w:val="both"/>
        <w:rPr>
          <w:szCs w:val="20"/>
        </w:rPr>
      </w:pPr>
      <w:r w:rsidRPr="00D92D8C">
        <w:rPr>
          <w:szCs w:val="20"/>
        </w:rPr>
        <w:t>DVA – Department of Veterans’ Affairs (Australian Government)</w:t>
      </w:r>
    </w:p>
    <w:p w14:paraId="7E69F67D" w14:textId="77777777" w:rsidR="005D0A54" w:rsidRDefault="005D0A54" w:rsidP="005D0A54">
      <w:pPr>
        <w:jc w:val="both"/>
        <w:rPr>
          <w:szCs w:val="20"/>
        </w:rPr>
      </w:pPr>
      <w:r>
        <w:rPr>
          <w:szCs w:val="20"/>
        </w:rPr>
        <w:t xml:space="preserve">FDA – </w:t>
      </w:r>
      <w:r w:rsidRPr="00B728CA">
        <w:rPr>
          <w:szCs w:val="20"/>
        </w:rPr>
        <w:t>Food and Drug Administration</w:t>
      </w:r>
      <w:r>
        <w:rPr>
          <w:szCs w:val="20"/>
        </w:rPr>
        <w:t xml:space="preserve"> (US Government)</w:t>
      </w:r>
    </w:p>
    <w:p w14:paraId="422213C5" w14:textId="77777777" w:rsidR="005D0A54" w:rsidRPr="00D92D8C" w:rsidRDefault="005D0A54" w:rsidP="005D0A54">
      <w:pPr>
        <w:jc w:val="both"/>
        <w:rPr>
          <w:szCs w:val="20"/>
        </w:rPr>
      </w:pPr>
      <w:r w:rsidRPr="00D92D8C">
        <w:rPr>
          <w:szCs w:val="20"/>
        </w:rPr>
        <w:t>GMRF – Gallipoli Medical Research Foundation</w:t>
      </w:r>
    </w:p>
    <w:p w14:paraId="305D37DF" w14:textId="5CAB6C40" w:rsidR="005D0A54" w:rsidRDefault="005D0A54" w:rsidP="005D0A54">
      <w:pPr>
        <w:jc w:val="both"/>
        <w:rPr>
          <w:szCs w:val="20"/>
        </w:rPr>
      </w:pPr>
      <w:r w:rsidRPr="00D92D8C">
        <w:rPr>
          <w:szCs w:val="20"/>
        </w:rPr>
        <w:t>GRADE – Grading of Recommendations Assessment, Development</w:t>
      </w:r>
      <w:r w:rsidR="00CE1921">
        <w:rPr>
          <w:szCs w:val="20"/>
        </w:rPr>
        <w:t>,</w:t>
      </w:r>
      <w:r w:rsidRPr="00D92D8C">
        <w:rPr>
          <w:szCs w:val="20"/>
        </w:rPr>
        <w:t xml:space="preserve"> and Evaluation</w:t>
      </w:r>
    </w:p>
    <w:p w14:paraId="03352E8C" w14:textId="77777777" w:rsidR="005D0A54" w:rsidRPr="00D92D8C" w:rsidRDefault="005D0A54" w:rsidP="005D0A54">
      <w:pPr>
        <w:jc w:val="both"/>
        <w:rPr>
          <w:szCs w:val="20"/>
        </w:rPr>
      </w:pPr>
      <w:r w:rsidRPr="00D92D8C">
        <w:rPr>
          <w:szCs w:val="20"/>
        </w:rPr>
        <w:t xml:space="preserve">LSD – Lysergic Acid Diethylamide </w:t>
      </w:r>
    </w:p>
    <w:p w14:paraId="2A475DBE" w14:textId="77777777" w:rsidR="005D0A54" w:rsidRDefault="005D0A54" w:rsidP="005D0A54">
      <w:pPr>
        <w:jc w:val="both"/>
        <w:rPr>
          <w:szCs w:val="20"/>
        </w:rPr>
      </w:pPr>
      <w:r w:rsidRPr="00D92D8C">
        <w:rPr>
          <w:szCs w:val="20"/>
        </w:rPr>
        <w:t>MA – Meta-analysis</w:t>
      </w:r>
    </w:p>
    <w:p w14:paraId="0EE4144D" w14:textId="77777777" w:rsidR="005D0A54" w:rsidRDefault="005D0A54" w:rsidP="005D0A54">
      <w:pPr>
        <w:jc w:val="both"/>
        <w:rPr>
          <w:szCs w:val="20"/>
        </w:rPr>
      </w:pPr>
      <w:r w:rsidRPr="00D92D8C">
        <w:rPr>
          <w:szCs w:val="20"/>
        </w:rPr>
        <w:t>MDMA – Methylenedioxymethamphetamine</w:t>
      </w:r>
    </w:p>
    <w:p w14:paraId="5EEB8305" w14:textId="77777777" w:rsidR="005D0A54" w:rsidRDefault="005D0A54" w:rsidP="005D0A54">
      <w:pPr>
        <w:jc w:val="both"/>
        <w:rPr>
          <w:szCs w:val="20"/>
        </w:rPr>
      </w:pPr>
      <w:r w:rsidRPr="00D92D8C">
        <w:rPr>
          <w:szCs w:val="20"/>
        </w:rPr>
        <w:t>NHMRC – National Health and Medical Research Council</w:t>
      </w:r>
      <w:r>
        <w:rPr>
          <w:szCs w:val="20"/>
        </w:rPr>
        <w:t xml:space="preserve"> (Australian Government)</w:t>
      </w:r>
    </w:p>
    <w:p w14:paraId="0C0E47BD" w14:textId="77777777" w:rsidR="005D0A54" w:rsidRPr="00D92D8C" w:rsidRDefault="005D0A54" w:rsidP="005D0A54">
      <w:pPr>
        <w:jc w:val="both"/>
        <w:rPr>
          <w:szCs w:val="20"/>
        </w:rPr>
      </w:pPr>
      <w:r w:rsidRPr="00D92D8C">
        <w:rPr>
          <w:szCs w:val="20"/>
        </w:rPr>
        <w:t>PICO – Population, Intervention, Comparison, Outcome</w:t>
      </w:r>
    </w:p>
    <w:p w14:paraId="1AE2C6E0" w14:textId="77777777" w:rsidR="005D0A54" w:rsidRPr="00D92D8C" w:rsidRDefault="005D0A54" w:rsidP="005D0A54">
      <w:pPr>
        <w:jc w:val="both"/>
        <w:rPr>
          <w:szCs w:val="20"/>
        </w:rPr>
      </w:pPr>
      <w:r w:rsidRPr="00D92D8C">
        <w:rPr>
          <w:szCs w:val="20"/>
        </w:rPr>
        <w:t>PRISMA – Preferred Reporting Items for Systematic Reviews and Meta-Analyses</w:t>
      </w:r>
    </w:p>
    <w:p w14:paraId="08F42F1C" w14:textId="77777777" w:rsidR="005D0A54" w:rsidRPr="00D92D8C" w:rsidRDefault="005D0A54" w:rsidP="005D0A54">
      <w:pPr>
        <w:jc w:val="both"/>
        <w:rPr>
          <w:szCs w:val="20"/>
        </w:rPr>
      </w:pPr>
      <w:r w:rsidRPr="00D92D8C">
        <w:rPr>
          <w:szCs w:val="20"/>
        </w:rPr>
        <w:t>PRISMA-S – Preferred Reporting Items for Systematic Reviews and Meta-Analyses – Search</w:t>
      </w:r>
    </w:p>
    <w:p w14:paraId="1ABFED56" w14:textId="77777777" w:rsidR="005D0A54" w:rsidRPr="00D92D8C" w:rsidRDefault="005D0A54" w:rsidP="005D0A54">
      <w:pPr>
        <w:jc w:val="both"/>
        <w:rPr>
          <w:szCs w:val="20"/>
        </w:rPr>
      </w:pPr>
      <w:r w:rsidRPr="00D92D8C">
        <w:rPr>
          <w:szCs w:val="20"/>
        </w:rPr>
        <w:t>PROSPERO – International Prospective Register of Systematic Reviews</w:t>
      </w:r>
    </w:p>
    <w:p w14:paraId="5000BD81" w14:textId="77777777" w:rsidR="005D0A54" w:rsidRPr="00D92D8C" w:rsidRDefault="005D0A54" w:rsidP="005D0A54">
      <w:pPr>
        <w:jc w:val="both"/>
        <w:rPr>
          <w:szCs w:val="20"/>
        </w:rPr>
      </w:pPr>
      <w:r w:rsidRPr="00D92D8C">
        <w:rPr>
          <w:szCs w:val="20"/>
        </w:rPr>
        <w:t>PTSD – Posttraumatic Stress Disorder</w:t>
      </w:r>
    </w:p>
    <w:p w14:paraId="4772DFB8" w14:textId="77777777" w:rsidR="005D0A54" w:rsidRPr="00D92D8C" w:rsidRDefault="005D0A54" w:rsidP="005D0A54">
      <w:pPr>
        <w:jc w:val="both"/>
        <w:rPr>
          <w:szCs w:val="20"/>
        </w:rPr>
      </w:pPr>
      <w:r w:rsidRPr="00D92D8C">
        <w:rPr>
          <w:szCs w:val="20"/>
        </w:rPr>
        <w:t>RCT – Randomised Controlled Trial</w:t>
      </w:r>
    </w:p>
    <w:p w14:paraId="1CFD783A" w14:textId="77777777" w:rsidR="005D0A54" w:rsidRDefault="005D0A54" w:rsidP="005D0A54">
      <w:pPr>
        <w:jc w:val="both"/>
        <w:rPr>
          <w:szCs w:val="20"/>
        </w:rPr>
      </w:pPr>
      <w:r w:rsidRPr="00D92D8C">
        <w:rPr>
          <w:szCs w:val="20"/>
        </w:rPr>
        <w:t>REA – Rapid Evidence Assessment</w:t>
      </w:r>
    </w:p>
    <w:p w14:paraId="42FA0F81" w14:textId="77777777" w:rsidR="005D0A54" w:rsidRDefault="005D0A54" w:rsidP="005D0A54">
      <w:pPr>
        <w:jc w:val="both"/>
        <w:rPr>
          <w:szCs w:val="20"/>
        </w:rPr>
      </w:pPr>
      <w:r w:rsidRPr="00D92D8C">
        <w:rPr>
          <w:szCs w:val="20"/>
        </w:rPr>
        <w:t>RRMG – Rapid Reviews Methods Group</w:t>
      </w:r>
    </w:p>
    <w:p w14:paraId="0E3197D1" w14:textId="77777777" w:rsidR="005D0A54" w:rsidRPr="00D92D8C" w:rsidRDefault="005D0A54" w:rsidP="005D0A54">
      <w:pPr>
        <w:jc w:val="both"/>
        <w:rPr>
          <w:szCs w:val="20"/>
        </w:rPr>
      </w:pPr>
      <w:r>
        <w:t xml:space="preserve">RoB 2 – </w:t>
      </w:r>
      <w:r w:rsidRPr="008C053B">
        <w:t>The</w:t>
      </w:r>
      <w:r>
        <w:t xml:space="preserve"> revised Cochrane Risk-of-B</w:t>
      </w:r>
      <w:r w:rsidRPr="008C053B">
        <w:t>ias tool for randomi</w:t>
      </w:r>
      <w:r>
        <w:t>s</w:t>
      </w:r>
      <w:r w:rsidRPr="008C053B">
        <w:t>ed trials</w:t>
      </w:r>
    </w:p>
    <w:p w14:paraId="1F99D923" w14:textId="77777777" w:rsidR="005D0A54" w:rsidRPr="00D92D8C" w:rsidRDefault="005D0A54" w:rsidP="005D0A54">
      <w:pPr>
        <w:jc w:val="both"/>
        <w:rPr>
          <w:szCs w:val="20"/>
        </w:rPr>
      </w:pPr>
      <w:r w:rsidRPr="00D92D8C">
        <w:rPr>
          <w:szCs w:val="20"/>
        </w:rPr>
        <w:t>SGB – Stellate Ganglion Block</w:t>
      </w:r>
    </w:p>
    <w:p w14:paraId="6C2BCDA2" w14:textId="77777777" w:rsidR="005D0A54" w:rsidRDefault="005D0A54" w:rsidP="005D0A54">
      <w:pPr>
        <w:jc w:val="both"/>
        <w:rPr>
          <w:szCs w:val="20"/>
        </w:rPr>
      </w:pPr>
      <w:r>
        <w:rPr>
          <w:szCs w:val="20"/>
        </w:rPr>
        <w:t>SNRIs – S</w:t>
      </w:r>
      <w:r w:rsidRPr="0083344B">
        <w:rPr>
          <w:szCs w:val="20"/>
        </w:rPr>
        <w:t>elective</w:t>
      </w:r>
      <w:r>
        <w:rPr>
          <w:szCs w:val="20"/>
        </w:rPr>
        <w:t xml:space="preserve"> Norepinephrine Reuptake I</w:t>
      </w:r>
      <w:r w:rsidRPr="0083344B">
        <w:rPr>
          <w:szCs w:val="20"/>
        </w:rPr>
        <w:t xml:space="preserve">nhibitors </w:t>
      </w:r>
    </w:p>
    <w:p w14:paraId="677CA959" w14:textId="77777777" w:rsidR="005D0A54" w:rsidRDefault="005D0A54" w:rsidP="005D0A54">
      <w:pPr>
        <w:jc w:val="both"/>
        <w:rPr>
          <w:szCs w:val="20"/>
        </w:rPr>
      </w:pPr>
      <w:r w:rsidRPr="00D92D8C">
        <w:rPr>
          <w:szCs w:val="20"/>
        </w:rPr>
        <w:t>SR – Systematic Review</w:t>
      </w:r>
    </w:p>
    <w:p w14:paraId="3479B1F2" w14:textId="77777777" w:rsidR="005D0A54" w:rsidRPr="0083344B" w:rsidRDefault="005D0A54" w:rsidP="005D0A54">
      <w:pPr>
        <w:jc w:val="both"/>
        <w:rPr>
          <w:szCs w:val="20"/>
        </w:rPr>
      </w:pPr>
      <w:r>
        <w:rPr>
          <w:szCs w:val="20"/>
        </w:rPr>
        <w:t>SSRIs – S</w:t>
      </w:r>
      <w:r w:rsidRPr="0083344B">
        <w:rPr>
          <w:szCs w:val="20"/>
        </w:rPr>
        <w:t>elective</w:t>
      </w:r>
      <w:r>
        <w:rPr>
          <w:szCs w:val="20"/>
        </w:rPr>
        <w:t xml:space="preserve"> Serotonin Reuptake I</w:t>
      </w:r>
      <w:r w:rsidRPr="0083344B">
        <w:rPr>
          <w:szCs w:val="20"/>
        </w:rPr>
        <w:t>nhibitors</w:t>
      </w:r>
    </w:p>
    <w:p w14:paraId="3BAC58FF" w14:textId="77777777" w:rsidR="005D0A54" w:rsidRDefault="005D0A54" w:rsidP="005D0A54">
      <w:pPr>
        <w:jc w:val="both"/>
        <w:rPr>
          <w:szCs w:val="20"/>
        </w:rPr>
      </w:pPr>
      <w:r>
        <w:rPr>
          <w:szCs w:val="20"/>
        </w:rPr>
        <w:t>TBS – Theta-</w:t>
      </w:r>
      <w:r w:rsidRPr="00D92D8C">
        <w:rPr>
          <w:szCs w:val="20"/>
        </w:rPr>
        <w:t>Burst Stimulation</w:t>
      </w:r>
    </w:p>
    <w:p w14:paraId="5DDEFE6F" w14:textId="77777777" w:rsidR="005D0A54" w:rsidRPr="00D92D8C" w:rsidRDefault="005D0A54" w:rsidP="005D0A54">
      <w:pPr>
        <w:jc w:val="both"/>
        <w:rPr>
          <w:szCs w:val="20"/>
        </w:rPr>
      </w:pPr>
      <w:r w:rsidRPr="00D37E8C">
        <w:rPr>
          <w:szCs w:val="20"/>
        </w:rPr>
        <w:t>TGA – Therapeutic Goods Administration (Department of Health and Aged Care, Australian Government)</w:t>
      </w:r>
    </w:p>
    <w:p w14:paraId="4ED3D352" w14:textId="77777777" w:rsidR="005D0A54" w:rsidRDefault="005D0A54" w:rsidP="005D0A54">
      <w:pPr>
        <w:jc w:val="both"/>
        <w:rPr>
          <w:szCs w:val="20"/>
        </w:rPr>
      </w:pPr>
      <w:r>
        <w:rPr>
          <w:szCs w:val="20"/>
        </w:rPr>
        <w:t>THC – Tetrahydrocannabinol</w:t>
      </w:r>
    </w:p>
    <w:p w14:paraId="2F5ED951" w14:textId="77777777" w:rsidR="005D0A54" w:rsidRPr="00D92D8C" w:rsidRDefault="005D0A54" w:rsidP="005D0A54">
      <w:pPr>
        <w:jc w:val="both"/>
        <w:rPr>
          <w:szCs w:val="20"/>
        </w:rPr>
      </w:pPr>
      <w:r>
        <w:rPr>
          <w:szCs w:val="20"/>
        </w:rPr>
        <w:t xml:space="preserve">TMS – </w:t>
      </w:r>
      <w:r w:rsidRPr="00D92D8C">
        <w:rPr>
          <w:szCs w:val="20"/>
        </w:rPr>
        <w:t>Transcranial Magnetic Stimulation</w:t>
      </w:r>
    </w:p>
    <w:p w14:paraId="53F48110" w14:textId="77777777" w:rsidR="00EF61F2" w:rsidRPr="008D1B7A" w:rsidRDefault="00EF61F2" w:rsidP="008D1B7A">
      <w:pPr>
        <w:jc w:val="both"/>
        <w:rPr>
          <w:szCs w:val="20"/>
        </w:rPr>
        <w:sectPr w:rsidR="00EF61F2" w:rsidRPr="008D1B7A" w:rsidSect="00AA7189">
          <w:pgSz w:w="11906" w:h="16838"/>
          <w:pgMar w:top="1440" w:right="1440" w:bottom="1440" w:left="1440" w:header="708" w:footer="708" w:gutter="0"/>
          <w:cols w:space="708"/>
          <w:docGrid w:linePitch="360"/>
        </w:sectPr>
      </w:pPr>
    </w:p>
    <w:p w14:paraId="28FE917B" w14:textId="72069F16" w:rsidR="00BB0D21" w:rsidRDefault="00BB0D21" w:rsidP="00BB0D21">
      <w:pPr>
        <w:pStyle w:val="Heading1"/>
      </w:pPr>
      <w:bookmarkStart w:id="56" w:name="_Toc165018134"/>
      <w:r w:rsidRPr="0014424E">
        <w:lastRenderedPageBreak/>
        <w:t>Assessments and Outcome Measures: Clinician-Administered and Self-Report</w:t>
      </w:r>
      <w:bookmarkEnd w:id="56"/>
    </w:p>
    <w:tbl>
      <w:tblPr>
        <w:tblStyle w:val="GridTable4-Accent5"/>
        <w:tblW w:w="5000" w:type="pct"/>
        <w:tblLook w:val="04A0" w:firstRow="1" w:lastRow="0" w:firstColumn="1" w:lastColumn="0" w:noHBand="0" w:noVBand="1"/>
      </w:tblPr>
      <w:tblGrid>
        <w:gridCol w:w="6450"/>
        <w:gridCol w:w="2566"/>
      </w:tblGrid>
      <w:tr w:rsidR="00545298" w:rsidRPr="009B4D43" w14:paraId="548B2B79" w14:textId="77777777" w:rsidTr="00290E91">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3577" w:type="pct"/>
            <w:noWrap/>
            <w:hideMark/>
          </w:tcPr>
          <w:p w14:paraId="07486C38" w14:textId="77777777" w:rsidR="00545298" w:rsidRPr="009B4D43" w:rsidRDefault="00545298" w:rsidP="004361E5">
            <w:pPr>
              <w:spacing w:after="0"/>
              <w:rPr>
                <w:rFonts w:eastAsia="Times New Roman" w:cstheme="minorHAnsi"/>
                <w:szCs w:val="20"/>
                <w:lang w:eastAsia="en-AU"/>
              </w:rPr>
            </w:pPr>
            <w:r w:rsidRPr="009B4D43">
              <w:rPr>
                <w:rFonts w:eastAsia="Times New Roman" w:cstheme="minorHAnsi"/>
                <w:szCs w:val="20"/>
                <w:lang w:eastAsia="en-AU"/>
              </w:rPr>
              <w:t>Name</w:t>
            </w:r>
          </w:p>
        </w:tc>
        <w:tc>
          <w:tcPr>
            <w:tcW w:w="1423" w:type="pct"/>
            <w:noWrap/>
            <w:hideMark/>
          </w:tcPr>
          <w:p w14:paraId="006C4477" w14:textId="77777777" w:rsidR="00545298" w:rsidRPr="009B4D43" w:rsidRDefault="00545298" w:rsidP="004361E5">
            <w:pPr>
              <w:spacing w:after="0"/>
              <w:cnfStyle w:val="100000000000" w:firstRow="1"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9B4D43">
              <w:rPr>
                <w:rFonts w:eastAsia="Times New Roman" w:cstheme="minorHAnsi"/>
                <w:szCs w:val="20"/>
                <w:lang w:eastAsia="en-AU"/>
              </w:rPr>
              <w:t>Abbreviation</w:t>
            </w:r>
          </w:p>
        </w:tc>
      </w:tr>
      <w:tr w:rsidR="00545298" w:rsidRPr="009B4D43" w14:paraId="54A990B6" w14:textId="77777777" w:rsidTr="00F629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7" w:type="pct"/>
            <w:noWrap/>
            <w:hideMark/>
          </w:tcPr>
          <w:p w14:paraId="7A0F9B2B" w14:textId="77777777" w:rsidR="00545298" w:rsidRPr="00A356C1" w:rsidRDefault="00545298" w:rsidP="004361E5">
            <w:pPr>
              <w:spacing w:after="0"/>
              <w:rPr>
                <w:rFonts w:eastAsia="Times New Roman" w:cstheme="minorHAnsi"/>
                <w:b w:val="0"/>
                <w:bCs w:val="0"/>
                <w:color w:val="000000"/>
                <w:szCs w:val="20"/>
                <w:lang w:eastAsia="en-AU"/>
              </w:rPr>
            </w:pPr>
            <w:r w:rsidRPr="00A356C1">
              <w:rPr>
                <w:rFonts w:eastAsia="Times New Roman" w:cstheme="minorHAnsi"/>
                <w:b w:val="0"/>
                <w:bCs w:val="0"/>
                <w:color w:val="000000"/>
                <w:szCs w:val="20"/>
                <w:lang w:eastAsia="en-AU"/>
              </w:rPr>
              <w:t xml:space="preserve">Alcohol, Smoking, and Substance Involvement Screening Test </w:t>
            </w:r>
          </w:p>
        </w:tc>
        <w:tc>
          <w:tcPr>
            <w:tcW w:w="1423" w:type="pct"/>
            <w:noWrap/>
            <w:hideMark/>
          </w:tcPr>
          <w:p w14:paraId="43C0C099" w14:textId="77777777" w:rsidR="00545298" w:rsidRPr="009B4D43" w:rsidRDefault="00545298" w:rsidP="004361E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356C1">
              <w:rPr>
                <w:rFonts w:eastAsia="Times New Roman" w:cstheme="minorHAnsi"/>
                <w:color w:val="000000"/>
                <w:szCs w:val="20"/>
                <w:lang w:eastAsia="en-AU"/>
              </w:rPr>
              <w:t>ASSIST</w:t>
            </w:r>
            <w:r w:rsidRPr="009B4D43">
              <w:rPr>
                <w:rFonts w:eastAsia="Times New Roman" w:cstheme="minorHAnsi"/>
                <w:color w:val="000000"/>
                <w:szCs w:val="20"/>
                <w:lang w:eastAsia="en-AU"/>
              </w:rPr>
              <w:t xml:space="preserve"> </w:t>
            </w:r>
          </w:p>
        </w:tc>
      </w:tr>
      <w:tr w:rsidR="00545298" w:rsidRPr="009B4D43" w14:paraId="364419DA" w14:textId="77777777" w:rsidTr="00F62917">
        <w:trPr>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08217BE0" w14:textId="77777777" w:rsidR="00545298" w:rsidRPr="009B4D43" w:rsidRDefault="00545298" w:rsidP="004361E5">
            <w:pPr>
              <w:spacing w:after="0"/>
              <w:rPr>
                <w:rFonts w:eastAsia="Times New Roman" w:cstheme="minorHAnsi"/>
                <w:color w:val="000000"/>
                <w:szCs w:val="20"/>
                <w:lang w:eastAsia="en-AU"/>
              </w:rPr>
            </w:pPr>
            <w:r w:rsidRPr="009B4D43">
              <w:rPr>
                <w:rFonts w:eastAsia="Times New Roman" w:cstheme="minorHAnsi"/>
                <w:b w:val="0"/>
                <w:color w:val="000000"/>
                <w:szCs w:val="20"/>
                <w:lang w:eastAsia="en-AU"/>
              </w:rPr>
              <w:t xml:space="preserve">Alcohol </w:t>
            </w:r>
            <w:r>
              <w:rPr>
                <w:rFonts w:eastAsia="Times New Roman" w:cstheme="minorHAnsi"/>
                <w:b w:val="0"/>
                <w:color w:val="000000"/>
                <w:szCs w:val="20"/>
                <w:lang w:eastAsia="en-AU"/>
              </w:rPr>
              <w:t>Use Disorders Identification Test</w:t>
            </w:r>
          </w:p>
        </w:tc>
        <w:tc>
          <w:tcPr>
            <w:tcW w:w="1423" w:type="pct"/>
            <w:noWrap/>
          </w:tcPr>
          <w:p w14:paraId="0799E71E" w14:textId="77777777" w:rsidR="00545298" w:rsidRPr="009B4D43" w:rsidRDefault="00545298" w:rsidP="004361E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9B4D43">
              <w:rPr>
                <w:rFonts w:eastAsia="Times New Roman" w:cstheme="minorHAnsi"/>
                <w:color w:val="000000"/>
                <w:szCs w:val="20"/>
                <w:lang w:eastAsia="en-AU"/>
              </w:rPr>
              <w:t>A</w:t>
            </w:r>
            <w:r>
              <w:rPr>
                <w:rFonts w:eastAsia="Times New Roman" w:cstheme="minorHAnsi"/>
                <w:color w:val="000000"/>
                <w:szCs w:val="20"/>
                <w:lang w:eastAsia="en-AU"/>
              </w:rPr>
              <w:t>UDIT</w:t>
            </w:r>
          </w:p>
        </w:tc>
      </w:tr>
      <w:tr w:rsidR="00545298" w:rsidRPr="009B4D43" w14:paraId="37921519" w14:textId="77777777" w:rsidTr="00F629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7" w:type="pct"/>
            <w:noWrap/>
            <w:hideMark/>
          </w:tcPr>
          <w:p w14:paraId="6DA0A39F" w14:textId="77777777" w:rsidR="00545298" w:rsidRPr="009B4D43" w:rsidRDefault="00545298" w:rsidP="004361E5">
            <w:pPr>
              <w:spacing w:after="0"/>
              <w:rPr>
                <w:rFonts w:eastAsia="Times New Roman" w:cstheme="minorHAnsi"/>
                <w:b w:val="0"/>
                <w:color w:val="000000"/>
                <w:szCs w:val="20"/>
                <w:lang w:eastAsia="en-AU"/>
              </w:rPr>
            </w:pPr>
            <w:r w:rsidRPr="009B4D43">
              <w:rPr>
                <w:rFonts w:eastAsia="Times New Roman" w:cstheme="minorHAnsi"/>
                <w:b w:val="0"/>
                <w:color w:val="000000"/>
                <w:szCs w:val="20"/>
                <w:lang w:eastAsia="en-AU"/>
              </w:rPr>
              <w:t xml:space="preserve">Beck Anxiety Inventory </w:t>
            </w:r>
          </w:p>
        </w:tc>
        <w:tc>
          <w:tcPr>
            <w:tcW w:w="1423" w:type="pct"/>
            <w:noWrap/>
            <w:hideMark/>
          </w:tcPr>
          <w:p w14:paraId="46B20C63" w14:textId="77777777" w:rsidR="00545298" w:rsidRPr="009B4D43" w:rsidRDefault="00545298" w:rsidP="004361E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9B4D43">
              <w:rPr>
                <w:rFonts w:eastAsia="Times New Roman" w:cstheme="minorHAnsi"/>
                <w:color w:val="000000"/>
                <w:szCs w:val="20"/>
                <w:lang w:eastAsia="en-AU"/>
              </w:rPr>
              <w:t>BAI</w:t>
            </w:r>
          </w:p>
        </w:tc>
      </w:tr>
      <w:tr w:rsidR="00545298" w:rsidRPr="009B4D43" w14:paraId="01013FD9" w14:textId="77777777" w:rsidTr="00F62917">
        <w:trPr>
          <w:trHeight w:val="288"/>
        </w:trPr>
        <w:tc>
          <w:tcPr>
            <w:cnfStyle w:val="001000000000" w:firstRow="0" w:lastRow="0" w:firstColumn="1" w:lastColumn="0" w:oddVBand="0" w:evenVBand="0" w:oddHBand="0" w:evenHBand="0" w:firstRowFirstColumn="0" w:firstRowLastColumn="0" w:lastRowFirstColumn="0" w:lastRowLastColumn="0"/>
            <w:tcW w:w="3577" w:type="pct"/>
            <w:noWrap/>
            <w:hideMark/>
          </w:tcPr>
          <w:p w14:paraId="7A401F78" w14:textId="77777777" w:rsidR="00545298" w:rsidRPr="009B4D43" w:rsidRDefault="00545298" w:rsidP="004361E5">
            <w:pPr>
              <w:spacing w:after="0"/>
              <w:rPr>
                <w:rFonts w:eastAsia="Times New Roman" w:cstheme="minorHAnsi"/>
                <w:b w:val="0"/>
                <w:color w:val="000000"/>
                <w:szCs w:val="20"/>
                <w:lang w:eastAsia="en-AU"/>
              </w:rPr>
            </w:pPr>
            <w:r w:rsidRPr="009B4D43">
              <w:rPr>
                <w:rFonts w:eastAsia="Times New Roman" w:cstheme="minorHAnsi"/>
                <w:b w:val="0"/>
                <w:color w:val="000000"/>
                <w:szCs w:val="20"/>
                <w:lang w:eastAsia="en-AU"/>
              </w:rPr>
              <w:t xml:space="preserve">Beck Depression Inventory </w:t>
            </w:r>
          </w:p>
        </w:tc>
        <w:tc>
          <w:tcPr>
            <w:tcW w:w="1423" w:type="pct"/>
            <w:noWrap/>
            <w:hideMark/>
          </w:tcPr>
          <w:p w14:paraId="09043210" w14:textId="77777777" w:rsidR="00545298" w:rsidRPr="009B4D43" w:rsidRDefault="00545298" w:rsidP="004361E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9B4D43">
              <w:rPr>
                <w:rFonts w:eastAsia="Times New Roman" w:cstheme="minorHAnsi"/>
                <w:color w:val="000000"/>
                <w:szCs w:val="20"/>
                <w:lang w:eastAsia="en-AU"/>
              </w:rPr>
              <w:t>BDI</w:t>
            </w:r>
          </w:p>
        </w:tc>
      </w:tr>
      <w:tr w:rsidR="005010B9" w:rsidRPr="009B4D43" w14:paraId="16BAFE85" w14:textId="77777777" w:rsidTr="008167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50B9CFBD" w14:textId="03CA5024" w:rsidR="005010B9" w:rsidRPr="008E7E2D" w:rsidRDefault="005010B9" w:rsidP="005010B9">
            <w:pPr>
              <w:spacing w:after="0"/>
              <w:rPr>
                <w:color w:val="000000" w:themeColor="text1"/>
              </w:rPr>
            </w:pPr>
            <w:r w:rsidRPr="00F47F60">
              <w:rPr>
                <w:b w:val="0"/>
                <w:bCs w:val="0"/>
                <w:color w:val="000000" w:themeColor="text1"/>
              </w:rPr>
              <w:t>Cannabis Problems Questionnaire</w:t>
            </w:r>
          </w:p>
        </w:tc>
        <w:tc>
          <w:tcPr>
            <w:tcW w:w="1423" w:type="pct"/>
            <w:noWrap/>
          </w:tcPr>
          <w:p w14:paraId="03636233" w14:textId="03713512" w:rsidR="005010B9" w:rsidRDefault="005010B9" w:rsidP="005010B9">
            <w:pPr>
              <w:spacing w:after="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CPQ</w:t>
            </w:r>
          </w:p>
        </w:tc>
      </w:tr>
      <w:tr w:rsidR="005010B9" w:rsidRPr="009B4D43" w14:paraId="33F40DD9" w14:textId="77777777" w:rsidTr="008167E4">
        <w:trPr>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4F84EC09" w14:textId="290DABA9" w:rsidR="005010B9" w:rsidRPr="008E7E2D" w:rsidRDefault="005010B9" w:rsidP="005010B9">
            <w:pPr>
              <w:spacing w:after="0"/>
              <w:rPr>
                <w:color w:val="000000" w:themeColor="text1"/>
              </w:rPr>
            </w:pPr>
            <w:r w:rsidRPr="000857D0">
              <w:rPr>
                <w:b w:val="0"/>
                <w:color w:val="000000" w:themeColor="text1"/>
              </w:rPr>
              <w:t xml:space="preserve">Cannabis Use Disorders Identification Test – Revised </w:t>
            </w:r>
          </w:p>
        </w:tc>
        <w:tc>
          <w:tcPr>
            <w:tcW w:w="1423" w:type="pct"/>
            <w:noWrap/>
          </w:tcPr>
          <w:p w14:paraId="396006DD" w14:textId="0C7F4E1C" w:rsidR="005010B9" w:rsidRDefault="005010B9" w:rsidP="005010B9">
            <w:pPr>
              <w:spacing w:after="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CUDIT-R</w:t>
            </w:r>
          </w:p>
        </w:tc>
      </w:tr>
      <w:tr w:rsidR="005010B9" w:rsidRPr="009B4D43" w14:paraId="5E8194BD" w14:textId="77777777" w:rsidTr="008167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7B6C058B" w14:textId="0AE4483D" w:rsidR="005010B9" w:rsidRPr="008E7E2D" w:rsidRDefault="005010B9" w:rsidP="005010B9">
            <w:pPr>
              <w:spacing w:after="0"/>
              <w:rPr>
                <w:color w:val="000000" w:themeColor="text1"/>
              </w:rPr>
            </w:pPr>
            <w:r w:rsidRPr="00F47F60">
              <w:rPr>
                <w:rFonts w:eastAsia="Times New Roman" w:cstheme="minorHAnsi"/>
                <w:b w:val="0"/>
                <w:bCs w:val="0"/>
                <w:color w:val="000000"/>
                <w:szCs w:val="20"/>
                <w:lang w:eastAsia="en-AU"/>
              </w:rPr>
              <w:t>Cannabis Withdrawal Scale</w:t>
            </w:r>
          </w:p>
        </w:tc>
        <w:tc>
          <w:tcPr>
            <w:tcW w:w="1423" w:type="pct"/>
            <w:noWrap/>
          </w:tcPr>
          <w:p w14:paraId="7A1DA64B" w14:textId="72B40B3F" w:rsidR="005010B9" w:rsidRDefault="005010B9" w:rsidP="005010B9">
            <w:pPr>
              <w:spacing w:after="0"/>
              <w:cnfStyle w:val="000000100000" w:firstRow="0" w:lastRow="0" w:firstColumn="0" w:lastColumn="0" w:oddVBand="0" w:evenVBand="0" w:oddHBand="1" w:evenHBand="0" w:firstRowFirstColumn="0" w:firstRowLastColumn="0" w:lastRowFirstColumn="0" w:lastRowLastColumn="0"/>
              <w:rPr>
                <w:color w:val="000000" w:themeColor="text1"/>
              </w:rPr>
            </w:pPr>
            <w:r>
              <w:rPr>
                <w:rFonts w:eastAsia="Times New Roman" w:cstheme="minorHAnsi"/>
                <w:color w:val="000000"/>
                <w:szCs w:val="20"/>
                <w:lang w:eastAsia="en-AU"/>
              </w:rPr>
              <w:t>CWS</w:t>
            </w:r>
          </w:p>
        </w:tc>
      </w:tr>
      <w:tr w:rsidR="005010B9" w:rsidRPr="009B4D43" w14:paraId="0F7EA4D6" w14:textId="77777777" w:rsidTr="008167E4">
        <w:trPr>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5BF881EC" w14:textId="431491D6" w:rsidR="005010B9" w:rsidRPr="008E7E2D" w:rsidRDefault="005010B9" w:rsidP="005010B9">
            <w:pPr>
              <w:spacing w:after="0"/>
              <w:rPr>
                <w:color w:val="000000" w:themeColor="text1"/>
              </w:rPr>
            </w:pPr>
            <w:r w:rsidRPr="005A39E2">
              <w:rPr>
                <w:rFonts w:eastAsia="Times New Roman" w:cstheme="minorHAnsi"/>
                <w:b w:val="0"/>
                <w:color w:val="000000"/>
                <w:szCs w:val="20"/>
                <w:lang w:eastAsia="en-AU"/>
              </w:rPr>
              <w:t>Cocaine Craving Questionnaire – Brief</w:t>
            </w:r>
          </w:p>
        </w:tc>
        <w:tc>
          <w:tcPr>
            <w:tcW w:w="1423" w:type="pct"/>
            <w:noWrap/>
          </w:tcPr>
          <w:p w14:paraId="679D1013" w14:textId="072B8BFF" w:rsidR="005010B9" w:rsidRDefault="005010B9" w:rsidP="005010B9">
            <w:pPr>
              <w:spacing w:after="0"/>
              <w:cnfStyle w:val="000000000000" w:firstRow="0" w:lastRow="0" w:firstColumn="0" w:lastColumn="0" w:oddVBand="0" w:evenVBand="0" w:oddHBand="0" w:evenHBand="0" w:firstRowFirstColumn="0" w:firstRowLastColumn="0" w:lastRowFirstColumn="0" w:lastRowLastColumn="0"/>
              <w:rPr>
                <w:color w:val="000000" w:themeColor="text1"/>
              </w:rPr>
            </w:pPr>
            <w:r>
              <w:rPr>
                <w:rFonts w:eastAsia="Times New Roman" w:cstheme="minorHAnsi"/>
                <w:color w:val="000000"/>
                <w:szCs w:val="20"/>
                <w:lang w:eastAsia="en-AU"/>
              </w:rPr>
              <w:t>CCQ-B</w:t>
            </w:r>
          </w:p>
        </w:tc>
      </w:tr>
      <w:tr w:rsidR="005010B9" w:rsidRPr="009B4D43" w14:paraId="2E0CFE39" w14:textId="77777777" w:rsidTr="00F629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27FB0581" w14:textId="77777777" w:rsidR="005010B9" w:rsidRPr="005A39E2" w:rsidRDefault="005010B9" w:rsidP="005010B9">
            <w:pPr>
              <w:spacing w:after="0"/>
              <w:rPr>
                <w:rFonts w:eastAsia="Times New Roman" w:cstheme="minorHAnsi"/>
                <w:color w:val="000000"/>
                <w:szCs w:val="20"/>
                <w:lang w:eastAsia="en-AU"/>
              </w:rPr>
            </w:pPr>
            <w:r w:rsidRPr="008E7E2D">
              <w:rPr>
                <w:b w:val="0"/>
                <w:bCs w:val="0"/>
                <w:color w:val="000000" w:themeColor="text1"/>
              </w:rPr>
              <w:t>Columbia-Suicide Severity Rating Scale</w:t>
            </w:r>
          </w:p>
        </w:tc>
        <w:tc>
          <w:tcPr>
            <w:tcW w:w="1423" w:type="pct"/>
            <w:noWrap/>
          </w:tcPr>
          <w:p w14:paraId="640EFD01" w14:textId="77777777" w:rsidR="005010B9" w:rsidRDefault="005010B9" w:rsidP="005010B9">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Pr>
                <w:color w:val="000000" w:themeColor="text1"/>
              </w:rPr>
              <w:t>C-SSRS</w:t>
            </w:r>
          </w:p>
        </w:tc>
      </w:tr>
      <w:tr w:rsidR="005010B9" w:rsidRPr="009B4D43" w14:paraId="5500D79A" w14:textId="77777777" w:rsidTr="00F62917">
        <w:trPr>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4C18F387" w14:textId="77777777" w:rsidR="005010B9" w:rsidRPr="00A113E2" w:rsidRDefault="005010B9" w:rsidP="005010B9">
            <w:pPr>
              <w:spacing w:after="0"/>
              <w:rPr>
                <w:rFonts w:eastAsia="Times New Roman" w:cstheme="minorHAnsi"/>
                <w:b w:val="0"/>
                <w:bCs w:val="0"/>
                <w:color w:val="000000"/>
                <w:szCs w:val="20"/>
                <w:lang w:eastAsia="en-AU"/>
              </w:rPr>
            </w:pPr>
            <w:r w:rsidRPr="00A113E2">
              <w:rPr>
                <w:rFonts w:eastAsia="Times New Roman" w:cstheme="minorHAnsi"/>
                <w:b w:val="0"/>
                <w:bCs w:val="0"/>
                <w:color w:val="000000"/>
                <w:szCs w:val="20"/>
                <w:lang w:eastAsia="en-AU"/>
              </w:rPr>
              <w:t>Fagerström Test for Nicotine Dependence</w:t>
            </w:r>
          </w:p>
        </w:tc>
        <w:tc>
          <w:tcPr>
            <w:tcW w:w="1423" w:type="pct"/>
            <w:noWrap/>
          </w:tcPr>
          <w:p w14:paraId="74434D7E" w14:textId="77777777" w:rsidR="005010B9" w:rsidRPr="009B4D43" w:rsidRDefault="005010B9" w:rsidP="005010B9">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FTND</w:t>
            </w:r>
          </w:p>
        </w:tc>
      </w:tr>
      <w:tr w:rsidR="005010B9" w:rsidRPr="009B4D43" w14:paraId="26758D24" w14:textId="77777777" w:rsidTr="00F629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1C5C2077" w14:textId="77777777" w:rsidR="005010B9" w:rsidRPr="00A113E2" w:rsidRDefault="005010B9" w:rsidP="005010B9">
            <w:pPr>
              <w:spacing w:after="0"/>
              <w:rPr>
                <w:rFonts w:eastAsia="Times New Roman" w:cstheme="minorHAnsi"/>
                <w:b w:val="0"/>
                <w:bCs w:val="0"/>
                <w:color w:val="000000"/>
                <w:szCs w:val="20"/>
                <w:lang w:eastAsia="en-AU"/>
              </w:rPr>
            </w:pPr>
            <w:r w:rsidRPr="00A113E2">
              <w:rPr>
                <w:rFonts w:eastAsia="Times New Roman" w:cstheme="minorHAnsi"/>
                <w:b w:val="0"/>
                <w:bCs w:val="0"/>
                <w:color w:val="000000"/>
                <w:szCs w:val="20"/>
                <w:lang w:eastAsia="en-AU"/>
              </w:rPr>
              <w:t>Fear of Negative Evaluation Questionnaire</w:t>
            </w:r>
          </w:p>
        </w:tc>
        <w:tc>
          <w:tcPr>
            <w:tcW w:w="1423" w:type="pct"/>
            <w:noWrap/>
          </w:tcPr>
          <w:p w14:paraId="15562FD4" w14:textId="77777777" w:rsidR="005010B9" w:rsidRPr="009B4D43" w:rsidRDefault="005010B9" w:rsidP="005010B9">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FNE</w:t>
            </w:r>
          </w:p>
        </w:tc>
      </w:tr>
      <w:tr w:rsidR="005010B9" w:rsidRPr="009B4D43" w14:paraId="14DC4986" w14:textId="77777777" w:rsidTr="00F62917">
        <w:trPr>
          <w:trHeight w:val="288"/>
        </w:trPr>
        <w:tc>
          <w:tcPr>
            <w:cnfStyle w:val="001000000000" w:firstRow="0" w:lastRow="0" w:firstColumn="1" w:lastColumn="0" w:oddVBand="0" w:evenVBand="0" w:oddHBand="0" w:evenHBand="0" w:firstRowFirstColumn="0" w:firstRowLastColumn="0" w:lastRowFirstColumn="0" w:lastRowLastColumn="0"/>
            <w:tcW w:w="3577" w:type="pct"/>
            <w:noWrap/>
            <w:hideMark/>
          </w:tcPr>
          <w:p w14:paraId="06B46F9B" w14:textId="77777777" w:rsidR="005010B9" w:rsidRPr="009B4D43" w:rsidRDefault="005010B9" w:rsidP="005010B9">
            <w:pPr>
              <w:spacing w:after="0"/>
              <w:rPr>
                <w:rFonts w:eastAsia="Times New Roman" w:cstheme="minorHAnsi"/>
                <w:b w:val="0"/>
                <w:color w:val="000000"/>
                <w:szCs w:val="20"/>
                <w:lang w:eastAsia="en-AU"/>
              </w:rPr>
            </w:pPr>
            <w:r w:rsidRPr="009B4D43">
              <w:rPr>
                <w:rFonts w:eastAsia="Times New Roman" w:cstheme="minorHAnsi"/>
                <w:b w:val="0"/>
                <w:color w:val="000000"/>
                <w:szCs w:val="20"/>
                <w:lang w:eastAsia="en-AU"/>
              </w:rPr>
              <w:t xml:space="preserve">Hamilton Anxiety Rating Scale </w:t>
            </w:r>
          </w:p>
        </w:tc>
        <w:tc>
          <w:tcPr>
            <w:tcW w:w="1423" w:type="pct"/>
            <w:noWrap/>
            <w:hideMark/>
          </w:tcPr>
          <w:p w14:paraId="532A3266" w14:textId="77777777" w:rsidR="005010B9" w:rsidRPr="009B4D43" w:rsidRDefault="005010B9" w:rsidP="005010B9">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9B4D43">
              <w:rPr>
                <w:rFonts w:eastAsia="Times New Roman" w:cstheme="minorHAnsi"/>
                <w:color w:val="000000"/>
                <w:szCs w:val="20"/>
                <w:lang w:eastAsia="en-AU"/>
              </w:rPr>
              <w:t xml:space="preserve">HAM-A </w:t>
            </w:r>
          </w:p>
        </w:tc>
      </w:tr>
      <w:tr w:rsidR="005010B9" w:rsidRPr="009B4D43" w14:paraId="1BCB0547" w14:textId="77777777" w:rsidTr="008167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239F8245" w14:textId="0E29CFFE" w:rsidR="005010B9" w:rsidRPr="00804758" w:rsidRDefault="005010B9" w:rsidP="005010B9">
            <w:pPr>
              <w:spacing w:after="0"/>
              <w:rPr>
                <w:rFonts w:eastAsia="Times New Roman" w:cstheme="minorHAnsi"/>
                <w:b w:val="0"/>
                <w:bCs w:val="0"/>
                <w:color w:val="000000"/>
                <w:szCs w:val="20"/>
                <w:lang w:eastAsia="en-AU"/>
              </w:rPr>
            </w:pPr>
            <w:r w:rsidRPr="00804758">
              <w:rPr>
                <w:rFonts w:eastAsia="Times New Roman" w:cstheme="minorHAnsi"/>
                <w:b w:val="0"/>
                <w:bCs w:val="0"/>
                <w:color w:val="000000"/>
                <w:szCs w:val="20"/>
                <w:lang w:eastAsia="en-AU"/>
              </w:rPr>
              <w:t>Heroin Craving Questionnaire</w:t>
            </w:r>
          </w:p>
        </w:tc>
        <w:tc>
          <w:tcPr>
            <w:tcW w:w="1423" w:type="pct"/>
            <w:noWrap/>
          </w:tcPr>
          <w:p w14:paraId="39556330" w14:textId="5F45126D" w:rsidR="005010B9" w:rsidRPr="009B4D43" w:rsidRDefault="005010B9" w:rsidP="005010B9">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HCQ</w:t>
            </w:r>
          </w:p>
        </w:tc>
      </w:tr>
      <w:tr w:rsidR="00946DC5" w:rsidRPr="009B4D43" w14:paraId="5D8670A0" w14:textId="77777777" w:rsidTr="008167E4">
        <w:trPr>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1932ACB3" w14:textId="2A03708C" w:rsidR="00946DC5" w:rsidRPr="00497EE8" w:rsidRDefault="00946DC5" w:rsidP="00946DC5">
            <w:pPr>
              <w:spacing w:after="0"/>
              <w:rPr>
                <w:rFonts w:eastAsia="Times New Roman" w:cstheme="minorHAnsi"/>
                <w:color w:val="000000"/>
                <w:szCs w:val="20"/>
                <w:lang w:eastAsia="en-AU"/>
              </w:rPr>
            </w:pPr>
            <w:r w:rsidRPr="00572565">
              <w:rPr>
                <w:rFonts w:eastAsia="Times New Roman" w:cstheme="minorHAnsi"/>
                <w:b w:val="0"/>
                <w:color w:val="000000"/>
                <w:szCs w:val="20"/>
                <w:lang w:eastAsia="en-AU"/>
              </w:rPr>
              <w:t>Insomnia Severity Index</w:t>
            </w:r>
          </w:p>
        </w:tc>
        <w:tc>
          <w:tcPr>
            <w:tcW w:w="1423" w:type="pct"/>
            <w:noWrap/>
          </w:tcPr>
          <w:p w14:paraId="48180BB8" w14:textId="61017F27" w:rsidR="00946DC5" w:rsidRDefault="00946DC5" w:rsidP="00946DC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ISI</w:t>
            </w:r>
          </w:p>
        </w:tc>
      </w:tr>
      <w:tr w:rsidR="00946DC5" w:rsidRPr="009B4D43" w14:paraId="62E28AF2" w14:textId="77777777" w:rsidTr="00F629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61FD64AE" w14:textId="77777777" w:rsidR="00946DC5" w:rsidRPr="00497EE8" w:rsidRDefault="00946DC5" w:rsidP="00946DC5">
            <w:pPr>
              <w:spacing w:after="0"/>
              <w:rPr>
                <w:rFonts w:eastAsia="Times New Roman" w:cstheme="minorHAnsi"/>
                <w:b w:val="0"/>
                <w:bCs w:val="0"/>
                <w:color w:val="000000"/>
                <w:szCs w:val="20"/>
                <w:lang w:eastAsia="en-AU"/>
              </w:rPr>
            </w:pPr>
            <w:r w:rsidRPr="00497EE8">
              <w:rPr>
                <w:rFonts w:eastAsia="Times New Roman" w:cstheme="minorHAnsi"/>
                <w:b w:val="0"/>
                <w:bCs w:val="0"/>
                <w:color w:val="000000"/>
                <w:szCs w:val="20"/>
                <w:lang w:eastAsia="en-AU"/>
              </w:rPr>
              <w:t>Inventory of Depression and Anxiety Symptoms</w:t>
            </w:r>
          </w:p>
        </w:tc>
        <w:tc>
          <w:tcPr>
            <w:tcW w:w="1423" w:type="pct"/>
            <w:noWrap/>
          </w:tcPr>
          <w:p w14:paraId="510C6098" w14:textId="77777777" w:rsidR="00946DC5" w:rsidRPr="009B4D43" w:rsidRDefault="00946DC5" w:rsidP="00946DC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IDAS</w:t>
            </w:r>
          </w:p>
        </w:tc>
      </w:tr>
      <w:tr w:rsidR="00946DC5" w:rsidRPr="009B4D43" w14:paraId="0023D3AA" w14:textId="77777777" w:rsidTr="00F62917">
        <w:trPr>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27F95D0D" w14:textId="77777777" w:rsidR="00946DC5" w:rsidRPr="00572565" w:rsidRDefault="00946DC5" w:rsidP="00946DC5">
            <w:pPr>
              <w:spacing w:after="0"/>
              <w:rPr>
                <w:rFonts w:eastAsia="Times New Roman" w:cstheme="minorHAnsi"/>
                <w:b w:val="0"/>
                <w:color w:val="000000"/>
                <w:szCs w:val="20"/>
                <w:lang w:eastAsia="en-AU"/>
              </w:rPr>
            </w:pPr>
            <w:r w:rsidRPr="00572565">
              <w:rPr>
                <w:rFonts w:eastAsia="Times New Roman" w:cstheme="minorHAnsi"/>
                <w:b w:val="0"/>
                <w:color w:val="000000"/>
                <w:szCs w:val="20"/>
                <w:lang w:eastAsia="en-AU"/>
              </w:rPr>
              <w:t>Inventory of Psychosocial Functioning</w:t>
            </w:r>
          </w:p>
        </w:tc>
        <w:tc>
          <w:tcPr>
            <w:tcW w:w="1423" w:type="pct"/>
            <w:noWrap/>
          </w:tcPr>
          <w:p w14:paraId="24738E39" w14:textId="77777777" w:rsidR="00946DC5" w:rsidRDefault="00946DC5" w:rsidP="00946DC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IPF</w:t>
            </w:r>
          </w:p>
        </w:tc>
      </w:tr>
      <w:tr w:rsidR="00946DC5" w:rsidRPr="009B4D43" w14:paraId="2085BECD" w14:textId="77777777" w:rsidTr="008167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0CBCD263" w14:textId="69F6FCDF" w:rsidR="00946DC5" w:rsidRPr="00B43B48" w:rsidRDefault="00946DC5" w:rsidP="00946DC5">
            <w:pPr>
              <w:spacing w:after="0"/>
              <w:rPr>
                <w:rFonts w:eastAsia="Times New Roman" w:cstheme="minorHAnsi"/>
                <w:color w:val="000000"/>
                <w:szCs w:val="20"/>
                <w:lang w:eastAsia="en-AU"/>
              </w:rPr>
            </w:pPr>
            <w:r w:rsidRPr="009B4D43">
              <w:rPr>
                <w:rFonts w:eastAsia="Times New Roman" w:cstheme="minorHAnsi"/>
                <w:b w:val="0"/>
                <w:color w:val="000000"/>
                <w:szCs w:val="20"/>
                <w:lang w:eastAsia="en-AU"/>
              </w:rPr>
              <w:t xml:space="preserve">Liebowitz Social Anxiety Scale </w:t>
            </w:r>
          </w:p>
        </w:tc>
        <w:tc>
          <w:tcPr>
            <w:tcW w:w="1423" w:type="pct"/>
            <w:noWrap/>
          </w:tcPr>
          <w:p w14:paraId="42DFD89C" w14:textId="434FE502" w:rsidR="00946DC5" w:rsidRDefault="00946DC5" w:rsidP="00946DC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9B4D43">
              <w:rPr>
                <w:rFonts w:eastAsia="Times New Roman" w:cstheme="minorHAnsi"/>
                <w:color w:val="000000"/>
                <w:szCs w:val="20"/>
                <w:lang w:eastAsia="en-AU"/>
              </w:rPr>
              <w:t>LSAS</w:t>
            </w:r>
          </w:p>
        </w:tc>
      </w:tr>
      <w:tr w:rsidR="00946DC5" w:rsidRPr="009B4D43" w14:paraId="4085EE57" w14:textId="77777777" w:rsidTr="008167E4">
        <w:trPr>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1445C80C" w14:textId="3701C7C4" w:rsidR="00946DC5" w:rsidRPr="009B4D43" w:rsidRDefault="00946DC5" w:rsidP="00946DC5">
            <w:pPr>
              <w:spacing w:after="0"/>
              <w:rPr>
                <w:rFonts w:eastAsia="Times New Roman" w:cstheme="minorHAnsi"/>
                <w:color w:val="000000"/>
                <w:szCs w:val="20"/>
                <w:lang w:eastAsia="en-AU"/>
              </w:rPr>
            </w:pPr>
            <w:r w:rsidRPr="00B43B48">
              <w:rPr>
                <w:rFonts w:eastAsia="Times New Roman" w:cstheme="minorHAnsi"/>
                <w:b w:val="0"/>
                <w:bCs w:val="0"/>
                <w:color w:val="000000"/>
                <w:szCs w:val="20"/>
                <w:lang w:eastAsia="en-AU"/>
              </w:rPr>
              <w:t>Marijuana Craving Questionnaire</w:t>
            </w:r>
          </w:p>
        </w:tc>
        <w:tc>
          <w:tcPr>
            <w:tcW w:w="1423" w:type="pct"/>
            <w:noWrap/>
          </w:tcPr>
          <w:p w14:paraId="54183A6B" w14:textId="5A598B3C" w:rsidR="00946DC5" w:rsidRPr="009B4D43" w:rsidRDefault="00946DC5" w:rsidP="00946DC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MCQ</w:t>
            </w:r>
          </w:p>
        </w:tc>
      </w:tr>
      <w:tr w:rsidR="00946DC5" w:rsidRPr="009B4D43" w14:paraId="0E86A906" w14:textId="77777777" w:rsidTr="008167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690CF274" w14:textId="383F5F41" w:rsidR="00946DC5" w:rsidRPr="009B4D43" w:rsidRDefault="00946DC5" w:rsidP="00946DC5">
            <w:pPr>
              <w:spacing w:after="0"/>
              <w:rPr>
                <w:rFonts w:eastAsia="Times New Roman" w:cstheme="minorHAnsi"/>
                <w:color w:val="000000"/>
                <w:szCs w:val="20"/>
                <w:lang w:eastAsia="en-AU"/>
              </w:rPr>
            </w:pPr>
            <w:r w:rsidRPr="00497EE8">
              <w:rPr>
                <w:rFonts w:cstheme="minorHAnsi"/>
                <w:b w:val="0"/>
                <w:bCs w:val="0"/>
                <w:color w:val="000000"/>
                <w:szCs w:val="20"/>
              </w:rPr>
              <w:t>Marijuana Rating Form</w:t>
            </w:r>
          </w:p>
        </w:tc>
        <w:tc>
          <w:tcPr>
            <w:tcW w:w="1423" w:type="pct"/>
            <w:noWrap/>
          </w:tcPr>
          <w:p w14:paraId="30BE45C0" w14:textId="72360E03" w:rsidR="00946DC5" w:rsidRPr="009B4D43" w:rsidRDefault="00946DC5" w:rsidP="00946DC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Pr>
                <w:rFonts w:ascii="Calibri" w:eastAsia="Calibri" w:hAnsi="Calibri" w:cs="Calibri"/>
                <w:color w:val="000000"/>
                <w:szCs w:val="20"/>
              </w:rPr>
              <w:t>MRF</w:t>
            </w:r>
          </w:p>
        </w:tc>
      </w:tr>
      <w:tr w:rsidR="00946DC5" w:rsidRPr="009B4D43" w14:paraId="31A3DC35" w14:textId="77777777" w:rsidTr="00F62917">
        <w:trPr>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750EEE25" w14:textId="77777777" w:rsidR="00946DC5" w:rsidRPr="00B43B48" w:rsidRDefault="00946DC5" w:rsidP="00946DC5">
            <w:pPr>
              <w:spacing w:after="0"/>
              <w:rPr>
                <w:rFonts w:eastAsia="Times New Roman" w:cstheme="minorHAnsi"/>
                <w:color w:val="000000"/>
                <w:szCs w:val="20"/>
                <w:lang w:eastAsia="en-AU"/>
              </w:rPr>
            </w:pPr>
            <w:r w:rsidRPr="00C755DD">
              <w:rPr>
                <w:rFonts w:eastAsia="Times New Roman" w:cstheme="minorHAnsi"/>
                <w:b w:val="0"/>
                <w:bCs w:val="0"/>
                <w:color w:val="000000"/>
                <w:szCs w:val="20"/>
                <w:lang w:eastAsia="en-AU"/>
              </w:rPr>
              <w:t>Minnesota Cocaine Craving Scale</w:t>
            </w:r>
          </w:p>
        </w:tc>
        <w:tc>
          <w:tcPr>
            <w:tcW w:w="1423" w:type="pct"/>
            <w:noWrap/>
          </w:tcPr>
          <w:p w14:paraId="58D2FF95" w14:textId="77777777" w:rsidR="00946DC5" w:rsidRDefault="00946DC5" w:rsidP="00946DC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34E43">
              <w:rPr>
                <w:rFonts w:eastAsia="Times New Roman" w:cstheme="minorHAnsi"/>
                <w:color w:val="000000"/>
                <w:szCs w:val="20"/>
                <w:lang w:eastAsia="en-AU"/>
              </w:rPr>
              <w:t>MCCS</w:t>
            </w:r>
          </w:p>
        </w:tc>
      </w:tr>
      <w:tr w:rsidR="00946DC5" w:rsidRPr="009B4D43" w14:paraId="14C10EF0" w14:textId="77777777" w:rsidTr="00F629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7643B85D" w14:textId="38FB777A" w:rsidR="00946DC5" w:rsidRPr="00C755DD" w:rsidRDefault="00946DC5" w:rsidP="00946DC5">
            <w:pPr>
              <w:spacing w:after="0"/>
              <w:rPr>
                <w:rFonts w:eastAsia="Times New Roman" w:cstheme="minorHAnsi"/>
                <w:b w:val="0"/>
                <w:bCs w:val="0"/>
                <w:color w:val="000000"/>
                <w:szCs w:val="20"/>
                <w:lang w:eastAsia="en-AU"/>
              </w:rPr>
            </w:pPr>
            <w:r w:rsidRPr="00644968">
              <w:rPr>
                <w:rFonts w:ascii="Calibri" w:eastAsia="Calibri" w:hAnsi="Calibri" w:cs="Calibri"/>
                <w:b w:val="0"/>
                <w:bCs w:val="0"/>
                <w:color w:val="000000"/>
                <w:szCs w:val="20"/>
              </w:rPr>
              <w:t>Mood and Physical Symptoms Scale</w:t>
            </w:r>
          </w:p>
        </w:tc>
        <w:tc>
          <w:tcPr>
            <w:tcW w:w="1423" w:type="pct"/>
            <w:noWrap/>
          </w:tcPr>
          <w:p w14:paraId="1F04C332" w14:textId="22235E5C" w:rsidR="00946DC5" w:rsidRPr="00534E43" w:rsidRDefault="00946DC5" w:rsidP="00946DC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8004E9">
              <w:rPr>
                <w:rFonts w:ascii="Calibri" w:eastAsia="Calibri" w:hAnsi="Calibri" w:cs="Calibri"/>
                <w:color w:val="000000"/>
                <w:szCs w:val="20"/>
              </w:rPr>
              <w:t>MPSS</w:t>
            </w:r>
          </w:p>
        </w:tc>
      </w:tr>
      <w:tr w:rsidR="00946DC5" w:rsidRPr="009B4D43" w14:paraId="1A971750" w14:textId="77777777" w:rsidTr="008167E4">
        <w:trPr>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58AB7F7B" w14:textId="76BCB4BE" w:rsidR="00946DC5" w:rsidRPr="00804758" w:rsidRDefault="00946DC5" w:rsidP="00946DC5">
            <w:pPr>
              <w:spacing w:after="0"/>
              <w:rPr>
                <w:rFonts w:ascii="Calibri" w:eastAsia="Calibri" w:hAnsi="Calibri" w:cs="Calibri"/>
                <w:b w:val="0"/>
                <w:bCs w:val="0"/>
                <w:color w:val="000000"/>
                <w:szCs w:val="20"/>
              </w:rPr>
            </w:pPr>
            <w:r w:rsidRPr="00804758">
              <w:rPr>
                <w:rFonts w:ascii="Calibri" w:eastAsia="Calibri" w:hAnsi="Calibri" w:cs="Calibri"/>
                <w:b w:val="0"/>
                <w:bCs w:val="0"/>
                <w:color w:val="000000"/>
                <w:szCs w:val="20"/>
              </w:rPr>
              <w:t>Motivation To Stop Scale</w:t>
            </w:r>
          </w:p>
        </w:tc>
        <w:tc>
          <w:tcPr>
            <w:tcW w:w="1423" w:type="pct"/>
            <w:noWrap/>
          </w:tcPr>
          <w:p w14:paraId="46468632" w14:textId="5ED9B8F3" w:rsidR="00946DC5" w:rsidRPr="008004E9" w:rsidRDefault="00946DC5" w:rsidP="00946DC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Cs w:val="20"/>
              </w:rPr>
            </w:pPr>
            <w:r>
              <w:rPr>
                <w:rFonts w:ascii="Calibri" w:eastAsia="Calibri" w:hAnsi="Calibri" w:cs="Calibri"/>
                <w:color w:val="000000"/>
                <w:szCs w:val="20"/>
              </w:rPr>
              <w:t>MTSS</w:t>
            </w:r>
          </w:p>
        </w:tc>
      </w:tr>
      <w:tr w:rsidR="00946DC5" w:rsidRPr="009B4D43" w14:paraId="2AC57623" w14:textId="77777777" w:rsidTr="008167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50EF498C" w14:textId="61A52175" w:rsidR="00946DC5" w:rsidRPr="00804758" w:rsidRDefault="00946DC5" w:rsidP="00946DC5">
            <w:pPr>
              <w:spacing w:after="0"/>
              <w:rPr>
                <w:rFonts w:ascii="Calibri" w:eastAsia="Calibri" w:hAnsi="Calibri" w:cs="Calibri"/>
                <w:b w:val="0"/>
                <w:bCs w:val="0"/>
                <w:color w:val="000000"/>
                <w:szCs w:val="20"/>
              </w:rPr>
            </w:pPr>
            <w:r w:rsidRPr="00804758">
              <w:rPr>
                <w:rFonts w:ascii="Calibri" w:eastAsia="Calibri" w:hAnsi="Calibri" w:cs="Calibri"/>
                <w:b w:val="0"/>
                <w:bCs w:val="0"/>
                <w:color w:val="000000"/>
                <w:szCs w:val="20"/>
              </w:rPr>
              <w:t>Opioid Treatment Index</w:t>
            </w:r>
          </w:p>
        </w:tc>
        <w:tc>
          <w:tcPr>
            <w:tcW w:w="1423" w:type="pct"/>
            <w:noWrap/>
          </w:tcPr>
          <w:p w14:paraId="06E56E4F" w14:textId="1C013893" w:rsidR="00946DC5" w:rsidRDefault="00946DC5" w:rsidP="00946DC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OTI</w:t>
            </w:r>
          </w:p>
        </w:tc>
      </w:tr>
      <w:tr w:rsidR="00946DC5" w:rsidRPr="009B4D43" w14:paraId="436823D8" w14:textId="77777777" w:rsidTr="008167E4">
        <w:trPr>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462D4598" w14:textId="1D54ABDB" w:rsidR="00946DC5" w:rsidRPr="00330268" w:rsidRDefault="00946DC5" w:rsidP="00946DC5">
            <w:pPr>
              <w:spacing w:after="0"/>
              <w:rPr>
                <w:rFonts w:ascii="Calibri" w:eastAsia="Calibri" w:hAnsi="Calibri" w:cs="Calibri"/>
                <w:color w:val="000000"/>
                <w:szCs w:val="20"/>
              </w:rPr>
            </w:pPr>
            <w:r w:rsidRPr="00A54953">
              <w:rPr>
                <w:rFonts w:ascii="Calibri" w:eastAsia="Calibri" w:hAnsi="Calibri" w:cs="Calibri"/>
                <w:b w:val="0"/>
                <w:bCs w:val="0"/>
                <w:color w:val="000000"/>
                <w:szCs w:val="20"/>
              </w:rPr>
              <w:t xml:space="preserve">Pleasantness </w:t>
            </w:r>
            <w:r>
              <w:rPr>
                <w:rFonts w:ascii="Calibri" w:eastAsia="Calibri" w:hAnsi="Calibri" w:cs="Calibri"/>
                <w:b w:val="0"/>
                <w:bCs w:val="0"/>
                <w:color w:val="000000"/>
                <w:szCs w:val="20"/>
              </w:rPr>
              <w:t>R</w:t>
            </w:r>
            <w:r w:rsidRPr="00A54953">
              <w:rPr>
                <w:rFonts w:ascii="Calibri" w:eastAsia="Calibri" w:hAnsi="Calibri" w:cs="Calibri"/>
                <w:b w:val="0"/>
                <w:bCs w:val="0"/>
                <w:color w:val="000000"/>
                <w:szCs w:val="20"/>
              </w:rPr>
              <w:t xml:space="preserve">ating </w:t>
            </w:r>
            <w:r>
              <w:rPr>
                <w:rFonts w:ascii="Calibri" w:eastAsia="Calibri" w:hAnsi="Calibri" w:cs="Calibri"/>
                <w:b w:val="0"/>
                <w:bCs w:val="0"/>
                <w:color w:val="000000"/>
                <w:szCs w:val="20"/>
              </w:rPr>
              <w:t>T</w:t>
            </w:r>
            <w:r w:rsidRPr="00A54953">
              <w:rPr>
                <w:rFonts w:ascii="Calibri" w:eastAsia="Calibri" w:hAnsi="Calibri" w:cs="Calibri"/>
                <w:b w:val="0"/>
                <w:bCs w:val="0"/>
                <w:color w:val="000000"/>
                <w:szCs w:val="20"/>
              </w:rPr>
              <w:t>ask</w:t>
            </w:r>
          </w:p>
        </w:tc>
        <w:tc>
          <w:tcPr>
            <w:tcW w:w="1423" w:type="pct"/>
            <w:noWrap/>
          </w:tcPr>
          <w:p w14:paraId="51D3BF8B" w14:textId="5451B651" w:rsidR="00946DC5" w:rsidRDefault="00946DC5" w:rsidP="00946DC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A54953">
              <w:rPr>
                <w:rFonts w:ascii="Calibri" w:eastAsia="Calibri" w:hAnsi="Calibri" w:cs="Calibri"/>
                <w:color w:val="000000"/>
                <w:szCs w:val="20"/>
              </w:rPr>
              <w:t>PRT</w:t>
            </w:r>
          </w:p>
        </w:tc>
      </w:tr>
      <w:tr w:rsidR="00946DC5" w:rsidRPr="009B4D43" w14:paraId="164CDC0F" w14:textId="77777777" w:rsidTr="008167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44DBA64A" w14:textId="77777777" w:rsidR="00946DC5" w:rsidRPr="009B4D43" w:rsidRDefault="00946DC5" w:rsidP="00946DC5">
            <w:pPr>
              <w:spacing w:after="0"/>
              <w:rPr>
                <w:rFonts w:eastAsia="Times New Roman" w:cstheme="minorHAnsi"/>
                <w:b w:val="0"/>
                <w:color w:val="000000"/>
                <w:szCs w:val="20"/>
                <w:lang w:eastAsia="en-AU"/>
              </w:rPr>
            </w:pPr>
            <w:r w:rsidRPr="00330268">
              <w:rPr>
                <w:rFonts w:ascii="Calibri" w:eastAsia="Calibri" w:hAnsi="Calibri" w:cs="Calibri"/>
                <w:b w:val="0"/>
                <w:bCs w:val="0"/>
                <w:color w:val="000000"/>
                <w:szCs w:val="20"/>
              </w:rPr>
              <w:t>Positive and Negative Affect Schedule</w:t>
            </w:r>
          </w:p>
        </w:tc>
        <w:tc>
          <w:tcPr>
            <w:tcW w:w="1423" w:type="pct"/>
            <w:noWrap/>
          </w:tcPr>
          <w:p w14:paraId="39874AC9" w14:textId="77777777" w:rsidR="00946DC5" w:rsidRPr="009B4D43" w:rsidRDefault="00946DC5" w:rsidP="00946DC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PANAS</w:t>
            </w:r>
          </w:p>
        </w:tc>
      </w:tr>
      <w:tr w:rsidR="00946DC5" w:rsidRPr="009B4D43" w14:paraId="00BF2A35" w14:textId="77777777" w:rsidTr="008167E4">
        <w:trPr>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14AEF637" w14:textId="77777777" w:rsidR="00946DC5" w:rsidRPr="009B4D43" w:rsidRDefault="00946DC5" w:rsidP="00946DC5">
            <w:pPr>
              <w:spacing w:after="0"/>
              <w:rPr>
                <w:rFonts w:eastAsia="Times New Roman" w:cstheme="minorHAnsi"/>
                <w:b w:val="0"/>
                <w:color w:val="000000"/>
                <w:szCs w:val="20"/>
                <w:lang w:eastAsia="en-AU"/>
              </w:rPr>
            </w:pPr>
            <w:r w:rsidRPr="00722C92">
              <w:rPr>
                <w:rFonts w:ascii="Calibri" w:eastAsia="Calibri" w:hAnsi="Calibri" w:cs="Calibri"/>
                <w:b w:val="0"/>
                <w:bCs w:val="0"/>
                <w:color w:val="000000"/>
                <w:szCs w:val="20"/>
              </w:rPr>
              <w:t>Questionnaire of Smoking Urges</w:t>
            </w:r>
            <w:r>
              <w:rPr>
                <w:rFonts w:ascii="Calibri" w:eastAsia="Calibri" w:hAnsi="Calibri" w:cs="Calibri"/>
                <w:b w:val="0"/>
                <w:bCs w:val="0"/>
                <w:color w:val="000000"/>
                <w:szCs w:val="20"/>
              </w:rPr>
              <w:t xml:space="preserve"> </w:t>
            </w:r>
            <w:r w:rsidRPr="00722C92">
              <w:rPr>
                <w:rFonts w:ascii="Calibri" w:eastAsia="Calibri" w:hAnsi="Calibri" w:cs="Calibri"/>
                <w:b w:val="0"/>
                <w:bCs w:val="0"/>
                <w:color w:val="000000"/>
                <w:szCs w:val="20"/>
              </w:rPr>
              <w:t>–</w:t>
            </w:r>
            <w:r>
              <w:rPr>
                <w:rFonts w:ascii="Calibri" w:eastAsia="Calibri" w:hAnsi="Calibri" w:cs="Calibri"/>
                <w:b w:val="0"/>
                <w:bCs w:val="0"/>
                <w:color w:val="000000"/>
                <w:szCs w:val="20"/>
              </w:rPr>
              <w:t xml:space="preserve"> </w:t>
            </w:r>
            <w:r w:rsidRPr="00722C92">
              <w:rPr>
                <w:rFonts w:ascii="Calibri" w:eastAsia="Calibri" w:hAnsi="Calibri" w:cs="Calibri"/>
                <w:b w:val="0"/>
                <w:bCs w:val="0"/>
                <w:color w:val="000000"/>
                <w:szCs w:val="20"/>
              </w:rPr>
              <w:t>Brief</w:t>
            </w:r>
          </w:p>
        </w:tc>
        <w:tc>
          <w:tcPr>
            <w:tcW w:w="1423" w:type="pct"/>
            <w:noWrap/>
          </w:tcPr>
          <w:p w14:paraId="1728512F" w14:textId="77777777" w:rsidR="00946DC5" w:rsidRPr="009B4D43" w:rsidRDefault="00946DC5" w:rsidP="00946DC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722C92">
              <w:rPr>
                <w:rFonts w:ascii="Calibri" w:eastAsia="Calibri" w:hAnsi="Calibri" w:cs="Calibri"/>
                <w:color w:val="000000"/>
                <w:szCs w:val="20"/>
              </w:rPr>
              <w:t>QSU-B</w:t>
            </w:r>
          </w:p>
        </w:tc>
      </w:tr>
      <w:tr w:rsidR="00946DC5" w:rsidRPr="009B4D43" w14:paraId="5BE40EBB" w14:textId="77777777" w:rsidTr="008167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6EE4BC93" w14:textId="1AAC8F35" w:rsidR="00946DC5" w:rsidRPr="00804758" w:rsidRDefault="00946DC5" w:rsidP="00946DC5">
            <w:pPr>
              <w:spacing w:after="0"/>
              <w:rPr>
                <w:rFonts w:cs="Calibri"/>
                <w:b w:val="0"/>
                <w:bCs w:val="0"/>
                <w:color w:val="000000"/>
                <w:szCs w:val="20"/>
              </w:rPr>
            </w:pPr>
            <w:r w:rsidRPr="00804758">
              <w:rPr>
                <w:rFonts w:cs="Calibri"/>
                <w:b w:val="0"/>
                <w:bCs w:val="0"/>
                <w:color w:val="000000"/>
                <w:szCs w:val="20"/>
              </w:rPr>
              <w:t>Severity of Dependence Scale</w:t>
            </w:r>
          </w:p>
        </w:tc>
        <w:tc>
          <w:tcPr>
            <w:tcW w:w="1423" w:type="pct"/>
            <w:noWrap/>
          </w:tcPr>
          <w:p w14:paraId="58234392" w14:textId="317FF576" w:rsidR="00946DC5" w:rsidRDefault="00946DC5" w:rsidP="00946DC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SDS</w:t>
            </w:r>
          </w:p>
        </w:tc>
      </w:tr>
      <w:tr w:rsidR="00946DC5" w:rsidRPr="009B4D43" w14:paraId="27E12334" w14:textId="77777777" w:rsidTr="008167E4">
        <w:trPr>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222D8DA3" w14:textId="0D1A0AC4" w:rsidR="00946DC5" w:rsidRPr="0025132C" w:rsidRDefault="00946DC5" w:rsidP="00946DC5">
            <w:pPr>
              <w:spacing w:after="0"/>
              <w:rPr>
                <w:rFonts w:cs="Calibri"/>
                <w:color w:val="000000"/>
                <w:szCs w:val="20"/>
              </w:rPr>
            </w:pPr>
            <w:r w:rsidRPr="00F47F60">
              <w:rPr>
                <w:rFonts w:eastAsia="Times New Roman" w:cstheme="minorHAnsi"/>
                <w:b w:val="0"/>
                <w:bCs w:val="0"/>
                <w:color w:val="000000"/>
                <w:szCs w:val="20"/>
                <w:lang w:eastAsia="en-AU"/>
              </w:rPr>
              <w:t>Short Form Survey, 36-item</w:t>
            </w:r>
          </w:p>
        </w:tc>
        <w:tc>
          <w:tcPr>
            <w:tcW w:w="1423" w:type="pct"/>
            <w:noWrap/>
          </w:tcPr>
          <w:p w14:paraId="489F71E4" w14:textId="3B1BC64A" w:rsidR="00946DC5" w:rsidRDefault="00946DC5" w:rsidP="00946DC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SF-36</w:t>
            </w:r>
          </w:p>
        </w:tc>
      </w:tr>
      <w:tr w:rsidR="00946DC5" w:rsidRPr="009B4D43" w14:paraId="08A44409" w14:textId="77777777" w:rsidTr="008167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77B38E35" w14:textId="5C499F1A" w:rsidR="00946DC5" w:rsidRPr="0025132C" w:rsidRDefault="00946DC5" w:rsidP="00946DC5">
            <w:pPr>
              <w:spacing w:after="0"/>
              <w:rPr>
                <w:rFonts w:cs="Calibri"/>
                <w:color w:val="000000"/>
                <w:szCs w:val="20"/>
              </w:rPr>
            </w:pPr>
            <w:r w:rsidRPr="009B4D43">
              <w:rPr>
                <w:rFonts w:eastAsia="Times New Roman" w:cstheme="minorHAnsi"/>
                <w:b w:val="0"/>
                <w:color w:val="000000"/>
                <w:szCs w:val="20"/>
                <w:lang w:eastAsia="en-AU"/>
              </w:rPr>
              <w:t xml:space="preserve">State Trait Anxiety Inventory </w:t>
            </w:r>
          </w:p>
        </w:tc>
        <w:tc>
          <w:tcPr>
            <w:tcW w:w="1423" w:type="pct"/>
            <w:noWrap/>
          </w:tcPr>
          <w:p w14:paraId="3E6375A0" w14:textId="0F699A31" w:rsidR="00946DC5" w:rsidRDefault="00946DC5" w:rsidP="00946DC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9B4D43">
              <w:rPr>
                <w:rFonts w:eastAsia="Times New Roman" w:cstheme="minorHAnsi"/>
                <w:color w:val="000000"/>
                <w:szCs w:val="20"/>
                <w:lang w:eastAsia="en-AU"/>
              </w:rPr>
              <w:t xml:space="preserve">STAI </w:t>
            </w:r>
          </w:p>
        </w:tc>
      </w:tr>
      <w:tr w:rsidR="00946DC5" w:rsidRPr="009B4D43" w14:paraId="40AE4610" w14:textId="77777777" w:rsidTr="008167E4">
        <w:trPr>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4480AC50" w14:textId="614CF2EF" w:rsidR="00946DC5" w:rsidRPr="0025132C" w:rsidRDefault="00946DC5" w:rsidP="00946DC5">
            <w:pPr>
              <w:spacing w:after="0"/>
              <w:rPr>
                <w:rFonts w:cs="Calibri"/>
                <w:color w:val="000000"/>
                <w:szCs w:val="20"/>
              </w:rPr>
            </w:pPr>
            <w:r>
              <w:rPr>
                <w:rFonts w:eastAsia="Times New Roman" w:cstheme="minorHAnsi"/>
                <w:b w:val="0"/>
                <w:color w:val="000000"/>
                <w:szCs w:val="20"/>
                <w:lang w:eastAsia="en-AU"/>
              </w:rPr>
              <w:t xml:space="preserve">State </w:t>
            </w:r>
            <w:r w:rsidRPr="009B4D43">
              <w:rPr>
                <w:rFonts w:eastAsia="Times New Roman" w:cstheme="minorHAnsi"/>
                <w:b w:val="0"/>
                <w:color w:val="000000"/>
                <w:szCs w:val="20"/>
                <w:lang w:eastAsia="en-AU"/>
              </w:rPr>
              <w:t xml:space="preserve">Trait Anxiety Inventory </w:t>
            </w:r>
            <w:r>
              <w:rPr>
                <w:rFonts w:eastAsia="Times New Roman" w:cstheme="minorHAnsi"/>
                <w:b w:val="0"/>
                <w:color w:val="000000"/>
                <w:szCs w:val="20"/>
                <w:lang w:eastAsia="en-AU"/>
              </w:rPr>
              <w:t>–</w:t>
            </w:r>
            <w:r w:rsidRPr="009B4D43">
              <w:rPr>
                <w:rFonts w:eastAsia="Times New Roman" w:cstheme="minorHAnsi"/>
                <w:b w:val="0"/>
                <w:color w:val="000000"/>
                <w:szCs w:val="20"/>
                <w:lang w:eastAsia="en-AU"/>
              </w:rPr>
              <w:t xml:space="preserve"> </w:t>
            </w:r>
            <w:r>
              <w:rPr>
                <w:rFonts w:eastAsia="Times New Roman" w:cstheme="minorHAnsi"/>
                <w:b w:val="0"/>
                <w:color w:val="000000"/>
                <w:szCs w:val="20"/>
                <w:lang w:eastAsia="en-AU"/>
              </w:rPr>
              <w:t xml:space="preserve">State </w:t>
            </w:r>
            <w:r w:rsidRPr="009B4D43">
              <w:rPr>
                <w:rFonts w:eastAsia="Times New Roman" w:cstheme="minorHAnsi"/>
                <w:b w:val="0"/>
                <w:color w:val="000000"/>
                <w:szCs w:val="20"/>
                <w:lang w:eastAsia="en-AU"/>
              </w:rPr>
              <w:t xml:space="preserve">Subscale </w:t>
            </w:r>
          </w:p>
        </w:tc>
        <w:tc>
          <w:tcPr>
            <w:tcW w:w="1423" w:type="pct"/>
            <w:noWrap/>
          </w:tcPr>
          <w:p w14:paraId="175F5E38" w14:textId="6010B04F" w:rsidR="00946DC5" w:rsidRDefault="00946DC5" w:rsidP="00946DC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9B4D43">
              <w:rPr>
                <w:rFonts w:eastAsia="Times New Roman" w:cstheme="minorHAnsi"/>
                <w:color w:val="000000"/>
                <w:szCs w:val="20"/>
                <w:lang w:eastAsia="en-AU"/>
              </w:rPr>
              <w:t>STAI-</w:t>
            </w:r>
            <w:r>
              <w:rPr>
                <w:rFonts w:eastAsia="Times New Roman" w:cstheme="minorHAnsi"/>
                <w:color w:val="000000"/>
                <w:szCs w:val="20"/>
                <w:lang w:eastAsia="en-AU"/>
              </w:rPr>
              <w:t>S</w:t>
            </w:r>
          </w:p>
        </w:tc>
      </w:tr>
      <w:tr w:rsidR="001A0AD7" w:rsidRPr="009B4D43" w14:paraId="26AD8A73" w14:textId="77777777" w:rsidTr="008167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0808F496" w14:textId="7B48BFB5" w:rsidR="00946DC5" w:rsidRPr="0025132C" w:rsidRDefault="00946DC5" w:rsidP="00946DC5">
            <w:pPr>
              <w:spacing w:after="0"/>
              <w:rPr>
                <w:rFonts w:cs="Calibri"/>
                <w:color w:val="000000"/>
                <w:szCs w:val="20"/>
              </w:rPr>
            </w:pPr>
            <w:r>
              <w:rPr>
                <w:rFonts w:eastAsia="Times New Roman" w:cstheme="minorHAnsi"/>
                <w:b w:val="0"/>
                <w:color w:val="000000"/>
                <w:szCs w:val="20"/>
                <w:lang w:eastAsia="en-AU"/>
              </w:rPr>
              <w:t xml:space="preserve">State </w:t>
            </w:r>
            <w:r w:rsidRPr="009B4D43">
              <w:rPr>
                <w:rFonts w:eastAsia="Times New Roman" w:cstheme="minorHAnsi"/>
                <w:b w:val="0"/>
                <w:color w:val="000000"/>
                <w:szCs w:val="20"/>
                <w:lang w:eastAsia="en-AU"/>
              </w:rPr>
              <w:t xml:space="preserve">Trait Anxiety Inventory </w:t>
            </w:r>
            <w:r>
              <w:rPr>
                <w:rFonts w:eastAsia="Times New Roman" w:cstheme="minorHAnsi"/>
                <w:b w:val="0"/>
                <w:color w:val="000000"/>
                <w:szCs w:val="20"/>
                <w:lang w:eastAsia="en-AU"/>
              </w:rPr>
              <w:t>–</w:t>
            </w:r>
            <w:r w:rsidRPr="009B4D43">
              <w:rPr>
                <w:rFonts w:eastAsia="Times New Roman" w:cstheme="minorHAnsi"/>
                <w:b w:val="0"/>
                <w:color w:val="000000"/>
                <w:szCs w:val="20"/>
                <w:lang w:eastAsia="en-AU"/>
              </w:rPr>
              <w:t xml:space="preserve"> </w:t>
            </w:r>
            <w:r>
              <w:rPr>
                <w:rFonts w:eastAsia="Times New Roman" w:cstheme="minorHAnsi"/>
                <w:b w:val="0"/>
                <w:color w:val="000000"/>
                <w:szCs w:val="20"/>
                <w:lang w:eastAsia="en-AU"/>
              </w:rPr>
              <w:t xml:space="preserve">Trait </w:t>
            </w:r>
            <w:r w:rsidRPr="009B4D43">
              <w:rPr>
                <w:rFonts w:eastAsia="Times New Roman" w:cstheme="minorHAnsi"/>
                <w:b w:val="0"/>
                <w:color w:val="000000"/>
                <w:szCs w:val="20"/>
                <w:lang w:eastAsia="en-AU"/>
              </w:rPr>
              <w:t xml:space="preserve">Subscale </w:t>
            </w:r>
          </w:p>
        </w:tc>
        <w:tc>
          <w:tcPr>
            <w:tcW w:w="1423" w:type="pct"/>
            <w:noWrap/>
          </w:tcPr>
          <w:p w14:paraId="5A9BD0FE" w14:textId="30EF6A02" w:rsidR="00946DC5" w:rsidRDefault="00946DC5" w:rsidP="00946DC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9B4D43">
              <w:rPr>
                <w:rFonts w:eastAsia="Times New Roman" w:cstheme="minorHAnsi"/>
                <w:color w:val="000000"/>
                <w:szCs w:val="20"/>
                <w:lang w:eastAsia="en-AU"/>
              </w:rPr>
              <w:t>STAI-</w:t>
            </w:r>
            <w:r>
              <w:rPr>
                <w:rFonts w:eastAsia="Times New Roman" w:cstheme="minorHAnsi"/>
                <w:color w:val="000000"/>
                <w:szCs w:val="20"/>
                <w:lang w:eastAsia="en-AU"/>
              </w:rPr>
              <w:t>T</w:t>
            </w:r>
          </w:p>
        </w:tc>
      </w:tr>
      <w:tr w:rsidR="00946DC5" w:rsidRPr="009B4D43" w14:paraId="31567BC5" w14:textId="77777777" w:rsidTr="008167E4">
        <w:trPr>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21753F62" w14:textId="77777777" w:rsidR="00946DC5" w:rsidRPr="009B4D43" w:rsidRDefault="00946DC5" w:rsidP="00946DC5">
            <w:pPr>
              <w:spacing w:after="0"/>
              <w:rPr>
                <w:rFonts w:eastAsia="Times New Roman" w:cstheme="minorHAnsi"/>
                <w:color w:val="000000"/>
                <w:szCs w:val="20"/>
                <w:lang w:eastAsia="en-AU"/>
              </w:rPr>
            </w:pPr>
            <w:r w:rsidRPr="0025132C">
              <w:rPr>
                <w:rFonts w:cs="Calibri"/>
                <w:b w:val="0"/>
                <w:color w:val="000000"/>
                <w:szCs w:val="20"/>
              </w:rPr>
              <w:t>Structured Clinical Interview for DSM-IV</w:t>
            </w:r>
          </w:p>
        </w:tc>
        <w:tc>
          <w:tcPr>
            <w:tcW w:w="1423" w:type="pct"/>
            <w:noWrap/>
          </w:tcPr>
          <w:p w14:paraId="2A0D67A6" w14:textId="77777777" w:rsidR="00946DC5" w:rsidRPr="009B4D43" w:rsidRDefault="00946DC5" w:rsidP="00946DC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SCID</w:t>
            </w:r>
          </w:p>
        </w:tc>
      </w:tr>
      <w:tr w:rsidR="00946DC5" w:rsidRPr="009B4D43" w14:paraId="02C1FDA0" w14:textId="77777777" w:rsidTr="008167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4F22A598" w14:textId="77777777" w:rsidR="00946DC5" w:rsidRPr="009B4D43" w:rsidRDefault="00946DC5" w:rsidP="00946DC5">
            <w:pPr>
              <w:spacing w:after="0"/>
              <w:rPr>
                <w:rFonts w:eastAsia="Times New Roman" w:cstheme="minorHAnsi"/>
                <w:color w:val="000000"/>
                <w:szCs w:val="20"/>
                <w:lang w:eastAsia="en-AU"/>
              </w:rPr>
            </w:pPr>
            <w:r w:rsidRPr="0025132C">
              <w:rPr>
                <w:rFonts w:cs="Calibri"/>
                <w:b w:val="0"/>
                <w:color w:val="000000"/>
                <w:szCs w:val="20"/>
              </w:rPr>
              <w:t>Structured Clinical Interview for DSM-IV Axis I Disorders</w:t>
            </w:r>
          </w:p>
        </w:tc>
        <w:tc>
          <w:tcPr>
            <w:tcW w:w="1423" w:type="pct"/>
            <w:noWrap/>
          </w:tcPr>
          <w:p w14:paraId="7F3794D4" w14:textId="77777777" w:rsidR="00946DC5" w:rsidRPr="009B4D43" w:rsidRDefault="00946DC5" w:rsidP="00946DC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25132C">
              <w:rPr>
                <w:rFonts w:eastAsia="Times New Roman" w:cstheme="minorHAnsi"/>
                <w:color w:val="000000"/>
                <w:szCs w:val="20"/>
                <w:lang w:eastAsia="en-AU"/>
              </w:rPr>
              <w:t>SCID-I</w:t>
            </w:r>
          </w:p>
        </w:tc>
      </w:tr>
      <w:tr w:rsidR="00946DC5" w:rsidRPr="009B4D43" w14:paraId="3C1BFAC0" w14:textId="77777777" w:rsidTr="008167E4">
        <w:trPr>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73A99BAE" w14:textId="77777777" w:rsidR="00946DC5" w:rsidRPr="009B4D43" w:rsidRDefault="00946DC5" w:rsidP="00946DC5">
            <w:pPr>
              <w:spacing w:after="0"/>
              <w:rPr>
                <w:rFonts w:eastAsia="Times New Roman" w:cstheme="minorHAnsi"/>
                <w:color w:val="000000"/>
                <w:szCs w:val="20"/>
                <w:lang w:eastAsia="en-AU"/>
              </w:rPr>
            </w:pPr>
            <w:r w:rsidRPr="0025132C">
              <w:rPr>
                <w:rFonts w:cs="Calibri"/>
                <w:b w:val="0"/>
                <w:color w:val="000000"/>
                <w:szCs w:val="20"/>
              </w:rPr>
              <w:t>Structured Clinical Interview for DSM-IV Axis I</w:t>
            </w:r>
            <w:r>
              <w:rPr>
                <w:rFonts w:cs="Calibri"/>
                <w:b w:val="0"/>
                <w:color w:val="000000"/>
                <w:szCs w:val="20"/>
              </w:rPr>
              <w:t>I</w:t>
            </w:r>
            <w:r w:rsidRPr="0025132C">
              <w:rPr>
                <w:rFonts w:cs="Calibri"/>
                <w:b w:val="0"/>
                <w:color w:val="000000"/>
                <w:szCs w:val="20"/>
              </w:rPr>
              <w:t xml:space="preserve"> Disorders</w:t>
            </w:r>
          </w:p>
        </w:tc>
        <w:tc>
          <w:tcPr>
            <w:tcW w:w="1423" w:type="pct"/>
            <w:noWrap/>
          </w:tcPr>
          <w:p w14:paraId="4CC64544" w14:textId="77777777" w:rsidR="00946DC5" w:rsidRPr="009B4D43" w:rsidRDefault="00946DC5" w:rsidP="00946DC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25132C">
              <w:rPr>
                <w:rFonts w:eastAsia="Times New Roman" w:cstheme="minorHAnsi"/>
                <w:color w:val="000000"/>
                <w:szCs w:val="20"/>
                <w:lang w:eastAsia="en-AU"/>
              </w:rPr>
              <w:t>SCID-I</w:t>
            </w:r>
            <w:r>
              <w:rPr>
                <w:rFonts w:eastAsia="Times New Roman" w:cstheme="minorHAnsi"/>
                <w:color w:val="000000"/>
                <w:szCs w:val="20"/>
                <w:lang w:eastAsia="en-AU"/>
              </w:rPr>
              <w:t>I</w:t>
            </w:r>
          </w:p>
        </w:tc>
      </w:tr>
      <w:tr w:rsidR="00946DC5" w:rsidRPr="009B4D43" w14:paraId="1E5BDA3A" w14:textId="77777777" w:rsidTr="008167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3B0359E2" w14:textId="72604BB6" w:rsidR="00946DC5" w:rsidRPr="0004510B" w:rsidRDefault="00946DC5" w:rsidP="00946DC5">
            <w:pPr>
              <w:spacing w:after="0"/>
              <w:rPr>
                <w:rFonts w:eastAsia="Times New Roman" w:cstheme="minorHAnsi"/>
                <w:color w:val="000000"/>
                <w:szCs w:val="20"/>
                <w:lang w:eastAsia="en-AU"/>
              </w:rPr>
            </w:pPr>
            <w:r w:rsidRPr="0004510B">
              <w:rPr>
                <w:rFonts w:eastAsia="Times New Roman" w:cstheme="minorHAnsi"/>
                <w:b w:val="0"/>
                <w:color w:val="000000"/>
                <w:szCs w:val="20"/>
                <w:lang w:eastAsia="en-AU"/>
              </w:rPr>
              <w:t>Structured Clinical Interview for DSM-5</w:t>
            </w:r>
          </w:p>
        </w:tc>
        <w:tc>
          <w:tcPr>
            <w:tcW w:w="1423" w:type="pct"/>
            <w:noWrap/>
          </w:tcPr>
          <w:p w14:paraId="0A9C0441" w14:textId="3E7BFDD1" w:rsidR="00946DC5" w:rsidRDefault="00946DC5" w:rsidP="00946DC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SCID-5</w:t>
            </w:r>
          </w:p>
        </w:tc>
      </w:tr>
      <w:tr w:rsidR="00946DC5" w:rsidRPr="009B4D43" w14:paraId="16387A24" w14:textId="77777777" w:rsidTr="008167E4">
        <w:trPr>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025CEC61" w14:textId="77777777" w:rsidR="00946DC5" w:rsidRPr="009B4D43" w:rsidRDefault="00946DC5" w:rsidP="00946DC5">
            <w:pPr>
              <w:spacing w:after="0"/>
              <w:rPr>
                <w:rFonts w:eastAsia="Times New Roman" w:cstheme="minorHAnsi"/>
                <w:color w:val="000000"/>
                <w:szCs w:val="20"/>
                <w:lang w:eastAsia="en-AU"/>
              </w:rPr>
            </w:pPr>
            <w:r w:rsidRPr="0004510B">
              <w:rPr>
                <w:rFonts w:eastAsia="Times New Roman" w:cstheme="minorHAnsi"/>
                <w:b w:val="0"/>
                <w:color w:val="000000"/>
                <w:szCs w:val="20"/>
                <w:lang w:eastAsia="en-AU"/>
              </w:rPr>
              <w:t xml:space="preserve">Structured Clinical Interview for DSM-5 </w:t>
            </w:r>
            <w:r>
              <w:rPr>
                <w:rFonts w:eastAsia="Times New Roman" w:cstheme="minorHAnsi"/>
                <w:b w:val="0"/>
                <w:color w:val="000000"/>
                <w:szCs w:val="20"/>
                <w:lang w:eastAsia="en-AU"/>
              </w:rPr>
              <w:t>– Research Version</w:t>
            </w:r>
          </w:p>
        </w:tc>
        <w:tc>
          <w:tcPr>
            <w:tcW w:w="1423" w:type="pct"/>
            <w:noWrap/>
          </w:tcPr>
          <w:p w14:paraId="41E4ECBA" w14:textId="77777777" w:rsidR="00946DC5" w:rsidRPr="009B4D43" w:rsidRDefault="00946DC5" w:rsidP="00946DC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SCID-5-RV</w:t>
            </w:r>
          </w:p>
        </w:tc>
      </w:tr>
      <w:tr w:rsidR="00946DC5" w:rsidRPr="009B4D43" w14:paraId="2DCE67F4" w14:textId="77777777" w:rsidTr="008167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70420A2B" w14:textId="6B85BB18" w:rsidR="00946DC5" w:rsidRPr="003E184F" w:rsidRDefault="00946DC5" w:rsidP="00946DC5">
            <w:pPr>
              <w:autoSpaceDE w:val="0"/>
              <w:autoSpaceDN w:val="0"/>
              <w:adjustRightInd w:val="0"/>
              <w:spacing w:after="0"/>
              <w:rPr>
                <w:rFonts w:eastAsia="Times New Roman" w:cstheme="minorHAnsi"/>
                <w:color w:val="000000"/>
                <w:szCs w:val="20"/>
                <w:lang w:eastAsia="en-AU"/>
              </w:rPr>
            </w:pPr>
            <w:r w:rsidRPr="003839A3">
              <w:rPr>
                <w:rFonts w:eastAsiaTheme="minorEastAsia"/>
                <w:b w:val="0"/>
                <w:bCs w:val="0"/>
              </w:rPr>
              <w:t xml:space="preserve">Systematic Assessment for Treatment Emergent Events </w:t>
            </w:r>
          </w:p>
        </w:tc>
        <w:tc>
          <w:tcPr>
            <w:tcW w:w="1423" w:type="pct"/>
            <w:noWrap/>
          </w:tcPr>
          <w:p w14:paraId="308D0A3C" w14:textId="0467836E" w:rsidR="00946DC5" w:rsidRDefault="00946DC5" w:rsidP="00946DC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381EDE">
              <w:rPr>
                <w:rFonts w:eastAsiaTheme="minorEastAsia"/>
              </w:rPr>
              <w:t>SAFTEE</w:t>
            </w:r>
          </w:p>
        </w:tc>
      </w:tr>
      <w:tr w:rsidR="00946DC5" w:rsidRPr="009B4D43" w14:paraId="3F769755" w14:textId="77777777" w:rsidTr="008167E4">
        <w:trPr>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606321C5" w14:textId="77777777" w:rsidR="00946DC5" w:rsidRPr="003E184F" w:rsidRDefault="00946DC5" w:rsidP="00946DC5">
            <w:pPr>
              <w:autoSpaceDE w:val="0"/>
              <w:autoSpaceDN w:val="0"/>
              <w:adjustRightInd w:val="0"/>
              <w:spacing w:after="0"/>
              <w:rPr>
                <w:rFonts w:ascii="MinionPro-Regular" w:hAnsi="MinionPro-Regular" w:cs="MinionPro-Regular"/>
                <w:b w:val="0"/>
                <w:bCs w:val="0"/>
                <w:szCs w:val="20"/>
              </w:rPr>
            </w:pPr>
            <w:r w:rsidRPr="003E184F">
              <w:rPr>
                <w:rFonts w:eastAsia="Times New Roman" w:cstheme="minorHAnsi"/>
                <w:b w:val="0"/>
                <w:bCs w:val="0"/>
                <w:color w:val="000000"/>
                <w:szCs w:val="20"/>
                <w:lang w:eastAsia="en-AU"/>
              </w:rPr>
              <w:t>Time</w:t>
            </w:r>
            <w:r>
              <w:rPr>
                <w:rFonts w:eastAsia="Times New Roman" w:cstheme="minorHAnsi"/>
                <w:b w:val="0"/>
                <w:bCs w:val="0"/>
                <w:color w:val="000000"/>
                <w:szCs w:val="20"/>
                <w:lang w:eastAsia="en-AU"/>
              </w:rPr>
              <w:t>l</w:t>
            </w:r>
            <w:r w:rsidRPr="003E184F">
              <w:rPr>
                <w:rFonts w:eastAsia="Times New Roman" w:cstheme="minorHAnsi"/>
                <w:b w:val="0"/>
                <w:bCs w:val="0"/>
                <w:color w:val="000000"/>
                <w:szCs w:val="20"/>
                <w:lang w:eastAsia="en-AU"/>
              </w:rPr>
              <w:t>ine Follow</w:t>
            </w:r>
            <w:r>
              <w:rPr>
                <w:rFonts w:eastAsia="Times New Roman" w:cstheme="minorHAnsi"/>
                <w:b w:val="0"/>
                <w:bCs w:val="0"/>
                <w:color w:val="000000"/>
                <w:szCs w:val="20"/>
                <w:lang w:eastAsia="en-AU"/>
              </w:rPr>
              <w:t>b</w:t>
            </w:r>
            <w:r w:rsidRPr="003E184F">
              <w:rPr>
                <w:rFonts w:eastAsia="Times New Roman" w:cstheme="minorHAnsi"/>
                <w:b w:val="0"/>
                <w:bCs w:val="0"/>
                <w:color w:val="000000"/>
                <w:szCs w:val="20"/>
                <w:lang w:eastAsia="en-AU"/>
              </w:rPr>
              <w:t>ack</w:t>
            </w:r>
          </w:p>
        </w:tc>
        <w:tc>
          <w:tcPr>
            <w:tcW w:w="1423" w:type="pct"/>
            <w:noWrap/>
          </w:tcPr>
          <w:p w14:paraId="56135A28" w14:textId="77777777" w:rsidR="00946DC5" w:rsidRDefault="00946DC5" w:rsidP="00946DC5">
            <w:pPr>
              <w:spacing w:after="0"/>
              <w:cnfStyle w:val="000000000000" w:firstRow="0" w:lastRow="0" w:firstColumn="0" w:lastColumn="0" w:oddVBand="0" w:evenVBand="0" w:oddHBand="0" w:evenHBand="0" w:firstRowFirstColumn="0" w:firstRowLastColumn="0" w:lastRowFirstColumn="0" w:lastRowLastColumn="0"/>
              <w:rPr>
                <w:rFonts w:ascii="MinionPro-Regular" w:hAnsi="MinionPro-Regular" w:cs="MinionPro-Regular"/>
                <w:szCs w:val="20"/>
              </w:rPr>
            </w:pPr>
            <w:r>
              <w:rPr>
                <w:rFonts w:eastAsia="Times New Roman" w:cstheme="minorHAnsi"/>
                <w:color w:val="000000"/>
                <w:szCs w:val="20"/>
                <w:lang w:eastAsia="en-AU"/>
              </w:rPr>
              <w:t>TLFB</w:t>
            </w:r>
          </w:p>
        </w:tc>
      </w:tr>
      <w:tr w:rsidR="00946DC5" w:rsidRPr="009B4D43" w14:paraId="73349651" w14:textId="77777777" w:rsidTr="008167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7" w:type="pct"/>
            <w:noWrap/>
            <w:hideMark/>
          </w:tcPr>
          <w:p w14:paraId="7FD90A17" w14:textId="77777777" w:rsidR="00946DC5" w:rsidRPr="009B4D43" w:rsidRDefault="00946DC5" w:rsidP="00946DC5">
            <w:pPr>
              <w:spacing w:after="0"/>
              <w:rPr>
                <w:rFonts w:eastAsia="Times New Roman" w:cstheme="minorHAnsi"/>
                <w:b w:val="0"/>
                <w:color w:val="000000"/>
                <w:szCs w:val="20"/>
                <w:lang w:eastAsia="en-AU"/>
              </w:rPr>
            </w:pPr>
            <w:r w:rsidRPr="009B4D43">
              <w:rPr>
                <w:rFonts w:eastAsia="Times New Roman" w:cstheme="minorHAnsi"/>
                <w:b w:val="0"/>
                <w:color w:val="000000"/>
                <w:szCs w:val="20"/>
                <w:lang w:eastAsia="en-AU"/>
              </w:rPr>
              <w:t>Visual Analogue Scale – Anxiety</w:t>
            </w:r>
          </w:p>
        </w:tc>
        <w:tc>
          <w:tcPr>
            <w:tcW w:w="1423" w:type="pct"/>
            <w:noWrap/>
            <w:hideMark/>
          </w:tcPr>
          <w:p w14:paraId="446509C5" w14:textId="77777777" w:rsidR="00946DC5" w:rsidRPr="009B4D43" w:rsidRDefault="00946DC5" w:rsidP="00946DC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9B4D43">
              <w:rPr>
                <w:rFonts w:eastAsia="Times New Roman" w:cstheme="minorHAnsi"/>
                <w:color w:val="000000"/>
                <w:szCs w:val="20"/>
                <w:lang w:eastAsia="en-AU"/>
              </w:rPr>
              <w:t xml:space="preserve">VAS-A </w:t>
            </w:r>
          </w:p>
        </w:tc>
      </w:tr>
      <w:tr w:rsidR="00946DC5" w:rsidRPr="009B4D43" w14:paraId="2C588B41" w14:textId="77777777" w:rsidTr="008167E4">
        <w:trPr>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437793C4" w14:textId="77777777" w:rsidR="00946DC5" w:rsidRPr="009B4D43" w:rsidRDefault="00946DC5" w:rsidP="00946DC5">
            <w:pPr>
              <w:spacing w:after="0"/>
              <w:rPr>
                <w:rFonts w:eastAsia="Times New Roman" w:cstheme="minorHAnsi"/>
                <w:color w:val="000000"/>
                <w:szCs w:val="20"/>
                <w:lang w:eastAsia="en-AU"/>
              </w:rPr>
            </w:pPr>
            <w:r w:rsidRPr="009B4D43">
              <w:rPr>
                <w:rFonts w:eastAsia="Times New Roman" w:cstheme="minorHAnsi"/>
                <w:b w:val="0"/>
                <w:color w:val="000000"/>
                <w:szCs w:val="20"/>
                <w:lang w:eastAsia="en-AU"/>
              </w:rPr>
              <w:t xml:space="preserve">Visual Analogue Scale – </w:t>
            </w:r>
            <w:r>
              <w:rPr>
                <w:rFonts w:eastAsia="Times New Roman" w:cstheme="minorHAnsi"/>
                <w:b w:val="0"/>
                <w:color w:val="000000"/>
                <w:szCs w:val="20"/>
                <w:lang w:eastAsia="en-AU"/>
              </w:rPr>
              <w:t>Craving</w:t>
            </w:r>
          </w:p>
        </w:tc>
        <w:tc>
          <w:tcPr>
            <w:tcW w:w="1423" w:type="pct"/>
            <w:noWrap/>
          </w:tcPr>
          <w:p w14:paraId="5D6CA73C" w14:textId="77777777" w:rsidR="00946DC5" w:rsidRPr="009B4D43" w:rsidRDefault="00946DC5" w:rsidP="00946DC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9B4D43">
              <w:rPr>
                <w:rFonts w:eastAsia="Times New Roman" w:cstheme="minorHAnsi"/>
                <w:color w:val="000000"/>
                <w:szCs w:val="20"/>
                <w:lang w:eastAsia="en-AU"/>
              </w:rPr>
              <w:t>VAS-</w:t>
            </w:r>
            <w:r>
              <w:rPr>
                <w:rFonts w:eastAsia="Times New Roman" w:cstheme="minorHAnsi"/>
                <w:color w:val="000000"/>
                <w:szCs w:val="20"/>
                <w:lang w:eastAsia="en-AU"/>
              </w:rPr>
              <w:t>C</w:t>
            </w:r>
          </w:p>
        </w:tc>
      </w:tr>
      <w:tr w:rsidR="00AD4146" w:rsidRPr="009B4D43" w14:paraId="6DFB4206" w14:textId="77777777" w:rsidTr="008167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08965B58" w14:textId="01CCFF82" w:rsidR="00AD4146" w:rsidRPr="00804758" w:rsidRDefault="00826D75" w:rsidP="00946DC5">
            <w:pPr>
              <w:spacing w:after="0"/>
              <w:rPr>
                <w:rFonts w:eastAsia="Times New Roman" w:cstheme="minorHAnsi"/>
                <w:b w:val="0"/>
                <w:bCs w:val="0"/>
                <w:color w:val="000000"/>
                <w:szCs w:val="20"/>
                <w:lang w:eastAsia="en-AU"/>
              </w:rPr>
            </w:pPr>
            <w:r w:rsidRPr="00804758">
              <w:rPr>
                <w:b w:val="0"/>
                <w:bCs w:val="0"/>
              </w:rPr>
              <w:t>UKU Side Effects Rating Scale</w:t>
            </w:r>
          </w:p>
        </w:tc>
        <w:tc>
          <w:tcPr>
            <w:tcW w:w="1423" w:type="pct"/>
            <w:noWrap/>
          </w:tcPr>
          <w:p w14:paraId="0B3AE8A2" w14:textId="7CAA6880" w:rsidR="00AD4146" w:rsidRPr="009B4D43" w:rsidRDefault="00826D75" w:rsidP="00946DC5">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FD4D69">
              <w:t>UKU-SERS</w:t>
            </w:r>
          </w:p>
        </w:tc>
      </w:tr>
      <w:tr w:rsidR="00946DC5" w:rsidRPr="009B4D43" w14:paraId="2598281B" w14:textId="77777777" w:rsidTr="008167E4">
        <w:trPr>
          <w:trHeight w:val="288"/>
        </w:trPr>
        <w:tc>
          <w:tcPr>
            <w:cnfStyle w:val="001000000000" w:firstRow="0" w:lastRow="0" w:firstColumn="1" w:lastColumn="0" w:oddVBand="0" w:evenVBand="0" w:oddHBand="0" w:evenHBand="0" w:firstRowFirstColumn="0" w:firstRowLastColumn="0" w:lastRowFirstColumn="0" w:lastRowLastColumn="0"/>
            <w:tcW w:w="3577" w:type="pct"/>
            <w:noWrap/>
          </w:tcPr>
          <w:p w14:paraId="5BE30A03" w14:textId="77777777" w:rsidR="00946DC5" w:rsidRPr="009B4D43" w:rsidRDefault="00946DC5" w:rsidP="00946DC5">
            <w:pPr>
              <w:spacing w:after="0"/>
              <w:rPr>
                <w:rFonts w:eastAsia="Times New Roman" w:cstheme="minorHAnsi"/>
                <w:color w:val="000000"/>
                <w:szCs w:val="20"/>
                <w:lang w:eastAsia="en-AU"/>
              </w:rPr>
            </w:pPr>
            <w:r w:rsidRPr="006722CE">
              <w:rPr>
                <w:rFonts w:eastAsia="Times New Roman" w:cstheme="minorHAnsi"/>
                <w:b w:val="0"/>
                <w:bCs w:val="0"/>
                <w:color w:val="000000"/>
                <w:szCs w:val="20"/>
                <w:lang w:eastAsia="en-AU"/>
              </w:rPr>
              <w:t>Yale</w:t>
            </w:r>
            <w:r>
              <w:rPr>
                <w:rFonts w:eastAsia="Times New Roman" w:cstheme="minorHAnsi"/>
                <w:b w:val="0"/>
                <w:bCs w:val="0"/>
                <w:color w:val="000000"/>
                <w:szCs w:val="20"/>
                <w:lang w:eastAsia="en-AU"/>
              </w:rPr>
              <w:t>-</w:t>
            </w:r>
            <w:r w:rsidRPr="006722CE">
              <w:rPr>
                <w:rFonts w:eastAsia="Times New Roman" w:cstheme="minorHAnsi"/>
                <w:b w:val="0"/>
                <w:bCs w:val="0"/>
                <w:color w:val="000000"/>
                <w:szCs w:val="20"/>
                <w:lang w:eastAsia="en-AU"/>
              </w:rPr>
              <w:t xml:space="preserve">Brown </w:t>
            </w:r>
            <w:r>
              <w:rPr>
                <w:rFonts w:eastAsia="Times New Roman" w:cstheme="minorHAnsi"/>
                <w:b w:val="0"/>
                <w:bCs w:val="0"/>
                <w:color w:val="000000"/>
                <w:szCs w:val="20"/>
                <w:lang w:eastAsia="en-AU"/>
              </w:rPr>
              <w:t xml:space="preserve">Obsessive </w:t>
            </w:r>
            <w:r w:rsidRPr="006722CE">
              <w:rPr>
                <w:rFonts w:eastAsia="Times New Roman" w:cstheme="minorHAnsi"/>
                <w:b w:val="0"/>
                <w:bCs w:val="0"/>
                <w:color w:val="000000"/>
                <w:szCs w:val="20"/>
                <w:lang w:eastAsia="en-AU"/>
              </w:rPr>
              <w:t>Compulsive Scale</w:t>
            </w:r>
          </w:p>
        </w:tc>
        <w:tc>
          <w:tcPr>
            <w:tcW w:w="1423" w:type="pct"/>
            <w:noWrap/>
          </w:tcPr>
          <w:p w14:paraId="30040748" w14:textId="77777777" w:rsidR="00946DC5" w:rsidRPr="009B4D43" w:rsidRDefault="00946DC5" w:rsidP="00946DC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Y-BOCS</w:t>
            </w:r>
          </w:p>
        </w:tc>
      </w:tr>
    </w:tbl>
    <w:p w14:paraId="3CB66539" w14:textId="77777777" w:rsidR="005868C2" w:rsidRDefault="005868C2" w:rsidP="00F1585A">
      <w:pPr>
        <w:pStyle w:val="Heading1"/>
      </w:pPr>
      <w:bookmarkStart w:id="57" w:name="_Toc165018135"/>
      <w:bookmarkStart w:id="58" w:name="_Toc121689239"/>
      <w:bookmarkStart w:id="59" w:name="_Toc151690750"/>
      <w:bookmarkStart w:id="60" w:name="_Toc117878409"/>
      <w:bookmarkStart w:id="61" w:name="_Toc101536633"/>
      <w:bookmarkStart w:id="62" w:name="_Toc99653021"/>
      <w:r w:rsidRPr="008C2B20">
        <w:lastRenderedPageBreak/>
        <w:t>Glossary of Terms</w:t>
      </w:r>
      <w:bookmarkEnd w:id="57"/>
    </w:p>
    <w:p w14:paraId="3C561BEB" w14:textId="77777777" w:rsidR="005868C2" w:rsidRPr="00E04238" w:rsidRDefault="005868C2" w:rsidP="005868C2">
      <w:pPr>
        <w:pStyle w:val="Heading2"/>
      </w:pPr>
      <w:bookmarkStart w:id="63" w:name="_Toc165018136"/>
      <w:r w:rsidRPr="00E04238">
        <w:t>12-month prevalence</w:t>
      </w:r>
      <w:bookmarkEnd w:id="63"/>
    </w:p>
    <w:p w14:paraId="4E79CE01" w14:textId="77777777" w:rsidR="005868C2" w:rsidRPr="00E04238" w:rsidRDefault="005868C2" w:rsidP="005868C2">
      <w:pPr>
        <w:jc w:val="both"/>
      </w:pPr>
      <w:r w:rsidRPr="00E04238">
        <w:t>The proportion of a target population who have ever fulfilled diagnostic criteria for a codified health condition (e.g., ICD-10/ICD-11; DSM-IV/DSM-5) at some time in their life; and who have experienced symptoms of the health condition in the last 12 months.</w:t>
      </w:r>
    </w:p>
    <w:p w14:paraId="31E0C8B7" w14:textId="77777777" w:rsidR="005868C2" w:rsidRPr="00E04238" w:rsidRDefault="005868C2" w:rsidP="005868C2">
      <w:pPr>
        <w:pStyle w:val="Heading2"/>
      </w:pPr>
      <w:bookmarkStart w:id="64" w:name="_Toc165018137"/>
      <w:r w:rsidRPr="00E04238">
        <w:t>Adjunct intervention</w:t>
      </w:r>
      <w:bookmarkEnd w:id="64"/>
    </w:p>
    <w:p w14:paraId="1780F1D8" w14:textId="77777777" w:rsidR="005868C2" w:rsidRDefault="005868C2" w:rsidP="005868C2">
      <w:pPr>
        <w:jc w:val="both"/>
      </w:pPr>
      <w:r>
        <w:t xml:space="preserve">An adjunct </w:t>
      </w:r>
      <w:r w:rsidRPr="00E04238">
        <w:t xml:space="preserve">intervention is added to a primary intervention. The aim of the adjunct intervention is to reduce symptom severity to a greater extent than the primary intervention </w:t>
      </w:r>
      <w:r>
        <w:t>is</w:t>
      </w:r>
      <w:r w:rsidRPr="00E04238">
        <w:t xml:space="preserve"> expected to </w:t>
      </w:r>
      <w:r>
        <w:t xml:space="preserve">achieve alone. When deciding </w:t>
      </w:r>
      <w:r w:rsidRPr="00E04238">
        <w:t xml:space="preserve">whether an adjunct intervention is </w:t>
      </w:r>
      <w:r>
        <w:t xml:space="preserve">effective, </w:t>
      </w:r>
      <w:r w:rsidRPr="00E04238">
        <w:t xml:space="preserve">one should </w:t>
      </w:r>
      <w:r>
        <w:t xml:space="preserve">compare </w:t>
      </w:r>
      <w:r w:rsidRPr="00E04238">
        <w:t>the effectiveness of the primary intervention to the effectiveness of the combined intervention (i.e., primary plus adjunct intervention). Source: Adapted from Jones et al. (2020, p. 5).</w:t>
      </w:r>
    </w:p>
    <w:p w14:paraId="48CAAB62" w14:textId="77777777" w:rsidR="005868C2" w:rsidRDefault="005868C2" w:rsidP="005868C2">
      <w:pPr>
        <w:pStyle w:val="Heading2"/>
      </w:pPr>
      <w:bookmarkStart w:id="65" w:name="_Toc165018138"/>
      <w:r>
        <w:t>Alternative intervention</w:t>
      </w:r>
      <w:bookmarkEnd w:id="65"/>
    </w:p>
    <w:p w14:paraId="221DA61F" w14:textId="77777777" w:rsidR="005868C2" w:rsidRDefault="005868C2" w:rsidP="005868C2">
      <w:pPr>
        <w:jc w:val="both"/>
      </w:pPr>
      <w:r>
        <w:rPr>
          <w:szCs w:val="20"/>
        </w:rPr>
        <w:t>Alternative i</w:t>
      </w:r>
      <w:r w:rsidRPr="00047374">
        <w:rPr>
          <w:szCs w:val="20"/>
        </w:rPr>
        <w:t>nterventions are not accepted as best</w:t>
      </w:r>
      <w:r>
        <w:rPr>
          <w:szCs w:val="20"/>
        </w:rPr>
        <w:t>-</w:t>
      </w:r>
      <w:r w:rsidRPr="00047374">
        <w:rPr>
          <w:szCs w:val="20"/>
        </w:rPr>
        <w:t xml:space="preserve">practice </w:t>
      </w:r>
      <w:r>
        <w:rPr>
          <w:szCs w:val="20"/>
        </w:rPr>
        <w:t>interventions,</w:t>
      </w:r>
      <w:r w:rsidRPr="00047374">
        <w:rPr>
          <w:szCs w:val="20"/>
        </w:rPr>
        <w:t xml:space="preserve"> usually due to a lack of rigorous scientific evidence. These interventions may be popular, or widely used, but are not recommended by treatment guidelines. This</w:t>
      </w:r>
      <w:r>
        <w:rPr>
          <w:szCs w:val="20"/>
        </w:rPr>
        <w:t xml:space="preserve"> does not mean that alternative interventions do not</w:t>
      </w:r>
      <w:r w:rsidRPr="00047374">
        <w:rPr>
          <w:szCs w:val="20"/>
        </w:rPr>
        <w:t xml:space="preserve"> work; it just means that there is not enough evidence </w:t>
      </w:r>
      <w:r>
        <w:rPr>
          <w:szCs w:val="20"/>
        </w:rPr>
        <w:t xml:space="preserve">to </w:t>
      </w:r>
      <w:r w:rsidRPr="00047374">
        <w:rPr>
          <w:szCs w:val="20"/>
        </w:rPr>
        <w:t xml:space="preserve">know if they </w:t>
      </w:r>
      <w:r>
        <w:rPr>
          <w:szCs w:val="20"/>
        </w:rPr>
        <w:t xml:space="preserve">do </w:t>
      </w:r>
      <w:r w:rsidRPr="00047374">
        <w:rPr>
          <w:szCs w:val="20"/>
        </w:rPr>
        <w:t>work.</w:t>
      </w:r>
      <w:r>
        <w:rPr>
          <w:szCs w:val="20"/>
        </w:rPr>
        <w:t xml:space="preserve"> </w:t>
      </w:r>
      <w:r>
        <w:t>Source: Adapted from Jones et al. (2020, p. 5).</w:t>
      </w:r>
    </w:p>
    <w:p w14:paraId="667AACBB" w14:textId="77777777" w:rsidR="005868C2" w:rsidRDefault="005868C2" w:rsidP="005868C2">
      <w:pPr>
        <w:pStyle w:val="Heading2"/>
      </w:pPr>
      <w:bookmarkStart w:id="66" w:name="_Toc165018139"/>
      <w:r>
        <w:t>Ayahuasca</w:t>
      </w:r>
      <w:bookmarkEnd w:id="66"/>
    </w:p>
    <w:p w14:paraId="0B4167FD" w14:textId="77777777" w:rsidR="005868C2" w:rsidRPr="008A7F09" w:rsidRDefault="005868C2" w:rsidP="005868C2">
      <w:r>
        <w:t>See the glossary entry for “</w:t>
      </w:r>
      <w:r w:rsidRPr="00C438D6">
        <w:t>Dimethyltryptamine</w:t>
      </w:r>
      <w:r>
        <w:t>, DMT”.</w:t>
      </w:r>
    </w:p>
    <w:p w14:paraId="673F1785" w14:textId="77777777" w:rsidR="005868C2" w:rsidRDefault="005868C2" w:rsidP="005868C2">
      <w:pPr>
        <w:pStyle w:val="Heading2"/>
        <w:rPr>
          <w:rFonts w:ascii="Segoe UI" w:hAnsi="Segoe UI"/>
          <w:sz w:val="18"/>
          <w:szCs w:val="18"/>
        </w:rPr>
      </w:pPr>
      <w:bookmarkStart w:id="67" w:name="_Toc165018140"/>
      <w:r>
        <w:rPr>
          <w:rStyle w:val="normaltextrun"/>
          <w:rFonts w:ascii="Calibri Light" w:hAnsi="Calibri Light" w:cs="Segoe UI"/>
          <w:color w:val="2E74B5"/>
        </w:rPr>
        <w:t>Cannabidiol (CBD)</w:t>
      </w:r>
      <w:bookmarkEnd w:id="67"/>
      <w:r>
        <w:rPr>
          <w:rStyle w:val="eop"/>
          <w:rFonts w:ascii="Calibri Light" w:hAnsi="Calibri Light" w:cs="Segoe UI"/>
          <w:color w:val="2E74B5"/>
        </w:rPr>
        <w:t> </w:t>
      </w:r>
    </w:p>
    <w:p w14:paraId="7A763582" w14:textId="77777777" w:rsidR="005868C2" w:rsidRDefault="005868C2" w:rsidP="005868C2">
      <w:pPr>
        <w:pStyle w:val="paragraph"/>
        <w:spacing w:before="0" w:beforeAutospacing="0" w:after="120" w:afterAutospacing="0" w:line="259" w:lineRule="auto"/>
        <w:jc w:val="both"/>
        <w:textAlignment w:val="baseline"/>
        <w:rPr>
          <w:rFonts w:ascii="Segoe UI" w:hAnsi="Segoe UI" w:cs="Segoe UI"/>
          <w:sz w:val="18"/>
          <w:szCs w:val="18"/>
        </w:rPr>
      </w:pPr>
      <w:r>
        <w:rPr>
          <w:rStyle w:val="normaltextrun"/>
          <w:rFonts w:ascii="Calibri" w:hAnsi="Calibri" w:cs="Segoe UI"/>
          <w:sz w:val="20"/>
          <w:szCs w:val="20"/>
        </w:rPr>
        <w:t xml:space="preserve">Cannabidiol is one of the primary cannabinoids found in various concentrations within the cannabis plant. While it is structurally </w:t>
      </w:r>
      <w:r w:rsidRPr="00C538BF">
        <w:rPr>
          <w:rStyle w:val="normaltextrun"/>
          <w:rFonts w:asciiTheme="minorHAnsi" w:hAnsiTheme="minorHAnsi" w:cstheme="minorHAnsi"/>
          <w:sz w:val="20"/>
          <w:szCs w:val="20"/>
        </w:rPr>
        <w:t xml:space="preserve">similar to </w:t>
      </w:r>
      <w:r>
        <w:rPr>
          <w:rStyle w:val="normaltextrun"/>
          <w:rFonts w:asciiTheme="minorHAnsi" w:hAnsiTheme="minorHAnsi" w:cstheme="minorHAnsi"/>
          <w:sz w:val="20"/>
          <w:szCs w:val="20"/>
        </w:rPr>
        <w:t>t</w:t>
      </w:r>
      <w:r w:rsidRPr="00C538BF">
        <w:rPr>
          <w:rFonts w:asciiTheme="minorHAnsi" w:hAnsiTheme="minorHAnsi" w:cstheme="minorHAnsi"/>
          <w:sz w:val="20"/>
          <w:szCs w:val="20"/>
        </w:rPr>
        <w:t>etrahydrocannabinol</w:t>
      </w:r>
      <w:r w:rsidRPr="00C538BF">
        <w:rPr>
          <w:rStyle w:val="normaltextrun"/>
          <w:rFonts w:asciiTheme="minorHAnsi" w:hAnsiTheme="minorHAnsi" w:cstheme="minorHAnsi"/>
          <w:sz w:val="20"/>
          <w:szCs w:val="20"/>
        </w:rPr>
        <w:t xml:space="preserve"> (THC), CBD</w:t>
      </w:r>
      <w:r w:rsidRPr="00330053">
        <w:rPr>
          <w:rStyle w:val="normaltextrun"/>
          <w:rFonts w:ascii="Calibri" w:hAnsi="Calibri" w:cs="Segoe UI"/>
          <w:sz w:val="20"/>
          <w:szCs w:val="20"/>
        </w:rPr>
        <w:t xml:space="preserve"> has a diverse pharmacology</w:t>
      </w:r>
      <w:r>
        <w:rPr>
          <w:rStyle w:val="normaltextrun"/>
          <w:rFonts w:ascii="Calibri" w:hAnsi="Calibri" w:cs="Segoe UI"/>
          <w:sz w:val="20"/>
          <w:szCs w:val="20"/>
        </w:rPr>
        <w:t>,</w:t>
      </w:r>
      <w:r w:rsidRPr="00330053">
        <w:rPr>
          <w:rStyle w:val="normaltextrun"/>
          <w:rFonts w:ascii="Calibri" w:hAnsi="Calibri" w:cs="Segoe UI"/>
          <w:sz w:val="20"/>
          <w:szCs w:val="20"/>
        </w:rPr>
        <w:t xml:space="preserve"> and does not cause intoxication or euphoria. CBD has increasingly been investigated in the literature after initially being overlooked in favour of THC (Russo &amp; Marcu, 2017). While</w:t>
      </w:r>
      <w:r>
        <w:rPr>
          <w:rStyle w:val="normaltextrun"/>
          <w:rFonts w:ascii="Calibri" w:hAnsi="Calibri" w:cs="Segoe UI"/>
          <w:sz w:val="20"/>
          <w:szCs w:val="20"/>
        </w:rPr>
        <w:t xml:space="preserve"> the exact mechanism of action is not fully understood, CBD elicits its pharmacological effects (e.g., antiepileptic, anxiolytic, antipsychotic, anti-inflammatory, and neuroprotective) without significant intrinsic activity on CB1 and CB2 receptors, thereby avoiding adverse psychoactive effects (Bridgeman &amp; Abazia, 2017). While data on the long-term safety of CBD is lacking, a longitudinal study of children </w:t>
      </w:r>
      <w:r w:rsidRPr="007D4EC0">
        <w:rPr>
          <w:rStyle w:val="normaltextrun"/>
          <w:rFonts w:ascii="Calibri" w:hAnsi="Calibri" w:cs="Segoe UI"/>
          <w:sz w:val="20"/>
          <w:szCs w:val="20"/>
        </w:rPr>
        <w:t>receiving CBD oil for epilepsy found the most common adverse effects were somnolence (30%) and diarrhoea (24%; Arnold, 2021).</w:t>
      </w:r>
      <w:r>
        <w:rPr>
          <w:rStyle w:val="eop"/>
          <w:rFonts w:ascii="Calibri" w:hAnsi="Calibri" w:cs="Segoe UI"/>
          <w:sz w:val="20"/>
          <w:szCs w:val="20"/>
        </w:rPr>
        <w:t> </w:t>
      </w:r>
    </w:p>
    <w:p w14:paraId="23EFC785" w14:textId="77777777" w:rsidR="005868C2" w:rsidRDefault="005868C2" w:rsidP="005868C2">
      <w:pPr>
        <w:pStyle w:val="Heading2"/>
        <w:rPr>
          <w:rFonts w:ascii="Segoe UI" w:hAnsi="Segoe UI"/>
          <w:sz w:val="18"/>
          <w:szCs w:val="18"/>
        </w:rPr>
      </w:pPr>
      <w:bookmarkStart w:id="68" w:name="_Toc165018141"/>
      <w:r>
        <w:rPr>
          <w:rStyle w:val="normaltextrun"/>
          <w:rFonts w:ascii="Calibri Light" w:hAnsi="Calibri Light" w:cs="Segoe UI"/>
          <w:color w:val="2E74B5"/>
        </w:rPr>
        <w:t>Cannabinoids</w:t>
      </w:r>
      <w:bookmarkEnd w:id="68"/>
      <w:r>
        <w:rPr>
          <w:rStyle w:val="eop"/>
          <w:rFonts w:ascii="Calibri Light" w:hAnsi="Calibri Light" w:cs="Segoe UI"/>
          <w:color w:val="2E74B5"/>
        </w:rPr>
        <w:t> </w:t>
      </w:r>
    </w:p>
    <w:p w14:paraId="40C60691" w14:textId="77777777" w:rsidR="005868C2" w:rsidRDefault="005868C2" w:rsidP="005868C2">
      <w:pPr>
        <w:pStyle w:val="paragraph"/>
        <w:spacing w:before="0" w:beforeAutospacing="0" w:after="120" w:afterAutospacing="0" w:line="259" w:lineRule="auto"/>
        <w:jc w:val="both"/>
        <w:textAlignment w:val="baseline"/>
        <w:rPr>
          <w:rFonts w:ascii="Segoe UI" w:hAnsi="Segoe UI" w:cs="Segoe UI"/>
          <w:sz w:val="18"/>
          <w:szCs w:val="18"/>
        </w:rPr>
      </w:pPr>
      <w:r>
        <w:rPr>
          <w:rStyle w:val="normaltextrun"/>
          <w:rFonts w:ascii="Calibri" w:hAnsi="Calibri" w:cs="Segoe UI"/>
          <w:sz w:val="20"/>
          <w:szCs w:val="20"/>
        </w:rPr>
        <w:t xml:space="preserve">Cannabinoids are compounds found in the cannabis plant (i.e., phytocannabinoids: primarily THC and CBD), or synthetic compounds that can interact with the endogenous or “endo-cannabinoid” system. Cannabinoids are usually taken orally (typically as oil or sublingual spray) or inhaled (i.e., smoked, or vaporised). Smoking of medicinal cannabis is generally not advised due to the associated health risks (see the glossary entry for “Vaped and smoked medicinal cannabis”). The endocannabinoid system plays a complex role in physiology, with widespread activity between the central nervous system and most bodily organs. The endocannabinoid system is usually described in relation to two major cannabinoid receptors (CB1 and CB2): cannabinoid receptor type 1 (CB1) is the most abundant receptor expressed primarily in the central nervous system; and cannabinoid receptor type 2 (CB2) is associated with immune function and limited activity in the central nervous system. </w:t>
      </w:r>
      <w:r w:rsidRPr="00CC79BA">
        <w:rPr>
          <w:rStyle w:val="normaltextrun"/>
          <w:rFonts w:ascii="Calibri" w:hAnsi="Calibri" w:cs="Segoe UI"/>
          <w:sz w:val="20"/>
          <w:szCs w:val="20"/>
        </w:rPr>
        <w:t>Source: Adapted from Grinspoon (2021).</w:t>
      </w:r>
    </w:p>
    <w:p w14:paraId="07F6CCEF" w14:textId="77777777" w:rsidR="005868C2" w:rsidRDefault="005868C2" w:rsidP="005868C2">
      <w:pPr>
        <w:pStyle w:val="Heading2"/>
        <w:rPr>
          <w:rFonts w:ascii="Segoe UI" w:hAnsi="Segoe UI"/>
          <w:sz w:val="18"/>
          <w:szCs w:val="18"/>
        </w:rPr>
      </w:pPr>
      <w:bookmarkStart w:id="69" w:name="_Toc165018142"/>
      <w:r>
        <w:rPr>
          <w:rStyle w:val="normaltextrun"/>
          <w:rFonts w:ascii="Calibri Light" w:hAnsi="Calibri Light" w:cs="Segoe UI"/>
          <w:color w:val="2E74B5"/>
        </w:rPr>
        <w:t>Cannabinol (CBN)</w:t>
      </w:r>
      <w:bookmarkEnd w:id="69"/>
      <w:r>
        <w:rPr>
          <w:rStyle w:val="eop"/>
          <w:rFonts w:ascii="Calibri Light" w:hAnsi="Calibri Light" w:cs="Segoe UI"/>
          <w:color w:val="2E74B5"/>
        </w:rPr>
        <w:t> </w:t>
      </w:r>
    </w:p>
    <w:p w14:paraId="2220A1A7" w14:textId="77777777" w:rsidR="005868C2" w:rsidRDefault="005868C2" w:rsidP="005868C2">
      <w:pPr>
        <w:pStyle w:val="paragraph"/>
        <w:spacing w:before="0" w:beforeAutospacing="0" w:after="120" w:afterAutospacing="0" w:line="259" w:lineRule="auto"/>
        <w:jc w:val="both"/>
        <w:textAlignment w:val="baseline"/>
        <w:rPr>
          <w:rStyle w:val="eop"/>
          <w:rFonts w:ascii="Calibri" w:hAnsi="Calibri" w:cs="Segoe UI"/>
          <w:sz w:val="20"/>
          <w:szCs w:val="20"/>
        </w:rPr>
      </w:pPr>
      <w:r>
        <w:rPr>
          <w:rStyle w:val="normaltextrun"/>
          <w:rFonts w:ascii="Calibri" w:hAnsi="Calibri" w:cs="Segoe UI"/>
          <w:sz w:val="20"/>
          <w:szCs w:val="20"/>
        </w:rPr>
        <w:t xml:space="preserve">Cannabinol is a non-psychoactive cannabinoid found in trace amounts in cannabis. It is the non-enzymatic oxidation by-product of THC; most frequently detected after prolonged and/or inappropriate cannabis storage, especially at higher temperatures (Russo &amp; Marcu, 2017). None of the studies included in this rapid evidence assessment (REA) examined the </w:t>
      </w:r>
      <w:r w:rsidRPr="00BA5BA8">
        <w:rPr>
          <w:rStyle w:val="normaltextrun"/>
          <w:rFonts w:ascii="Calibri" w:hAnsi="Calibri" w:cs="Segoe UI"/>
          <w:sz w:val="20"/>
          <w:szCs w:val="20"/>
        </w:rPr>
        <w:t xml:space="preserve">effects of CBN in isolation </w:t>
      </w:r>
      <w:r>
        <w:rPr>
          <w:rStyle w:val="normaltextrun"/>
          <w:rFonts w:ascii="Calibri" w:hAnsi="Calibri" w:cs="Segoe UI"/>
          <w:sz w:val="20"/>
          <w:szCs w:val="20"/>
        </w:rPr>
        <w:t>from</w:t>
      </w:r>
      <w:r w:rsidRPr="00BA5BA8">
        <w:rPr>
          <w:rStyle w:val="normaltextrun"/>
          <w:rFonts w:ascii="Calibri" w:hAnsi="Calibri" w:cs="Segoe UI"/>
          <w:sz w:val="20"/>
          <w:szCs w:val="20"/>
        </w:rPr>
        <w:t xml:space="preserve"> other cannabis constituents.</w:t>
      </w:r>
      <w:r>
        <w:rPr>
          <w:rStyle w:val="normaltextrun"/>
          <w:rFonts w:ascii="Calibri" w:hAnsi="Calibri" w:cs="Segoe UI"/>
          <w:sz w:val="20"/>
          <w:szCs w:val="20"/>
        </w:rPr>
        <w:t> </w:t>
      </w:r>
      <w:r>
        <w:rPr>
          <w:rStyle w:val="eop"/>
          <w:rFonts w:ascii="Calibri" w:hAnsi="Calibri" w:cs="Segoe UI"/>
          <w:sz w:val="20"/>
          <w:szCs w:val="20"/>
        </w:rPr>
        <w:t> </w:t>
      </w:r>
    </w:p>
    <w:p w14:paraId="58E63951" w14:textId="77777777" w:rsidR="005868C2" w:rsidRPr="002B6B92" w:rsidRDefault="005868C2" w:rsidP="005868C2">
      <w:pPr>
        <w:pStyle w:val="Heading2"/>
      </w:pPr>
      <w:bookmarkStart w:id="70" w:name="_Toc165018143"/>
      <w:r w:rsidRPr="002B6B92">
        <w:lastRenderedPageBreak/>
        <w:t>Classic hallucinogens</w:t>
      </w:r>
      <w:bookmarkEnd w:id="70"/>
      <w:r w:rsidRPr="002B6B92">
        <w:t xml:space="preserve"> </w:t>
      </w:r>
    </w:p>
    <w:p w14:paraId="1331B45E" w14:textId="77777777" w:rsidR="005868C2" w:rsidRPr="007C2FE4" w:rsidRDefault="005868C2" w:rsidP="005868C2">
      <w:pPr>
        <w:pStyle w:val="paragraph"/>
        <w:spacing w:before="0" w:beforeAutospacing="0" w:after="120" w:afterAutospacing="0" w:line="259" w:lineRule="auto"/>
        <w:jc w:val="both"/>
        <w:textAlignment w:val="baseline"/>
        <w:rPr>
          <w:rFonts w:asciiTheme="minorHAnsi" w:hAnsiTheme="minorHAnsi" w:cstheme="minorHAnsi"/>
          <w:sz w:val="20"/>
          <w:szCs w:val="20"/>
        </w:rPr>
      </w:pPr>
      <w:r w:rsidRPr="007C2FE4">
        <w:rPr>
          <w:rFonts w:asciiTheme="minorHAnsi" w:hAnsiTheme="minorHAnsi" w:cstheme="minorHAnsi"/>
          <w:sz w:val="20"/>
          <w:szCs w:val="20"/>
        </w:rPr>
        <w:t xml:space="preserve">“Classic” hallucinogenic or serotonergic tryptamines include lysergic acid diethylamide (LSD), psilocybin, N,N-dimethyltryptamine (DMT), and ayahuasca (the psychoactive compound in ayahuasca is DMT). These </w:t>
      </w:r>
      <w:r>
        <w:rPr>
          <w:rFonts w:asciiTheme="minorHAnsi" w:hAnsiTheme="minorHAnsi" w:cstheme="minorHAnsi"/>
          <w:sz w:val="20"/>
          <w:szCs w:val="20"/>
        </w:rPr>
        <w:t>compounds</w:t>
      </w:r>
      <w:r w:rsidRPr="007C2FE4">
        <w:rPr>
          <w:rFonts w:asciiTheme="minorHAnsi" w:hAnsiTheme="minorHAnsi" w:cstheme="minorHAnsi"/>
          <w:sz w:val="20"/>
          <w:szCs w:val="20"/>
        </w:rPr>
        <w:t xml:space="preserve"> belong to the indolamine subclass of monoamine neurotransmitters</w:t>
      </w:r>
      <w:r>
        <w:rPr>
          <w:rFonts w:asciiTheme="minorHAnsi" w:hAnsiTheme="minorHAnsi" w:cstheme="minorHAnsi"/>
          <w:sz w:val="20"/>
          <w:szCs w:val="20"/>
        </w:rPr>
        <w:t>,</w:t>
      </w:r>
      <w:r w:rsidRPr="007C2FE4">
        <w:rPr>
          <w:rFonts w:asciiTheme="minorHAnsi" w:hAnsiTheme="minorHAnsi" w:cstheme="minorHAnsi"/>
          <w:sz w:val="20"/>
          <w:szCs w:val="20"/>
        </w:rPr>
        <w:t xml:space="preserve"> which mimic the endogenous neurotransmitter serotonin</w:t>
      </w:r>
      <w:r>
        <w:rPr>
          <w:rFonts w:asciiTheme="minorHAnsi" w:hAnsiTheme="minorHAnsi" w:cstheme="minorHAnsi"/>
          <w:sz w:val="20"/>
          <w:szCs w:val="20"/>
        </w:rPr>
        <w:t>,</w:t>
      </w:r>
      <w:r w:rsidRPr="007C2FE4">
        <w:rPr>
          <w:rFonts w:asciiTheme="minorHAnsi" w:hAnsiTheme="minorHAnsi" w:cstheme="minorHAnsi"/>
          <w:sz w:val="20"/>
          <w:szCs w:val="20"/>
        </w:rPr>
        <w:t xml:space="preserve"> and act mainly through agonist activity on various serotonin (5-HT) receptors. Serotonin receptor activity has a wide range of functions including the maintenance of </w:t>
      </w:r>
      <w:r>
        <w:rPr>
          <w:rFonts w:asciiTheme="minorHAnsi" w:hAnsiTheme="minorHAnsi" w:cstheme="minorHAnsi"/>
          <w:sz w:val="20"/>
          <w:szCs w:val="20"/>
        </w:rPr>
        <w:t xml:space="preserve">healthy </w:t>
      </w:r>
      <w:r w:rsidRPr="007C2FE4">
        <w:rPr>
          <w:rFonts w:asciiTheme="minorHAnsi" w:hAnsiTheme="minorHAnsi" w:cstheme="minorHAnsi"/>
          <w:sz w:val="20"/>
          <w:szCs w:val="20"/>
        </w:rPr>
        <w:t>sleep, mood</w:t>
      </w:r>
      <w:r>
        <w:rPr>
          <w:rFonts w:asciiTheme="minorHAnsi" w:hAnsiTheme="minorHAnsi" w:cstheme="minorHAnsi"/>
          <w:sz w:val="20"/>
          <w:szCs w:val="20"/>
        </w:rPr>
        <w:t>,</w:t>
      </w:r>
      <w:r w:rsidRPr="007C2FE4">
        <w:rPr>
          <w:rFonts w:asciiTheme="minorHAnsi" w:hAnsiTheme="minorHAnsi" w:cstheme="minorHAnsi"/>
          <w:sz w:val="20"/>
          <w:szCs w:val="20"/>
        </w:rPr>
        <w:t xml:space="preserve"> and behaviour. While 5-HT</w:t>
      </w:r>
      <w:r>
        <w:rPr>
          <w:rFonts w:asciiTheme="minorHAnsi" w:hAnsiTheme="minorHAnsi" w:cstheme="minorHAnsi"/>
          <w:sz w:val="20"/>
          <w:szCs w:val="20"/>
        </w:rPr>
        <w:t>-receptor-</w:t>
      </w:r>
      <w:r w:rsidRPr="007C2FE4">
        <w:rPr>
          <w:rFonts w:asciiTheme="minorHAnsi" w:hAnsiTheme="minorHAnsi" w:cstheme="minorHAnsi"/>
          <w:sz w:val="20"/>
          <w:szCs w:val="20"/>
        </w:rPr>
        <w:t>mediated a</w:t>
      </w:r>
      <w:r>
        <w:rPr>
          <w:rFonts w:asciiTheme="minorHAnsi" w:hAnsiTheme="minorHAnsi" w:cstheme="minorHAnsi"/>
          <w:sz w:val="20"/>
          <w:szCs w:val="20"/>
        </w:rPr>
        <w:t>ctions are thought to be primarily</w:t>
      </w:r>
      <w:r w:rsidRPr="007C2FE4">
        <w:rPr>
          <w:rFonts w:asciiTheme="minorHAnsi" w:hAnsiTheme="minorHAnsi" w:cstheme="minorHAnsi"/>
          <w:sz w:val="20"/>
          <w:szCs w:val="20"/>
        </w:rPr>
        <w:t xml:space="preserve"> responsible for </w:t>
      </w:r>
      <w:r>
        <w:rPr>
          <w:rFonts w:asciiTheme="minorHAnsi" w:hAnsiTheme="minorHAnsi" w:cstheme="minorHAnsi"/>
          <w:sz w:val="20"/>
          <w:szCs w:val="20"/>
        </w:rPr>
        <w:t xml:space="preserve">the </w:t>
      </w:r>
      <w:r w:rsidRPr="007C2FE4">
        <w:rPr>
          <w:rFonts w:asciiTheme="minorHAnsi" w:hAnsiTheme="minorHAnsi" w:cstheme="minorHAnsi"/>
          <w:sz w:val="20"/>
          <w:szCs w:val="20"/>
        </w:rPr>
        <w:t>therapeutic effects</w:t>
      </w:r>
      <w:r>
        <w:rPr>
          <w:rFonts w:asciiTheme="minorHAnsi" w:hAnsiTheme="minorHAnsi" w:cstheme="minorHAnsi"/>
          <w:sz w:val="20"/>
          <w:szCs w:val="20"/>
        </w:rPr>
        <w:t xml:space="preserve"> of </w:t>
      </w:r>
      <w:r w:rsidRPr="007C2FE4">
        <w:rPr>
          <w:rFonts w:asciiTheme="minorHAnsi" w:hAnsiTheme="minorHAnsi" w:cstheme="minorHAnsi"/>
          <w:sz w:val="20"/>
          <w:szCs w:val="20"/>
        </w:rPr>
        <w:t xml:space="preserve">serotonergic tryptamines, this </w:t>
      </w:r>
      <w:r>
        <w:rPr>
          <w:rFonts w:asciiTheme="minorHAnsi" w:hAnsiTheme="minorHAnsi" w:cstheme="minorHAnsi"/>
          <w:sz w:val="20"/>
          <w:szCs w:val="20"/>
        </w:rPr>
        <w:t>mechanism</w:t>
      </w:r>
      <w:r w:rsidRPr="007C2FE4">
        <w:rPr>
          <w:rFonts w:asciiTheme="minorHAnsi" w:hAnsiTheme="minorHAnsi" w:cstheme="minorHAnsi"/>
          <w:sz w:val="20"/>
          <w:szCs w:val="20"/>
        </w:rPr>
        <w:t xml:space="preserve"> is not sufficient to explain the drug-induced hallucinations </w:t>
      </w:r>
      <w:r>
        <w:rPr>
          <w:rFonts w:asciiTheme="minorHAnsi" w:hAnsiTheme="minorHAnsi" w:cstheme="minorHAnsi"/>
          <w:sz w:val="20"/>
          <w:szCs w:val="20"/>
        </w:rPr>
        <w:t>associated with</w:t>
      </w:r>
      <w:r w:rsidRPr="007C2FE4">
        <w:rPr>
          <w:rFonts w:asciiTheme="minorHAnsi" w:hAnsiTheme="minorHAnsi" w:cstheme="minorHAnsi"/>
          <w:sz w:val="20"/>
          <w:szCs w:val="20"/>
        </w:rPr>
        <w:t xml:space="preserve"> many compounds</w:t>
      </w:r>
      <w:r>
        <w:rPr>
          <w:rFonts w:asciiTheme="minorHAnsi" w:hAnsiTheme="minorHAnsi" w:cstheme="minorHAnsi"/>
          <w:sz w:val="20"/>
          <w:szCs w:val="20"/>
        </w:rPr>
        <w:t xml:space="preserve">. The </w:t>
      </w:r>
      <w:r w:rsidRPr="007C2FE4">
        <w:rPr>
          <w:rFonts w:asciiTheme="minorHAnsi" w:hAnsiTheme="minorHAnsi" w:cstheme="minorHAnsi"/>
          <w:sz w:val="20"/>
          <w:szCs w:val="20"/>
        </w:rPr>
        <w:t>neuro</w:t>
      </w:r>
      <w:r>
        <w:rPr>
          <w:rFonts w:asciiTheme="minorHAnsi" w:hAnsiTheme="minorHAnsi" w:cstheme="minorHAnsi"/>
          <w:sz w:val="20"/>
          <w:szCs w:val="20"/>
        </w:rPr>
        <w:t>-</w:t>
      </w:r>
      <w:r w:rsidRPr="007C2FE4">
        <w:rPr>
          <w:rFonts w:asciiTheme="minorHAnsi" w:hAnsiTheme="minorHAnsi" w:cstheme="minorHAnsi"/>
          <w:sz w:val="20"/>
          <w:szCs w:val="20"/>
        </w:rPr>
        <w:t>pharmacological evidence base is still developing. The dose and duration of effect for tryptamine derivatives can vary widely depending on their potency and route of administration. Source: Adapted from Frecska et al. (2016).</w:t>
      </w:r>
    </w:p>
    <w:p w14:paraId="74E128C0" w14:textId="77777777" w:rsidR="005868C2" w:rsidRDefault="005868C2" w:rsidP="005868C2">
      <w:pPr>
        <w:pStyle w:val="Heading2"/>
      </w:pPr>
      <w:bookmarkStart w:id="71" w:name="_Toc165018144"/>
      <w:r>
        <w:t>Clinical trial phases</w:t>
      </w:r>
      <w:bookmarkEnd w:id="71"/>
    </w:p>
    <w:p w14:paraId="7CE54D33" w14:textId="77777777" w:rsidR="005868C2" w:rsidRDefault="005868C2" w:rsidP="005868C2">
      <w:pPr>
        <w:jc w:val="both"/>
      </w:pPr>
      <w:r>
        <w:t>There are four phases to clinical trials. “Phase 1 are first-in-human trials. These establish basic safety, usually in healthy volunteers who are paid for their participation. Phase 2 are first-in-patient trials. These establish feasibility of a new intervention in a patient population with a particular diagnosis. Phase 3 are efficacy trials. These are randomized, controlled trials, often in very large numbers of similar patients in numerous centers around the world. Phase 3 trials often cost hundreds of millions of dollars and take many years to complete. It is only phase 3 trials that are used to make licensing decisions, because only phase 3 trials have sufficiently robust designs to inform those decisions. Even after licensing, phase 4 trials investigate treatments further, often picking up rare side effects that phase 3 trials can’t detect. Licenses are sometimes withdrawn on the basis of phase 4 trials. Even after this, drug safety monitoring is essentially endless, and drugs may be withdrawn for safety reasons after being on the market for many years” (Rucker &amp; Young, 2021, p. 2).</w:t>
      </w:r>
    </w:p>
    <w:p w14:paraId="03CF9CAF" w14:textId="77777777" w:rsidR="005868C2" w:rsidRDefault="005868C2" w:rsidP="005868C2">
      <w:pPr>
        <w:pStyle w:val="Heading2"/>
      </w:pPr>
      <w:bookmarkStart w:id="72" w:name="_Toc165018145"/>
      <w:r>
        <w:t>Controversial intervention</w:t>
      </w:r>
      <w:bookmarkEnd w:id="72"/>
    </w:p>
    <w:p w14:paraId="4EBAA27E" w14:textId="77777777" w:rsidR="005868C2" w:rsidRDefault="005868C2" w:rsidP="005868C2">
      <w:pPr>
        <w:jc w:val="both"/>
      </w:pPr>
      <w:r>
        <w:t xml:space="preserve">Within the context of this report series, controversial interventions refer to healthcare treatments with access barriers (e.g., legislative, regulatory, ethical and/or social), which affect their use in research and clinical practice. Psychedelics and medicinal cannabis are the most controversial interventions examined by the REA. These compounds have a complicated socio-political history and controlled (illegal) status in most countries. </w:t>
      </w:r>
      <w:r w:rsidRPr="00075196">
        <w:t xml:space="preserve">In Australia, </w:t>
      </w:r>
      <w:r>
        <w:t xml:space="preserve">most psychedelic compounds are classified as Schedule 9 (prohibited) substances (i.e., </w:t>
      </w:r>
      <w:r w:rsidRPr="00F628ED">
        <w:t xml:space="preserve">use is limited to </w:t>
      </w:r>
      <w:r>
        <w:t>medical and scientific research and</w:t>
      </w:r>
      <w:r w:rsidRPr="00F628ED">
        <w:t xml:space="preserve"> subject to regulatory controls</w:t>
      </w:r>
      <w:r>
        <w:t>); medicinal cannabis and ketamine are classified as Schedule 8 (controlled) substances (i.e., use in a medically controlled environment).</w:t>
      </w:r>
    </w:p>
    <w:p w14:paraId="68F88919" w14:textId="77777777" w:rsidR="005868C2" w:rsidRDefault="005868C2" w:rsidP="005868C2">
      <w:pPr>
        <w:jc w:val="both"/>
      </w:pPr>
      <w:r>
        <w:t xml:space="preserve">The resurgence of clinical trials examining psychedelic-assisted psychotherapy for various mental health conditions has demonstrated that some compounds (e.g., MDMA) are relatively safe and efficacious in highly controlled research settings (Sessa et al., 2019). Despite the legal barriers, widespread media coverage of these study findings may encourage individuals to seek out these compounds when accepted or conventional treatments fail. Clinicians have an ethical duty to minimise the potential risk of harm to consumers who are currently using (or interested in exploring) psychedelics, albeit within the current regulatory and legislative context (Pilecki et al., 2021). Harm minimisation strategies include </w:t>
      </w:r>
      <w:r w:rsidRPr="00600800">
        <w:t>education on safety</w:t>
      </w:r>
      <w:r>
        <w:t>;</w:t>
      </w:r>
      <w:r w:rsidRPr="00600800">
        <w:t xml:space="preserve"> and the importance of set</w:t>
      </w:r>
      <w:r>
        <w:t xml:space="preserve"> (i.e., preparation)</w:t>
      </w:r>
      <w:r w:rsidRPr="00600800">
        <w:t>, setting</w:t>
      </w:r>
      <w:r>
        <w:t xml:space="preserve"> (i.e., support during administration)</w:t>
      </w:r>
      <w:r w:rsidRPr="00600800">
        <w:t>, and</w:t>
      </w:r>
      <w:r>
        <w:t xml:space="preserve"> therapeutic follow-up (i.e., integration); to help consumers</w:t>
      </w:r>
      <w:r w:rsidRPr="00600800">
        <w:t xml:space="preserve"> make informe</w:t>
      </w:r>
      <w:r>
        <w:t>d choices about psychedelic use, avoid adverse events, and increase the probability of beneficial effects (Pilecki et al., 2021).</w:t>
      </w:r>
    </w:p>
    <w:p w14:paraId="21B06F4E" w14:textId="77777777" w:rsidR="005868C2" w:rsidRDefault="005868C2" w:rsidP="005868C2">
      <w:pPr>
        <w:pStyle w:val="Heading2"/>
      </w:pPr>
      <w:bookmarkStart w:id="73" w:name="_Toc165018146"/>
      <w:r>
        <w:t>D-cycloserine (DCS)</w:t>
      </w:r>
      <w:bookmarkEnd w:id="73"/>
    </w:p>
    <w:p w14:paraId="08AADA68" w14:textId="77777777" w:rsidR="005868C2" w:rsidRDefault="005868C2" w:rsidP="005868C2">
      <w:pPr>
        <w:jc w:val="both"/>
      </w:pPr>
      <w:r>
        <w:t xml:space="preserve">D-cycloserine (DCS) is an antibiotic. It is traditionally prescribed at high doses as a second-line treatment for tuberculosis, but has increasingly been studied at lower doses in psychiatric conditions (e.g., PTSD, anxiety disorders, substance use disorders) and neurological conditions (e.g., dementia, autism). DCS acts as a partial agonist at the glycine-binding site of the N-methyl-D-aspartate (NMDA) receptor (in vivo, a partial agonist behaves like an agonist at low doses but has features of antagonists at high doses). The NMDA receptor plays a crucial role in cortical neuroplasticity through its influence on long-term potentiation (LTP): a neuronal mechanism thought to be relevant for learning. DCS is thought to enhance the efficacy of therapies that rely on learning processes (e.g., exposure therapy in PTSD and anxiety disorders; and cue-exposure therapy in </w:t>
      </w:r>
      <w:r>
        <w:lastRenderedPageBreak/>
        <w:t xml:space="preserve">substance-related and addictive disorders) by improving fear extinction learning, and memory </w:t>
      </w:r>
      <w:r w:rsidRPr="00E33BDA">
        <w:t>consolidation a</w:t>
      </w:r>
      <w:r>
        <w:t xml:space="preserve">nd retrieval. </w:t>
      </w:r>
    </w:p>
    <w:p w14:paraId="1D897DCF" w14:textId="77777777" w:rsidR="005868C2" w:rsidRDefault="005868C2" w:rsidP="005868C2">
      <w:pPr>
        <w:jc w:val="both"/>
      </w:pPr>
      <w:r>
        <w:t xml:space="preserve">In DCS studies with patients, drug interactions should be considered. There is evidence from animal studies that antidepressants (e.g., imipramine or citalopram) can offset the facilitating effect of DCS on extinction learning. Additionally, neuroleptics (e.g., olanzapine and clozapine) also seem to impair the effects of DCS, especially in patients with schizophrenia. </w:t>
      </w:r>
      <w:r w:rsidRPr="003B395F">
        <w:t>In animal studies, chronic administration of DCS appears to reduce its efficacy; and</w:t>
      </w:r>
      <w:r>
        <w:t xml:space="preserve"> a </w:t>
      </w:r>
      <w:r w:rsidRPr="003B395F">
        <w:t>meta-analysis of exposure therapy in humans</w:t>
      </w:r>
      <w:r>
        <w:t xml:space="preserve"> (</w:t>
      </w:r>
      <w:r w:rsidRPr="00A60341">
        <w:t>Norberg et al., 2008)</w:t>
      </w:r>
      <w:r w:rsidRPr="003B395F">
        <w:t xml:space="preserve"> indicates that DCS efficacy i</w:t>
      </w:r>
      <w:r>
        <w:t xml:space="preserve">s higher when administered </w:t>
      </w:r>
      <w:r w:rsidRPr="003B395F">
        <w:t>a limited number of times</w:t>
      </w:r>
      <w:r>
        <w:t>, rather than repeatedly</w:t>
      </w:r>
      <w:r w:rsidRPr="003B395F">
        <w:t>.</w:t>
      </w:r>
      <w:r>
        <w:t xml:space="preserve"> Finally, animal studies indicate that the DCS mechanism of action may change (or even reverse) under conditions of high stress (due to different concentrations of surrounding neurotransmitters), which may be relevant to its efficacy in the treatment of mental health conditions that are characterised by sleep disturbance or fear (e.g., depression, schizophrenia, and anxiety disorders).</w:t>
      </w:r>
    </w:p>
    <w:p w14:paraId="3EAC2040" w14:textId="77777777" w:rsidR="005868C2" w:rsidRDefault="005868C2" w:rsidP="005868C2">
      <w:pPr>
        <w:jc w:val="both"/>
      </w:pPr>
      <w:r>
        <w:t>DCS is administered orally. At low doses, it is infrequently associated with mild side effects, including dizziness and fatigue. Other side effects on perception and cognition (including hyper-excitability, depression, anxiety, confusion, and memory loss) are mainly associated with high doses. At high doses</w:t>
      </w:r>
      <w:r w:rsidRPr="00FC7EAA">
        <w:t xml:space="preserve">, gastrointestinal </w:t>
      </w:r>
      <w:r>
        <w:t>upset,</w:t>
      </w:r>
      <w:r w:rsidRPr="00FC7EAA">
        <w:t xml:space="preserve"> rash, allergy, fever, and cardiovascular problems (includi</w:t>
      </w:r>
      <w:r>
        <w:t>ng cardiac arrhythmia) have</w:t>
      </w:r>
      <w:r w:rsidRPr="00FC7EAA">
        <w:t xml:space="preserve"> been reported</w:t>
      </w:r>
      <w:r>
        <w:t xml:space="preserve"> on rare occasions</w:t>
      </w:r>
      <w:r w:rsidRPr="00FC7EAA">
        <w:t>.</w:t>
      </w:r>
      <w:r>
        <w:t xml:space="preserve"> Very rare reports of seizures have been associated with blood levels exceeding 35 µg/mL; therefore, most studies exclude participants with a history of seizures as a precautionary measure. Source: Adapted from Schade and Paulus (2015).</w:t>
      </w:r>
    </w:p>
    <w:p w14:paraId="6C5E1DF9" w14:textId="77777777" w:rsidR="005868C2" w:rsidRPr="00E04238" w:rsidRDefault="005868C2" w:rsidP="005868C2">
      <w:pPr>
        <w:pStyle w:val="Heading2"/>
      </w:pPr>
      <w:bookmarkStart w:id="74" w:name="_Toc165018147"/>
      <w:r w:rsidRPr="00E04238">
        <w:t>Diagnostic and Statistical Manual of Mental Disorders</w:t>
      </w:r>
      <w:r>
        <w:t xml:space="preserve"> (DSM)</w:t>
      </w:r>
      <w:bookmarkEnd w:id="74"/>
    </w:p>
    <w:p w14:paraId="71B0DAC8" w14:textId="77777777" w:rsidR="005868C2" w:rsidRDefault="005868C2" w:rsidP="005868C2">
      <w:pPr>
        <w:jc w:val="both"/>
      </w:pPr>
      <w:r w:rsidRPr="00E04238">
        <w:t xml:space="preserve">The Diagnostic and Statistical Manual of Mental Disorders (DSM) is published by the American Psychiatric Association (APA). It is an international system for classifying mental health disorders using a common language and standard criteria. It is used by clinicians, researchers, policy makers, drug regulation agencies, pharmaceutical companies, health insurance companies, and the legal system. The DSM evolved from systems for collecting census data, psychiatric hospital statistics, and from a United States Army manual. First published in 1952, each revision </w:t>
      </w:r>
      <w:r>
        <w:t xml:space="preserve">of the DSM </w:t>
      </w:r>
      <w:r w:rsidRPr="00E04238">
        <w:t>has added psychiatric diagnoses, and removed those no longer considered to be mental health disorders. Criticisms of the DSM include</w:t>
      </w:r>
      <w:r>
        <w:t>:</w:t>
      </w:r>
      <w:r w:rsidRPr="00E04238">
        <w:t xml:space="preserve"> concerns about the reliability</w:t>
      </w:r>
      <w:r>
        <w:t xml:space="preserve"> and validity of many diagnoses;</w:t>
      </w:r>
      <w:r w:rsidRPr="00E04238">
        <w:t xml:space="preserve"> the use of categorical distinctions between mental illness and ‘normal’ functioning</w:t>
      </w:r>
      <w:r>
        <w:t>;</w:t>
      </w:r>
      <w:r w:rsidRPr="00E04238">
        <w:t xml:space="preserve"> cultural biases</w:t>
      </w:r>
      <w:r>
        <w:t>;</w:t>
      </w:r>
      <w:r w:rsidRPr="00E04238">
        <w:t xml:space="preserve"> and the medicalisation of human distress. The DSM-IV was published in 1994. The APA collaborated with the WHO as it developed the ICD-10, increasing the alignment between the two classification systems. The DSM-5 was published </w:t>
      </w:r>
      <w:r w:rsidRPr="00CF2F79">
        <w:t>in 2013</w:t>
      </w:r>
      <w:r>
        <w:t>, and the text revision (i.e.,</w:t>
      </w:r>
      <w:r w:rsidRPr="00CF2F79">
        <w:t xml:space="preserve"> DSM-5-TR</w:t>
      </w:r>
      <w:r>
        <w:t>)</w:t>
      </w:r>
      <w:r w:rsidRPr="00CF2F79">
        <w:t xml:space="preserve"> was published in March 2022. </w:t>
      </w:r>
      <w:r>
        <w:t>The DSM-5-TR c</w:t>
      </w:r>
      <w:r w:rsidRPr="00C85B16">
        <w:t>larifi</w:t>
      </w:r>
      <w:r>
        <w:t>ed</w:t>
      </w:r>
      <w:r w:rsidRPr="00C85B16">
        <w:t xml:space="preserve"> certain diagnostic criteria</w:t>
      </w:r>
      <w:r>
        <w:t>,</w:t>
      </w:r>
      <w:r w:rsidRPr="00C85B16">
        <w:t xml:space="preserve"> but no conceptual changes </w:t>
      </w:r>
      <w:r>
        <w:t xml:space="preserve">were made </w:t>
      </w:r>
      <w:r w:rsidRPr="00C85B16">
        <w:t>to the criteria sets</w:t>
      </w:r>
      <w:r>
        <w:t>.</w:t>
      </w:r>
      <w:r w:rsidRPr="00C85B16">
        <w:t xml:space="preserve"> </w:t>
      </w:r>
      <w:r w:rsidRPr="00E04238">
        <w:t>Source: Adapted from APA (202</w:t>
      </w:r>
      <w:r>
        <w:t>2</w:t>
      </w:r>
      <w:r w:rsidRPr="00E04238">
        <w:t>).</w:t>
      </w:r>
    </w:p>
    <w:p w14:paraId="28C61847" w14:textId="77777777" w:rsidR="005868C2" w:rsidRDefault="005868C2" w:rsidP="005868C2">
      <w:pPr>
        <w:pStyle w:val="Heading2"/>
      </w:pPr>
      <w:bookmarkStart w:id="75" w:name="_Toc165018148"/>
      <w:r>
        <w:t>Dimethyltryptamine (DMT) – constituent of ayahuasca</w:t>
      </w:r>
      <w:bookmarkEnd w:id="75"/>
    </w:p>
    <w:p w14:paraId="529E2BBE" w14:textId="77777777" w:rsidR="005868C2" w:rsidRDefault="005868C2" w:rsidP="005868C2">
      <w:pPr>
        <w:jc w:val="both"/>
      </w:pPr>
      <w:r>
        <w:t>N,N-dimethyltryptamine (DMT) is a psychoactive compound that belongs to a class of drugs known as serotonergic (or hallucinogenic) tryptamines (</w:t>
      </w:r>
      <w:r>
        <w:rPr>
          <w:rStyle w:val="normaltextrun"/>
          <w:rFonts w:ascii="Calibri" w:hAnsi="Calibri" w:cs="Segoe UI"/>
          <w:szCs w:val="20"/>
        </w:rPr>
        <w:t>see the glossary entry for</w:t>
      </w:r>
      <w:r>
        <w:t xml:space="preserve"> “Classic hallucinogens”). DMT is the hallucinogenic component of the psychoactive beverage ayahuasca, which has traditionally been used in cultural and religious rituals in South America. DMT is also abundant in animal and plant organisms, including human blood and brain fluid. Oral consumption of ayahuasca is the most common route of administration and produces hallucinogenic effects within approximately one hour of ingestion, which can last approximately four hours (Fuentes et al. 2020). These effects include a modified state of consciousness and perception, which is thought to allow users to gain insight into maladaptive behavioural, emotional, or cognitive patterns, as well as to confront repressed memories and/or reveal ego defence mechanisms. Initial side effects may include dizziness, diarrhoea, nausea, and vomiting. These effects are common and are often considered an essential part of a process that is intended to bring a sense of “purge” and relief. The characteristic effects of ayahuasca make it difficult to study in a double-blind, placebo-controlled trial; therefore, the long-term risks and benefits are largely unknown. Source: Adapted from Frecska et al. (2016).</w:t>
      </w:r>
    </w:p>
    <w:p w14:paraId="1900EA99" w14:textId="77777777" w:rsidR="005868C2" w:rsidRDefault="005868C2" w:rsidP="005868C2">
      <w:pPr>
        <w:pStyle w:val="Heading2"/>
      </w:pPr>
      <w:bookmarkStart w:id="76" w:name="_Toc165018149"/>
      <w:r>
        <w:lastRenderedPageBreak/>
        <w:t>Disruptive intervention</w:t>
      </w:r>
      <w:bookmarkEnd w:id="76"/>
    </w:p>
    <w:p w14:paraId="5334A980" w14:textId="77777777" w:rsidR="005868C2" w:rsidRDefault="005868C2" w:rsidP="005868C2">
      <w:pPr>
        <w:jc w:val="both"/>
      </w:pPr>
      <w:r>
        <w:t xml:space="preserve">Disruptive healthcare interventions are poorly defined in the literature, there is no specific health sector definition, and the term is frequently misapplied to healthcare innovations that may be better described as incremental or radical (Sounderajah et al., 2021). Within the context of this report series, disruptive interventions refer to healthcare innovations that have the potential to challenge established treatment paradigms in a market segment or patient population, leading </w:t>
      </w:r>
      <w:r w:rsidRPr="00FC6F44">
        <w:t>to market upheaval (Sounderajah et al., 2021). For example, treatment protocols for psychedelic-assisted psychotherapy typically involve two therapists (i.e., a co-</w:t>
      </w:r>
      <w:r>
        <w:t xml:space="preserve">therapy team), and three phases of treatment sessions (i.e., preparatory; dosing; integrative), with dosing sessions lasting up to eight (8) hours. </w:t>
      </w:r>
      <w:r w:rsidRPr="003F6B72">
        <w:t xml:space="preserve">A further </w:t>
      </w:r>
      <w:r>
        <w:t xml:space="preserve">relevant </w:t>
      </w:r>
      <w:r w:rsidRPr="003F6B72">
        <w:t xml:space="preserve">example involves massed </w:t>
      </w:r>
      <w:r>
        <w:t xml:space="preserve">psychotherapy </w:t>
      </w:r>
      <w:r w:rsidRPr="003F6B72">
        <w:t>sessions</w:t>
      </w:r>
      <w:r>
        <w:t xml:space="preserve"> </w:t>
      </w:r>
      <w:r w:rsidRPr="003F6B72">
        <w:t>for</w:t>
      </w:r>
      <w:r>
        <w:t xml:space="preserve"> the treatment of </w:t>
      </w:r>
      <w:r w:rsidRPr="003F6B72">
        <w:t xml:space="preserve">anxiety </w:t>
      </w:r>
      <w:r>
        <w:t>disorders or PTSD (e.g., the Bergen 4-day treatment</w:t>
      </w:r>
      <w:r w:rsidRPr="009744EB">
        <w:t xml:space="preserve"> protocol</w:t>
      </w:r>
      <w:r>
        <w:t xml:space="preserve"> for obsessive compulsive disorder; see Kvale et al., 2020)</w:t>
      </w:r>
      <w:r w:rsidRPr="003F6B72">
        <w:t xml:space="preserve">. </w:t>
      </w:r>
      <w:r>
        <w:t>These types of treatment protocols have the potential to disrupt funding models for individual or group psychotherapy, which typically reimburse an individual practitioner for a series of treatment sessions lasting one (1) to two (2) hours. Disruptive interventions</w:t>
      </w:r>
      <w:r w:rsidRPr="00FC6F44">
        <w:t xml:space="preserve"> exist along a continuum</w:t>
      </w:r>
      <w:r>
        <w:t xml:space="preserve"> that pose m</w:t>
      </w:r>
      <w:r w:rsidRPr="00FC6F44">
        <w:t xml:space="preserve">inor to substantial </w:t>
      </w:r>
      <w:r>
        <w:t>challenge</w:t>
      </w:r>
      <w:r w:rsidRPr="00FC6F44">
        <w:t xml:space="preserve">s </w:t>
      </w:r>
      <w:r>
        <w:t>to</w:t>
      </w:r>
      <w:r w:rsidRPr="00FC6F44">
        <w:t xml:space="preserve"> </w:t>
      </w:r>
      <w:r>
        <w:t>established treatment paradigms</w:t>
      </w:r>
      <w:r w:rsidRPr="00FC6F44">
        <w:t>.</w:t>
      </w:r>
    </w:p>
    <w:p w14:paraId="26577D00" w14:textId="77777777" w:rsidR="005868C2" w:rsidRPr="00E04238" w:rsidRDefault="005868C2" w:rsidP="005868C2">
      <w:pPr>
        <w:pStyle w:val="Heading2"/>
      </w:pPr>
      <w:bookmarkStart w:id="77" w:name="_Toc165018150"/>
      <w:r w:rsidRPr="00E04238">
        <w:t>Emerging intervention</w:t>
      </w:r>
      <w:bookmarkEnd w:id="77"/>
    </w:p>
    <w:p w14:paraId="05633941" w14:textId="77777777" w:rsidR="005868C2" w:rsidRPr="00E04238" w:rsidRDefault="005868C2" w:rsidP="005868C2">
      <w:pPr>
        <w:jc w:val="both"/>
      </w:pPr>
      <w:r w:rsidRPr="00E04238">
        <w:t>An intervention where research on treatm</w:t>
      </w:r>
      <w:r>
        <w:t>ent effectiveness has commenced,</w:t>
      </w:r>
      <w:r w:rsidRPr="00E04238">
        <w:t xml:space="preserve"> but is still in its infancy, and there is not enough evidence to support its use. These types of interventions may already be used by people with mental health </w:t>
      </w:r>
      <w:r>
        <w:t xml:space="preserve">conditions, and </w:t>
      </w:r>
      <w:r w:rsidRPr="00E04238">
        <w:t>are often reported in the media as offering new hope. However, these media reports are typica</w:t>
      </w:r>
      <w:r>
        <w:t>lly based on anecdotal evidence</w:t>
      </w:r>
      <w:r w:rsidRPr="00E04238">
        <w:t xml:space="preserve"> or small preliminary studies. This does not mean </w:t>
      </w:r>
      <w:r>
        <w:t xml:space="preserve">that emerging interventions </w:t>
      </w:r>
      <w:r w:rsidRPr="00E04238">
        <w:t>do not work; it j</w:t>
      </w:r>
      <w:r>
        <w:t xml:space="preserve">ust means that there is not </w:t>
      </w:r>
      <w:r w:rsidRPr="00E04238">
        <w:t xml:space="preserve">enough evidence to know if they </w:t>
      </w:r>
      <w:r>
        <w:t xml:space="preserve">do </w:t>
      </w:r>
      <w:r w:rsidRPr="00E04238">
        <w:t>work. Source: Adapted from Jones et al. (2020, p. 5).</w:t>
      </w:r>
    </w:p>
    <w:p w14:paraId="4A981455" w14:textId="77777777" w:rsidR="005868C2" w:rsidRDefault="005868C2" w:rsidP="005868C2">
      <w:pPr>
        <w:pStyle w:val="Heading2"/>
      </w:pPr>
      <w:bookmarkStart w:id="78" w:name="_Toc165018151"/>
      <w:r>
        <w:t>Evidence-based intervention</w:t>
      </w:r>
      <w:bookmarkEnd w:id="78"/>
    </w:p>
    <w:p w14:paraId="4750D0AD" w14:textId="77777777" w:rsidR="005868C2" w:rsidRDefault="005868C2" w:rsidP="005868C2">
      <w:pPr>
        <w:jc w:val="both"/>
      </w:pPr>
      <w:r w:rsidRPr="00047374">
        <w:rPr>
          <w:szCs w:val="20"/>
        </w:rPr>
        <w:t>Interventions that have been proven to be effective and are supported by rigorous scientific evidence. They are often recommended by treatment guidelines.</w:t>
      </w:r>
      <w:r>
        <w:rPr>
          <w:szCs w:val="20"/>
        </w:rPr>
        <w:t xml:space="preserve"> </w:t>
      </w:r>
      <w:r>
        <w:t>Source: Adapted from Jones et al. (2020, p. 5).</w:t>
      </w:r>
    </w:p>
    <w:p w14:paraId="026267D9" w14:textId="5F7F6D5E" w:rsidR="005868C2" w:rsidRPr="00E04238" w:rsidRDefault="005868C2" w:rsidP="005868C2">
      <w:pPr>
        <w:pStyle w:val="Heading2"/>
      </w:pPr>
      <w:bookmarkStart w:id="79" w:name="_Toc165018152"/>
      <w:r w:rsidRPr="00E04238">
        <w:t>Grading of Recommendations Assessment, Development</w:t>
      </w:r>
      <w:r>
        <w:t>,</w:t>
      </w:r>
      <w:r w:rsidRPr="00E04238">
        <w:t xml:space="preserve"> and Evaluation (GRADE)</w:t>
      </w:r>
      <w:bookmarkEnd w:id="79"/>
      <w:r w:rsidRPr="00E04238">
        <w:t xml:space="preserve"> </w:t>
      </w:r>
    </w:p>
    <w:p w14:paraId="1436B1FF" w14:textId="77777777" w:rsidR="005868C2" w:rsidRPr="00E04238" w:rsidRDefault="005868C2" w:rsidP="005868C2">
      <w:pPr>
        <w:jc w:val="both"/>
      </w:pPr>
      <w:r w:rsidRPr="00E04238">
        <w:t xml:space="preserve">A systematic approach for rating the certainty of </w:t>
      </w:r>
      <w:r>
        <w:t xml:space="preserve">a body of </w:t>
      </w:r>
      <w:r w:rsidRPr="00E04238">
        <w:t>evidence in systematic reviews and other evidence syntheses (The GRADE Working Group, 202</w:t>
      </w:r>
      <w:r>
        <w:t>2</w:t>
      </w:r>
      <w:r w:rsidRPr="00E04238">
        <w:t>).</w:t>
      </w:r>
    </w:p>
    <w:p w14:paraId="11574607" w14:textId="77777777" w:rsidR="005868C2" w:rsidRPr="00E04238" w:rsidRDefault="005868C2" w:rsidP="005868C2">
      <w:pPr>
        <w:pStyle w:val="Heading2"/>
      </w:pPr>
      <w:bookmarkStart w:id="80" w:name="_Toc165018153"/>
      <w:r w:rsidRPr="00E04238">
        <w:t>Grey literature</w:t>
      </w:r>
      <w:bookmarkEnd w:id="80"/>
    </w:p>
    <w:p w14:paraId="5C264279" w14:textId="77777777" w:rsidR="005868C2" w:rsidRPr="00E04238" w:rsidRDefault="005868C2" w:rsidP="005868C2">
      <w:pPr>
        <w:jc w:val="both"/>
      </w:pPr>
      <w:r w:rsidRPr="00E04238">
        <w:t>Grey literature refers to a range of different document types (in print and electronic formats) produced across all levels of government, academia, business</w:t>
      </w:r>
      <w:r>
        <w:t>,</w:t>
      </w:r>
      <w:r w:rsidRPr="00E04238">
        <w:t xml:space="preserve"> and indus</w:t>
      </w:r>
      <w:r>
        <w:t xml:space="preserve">try that: </w:t>
      </w:r>
      <w:r w:rsidRPr="00E04238">
        <w:t xml:space="preserve">are protected </w:t>
      </w:r>
      <w:r>
        <w:t xml:space="preserve">by intellectual property rights; </w:t>
      </w:r>
      <w:r w:rsidRPr="00E04238">
        <w:t>are of sufficient quality to be collected and preserved by library holdings or institutional repositories</w:t>
      </w:r>
      <w:r>
        <w:t xml:space="preserve">; </w:t>
      </w:r>
      <w:r w:rsidRPr="00E04238">
        <w:t>and</w:t>
      </w:r>
      <w:r>
        <w:t xml:space="preserve"> </w:t>
      </w:r>
      <w:r w:rsidRPr="00E04238">
        <w:t>are not controlled by commercial publishers (Farace &amp; Sch</w:t>
      </w:r>
      <w:r>
        <w:t>o</w:t>
      </w:r>
      <w:r w:rsidRPr="00E04238">
        <w:t xml:space="preserve">pfel, 2010). </w:t>
      </w:r>
    </w:p>
    <w:p w14:paraId="42D1042F" w14:textId="77777777" w:rsidR="005868C2" w:rsidRPr="00E04238" w:rsidRDefault="005868C2" w:rsidP="005868C2">
      <w:pPr>
        <w:pStyle w:val="Heading2"/>
      </w:pPr>
      <w:bookmarkStart w:id="81" w:name="_Toc165018154"/>
      <w:r w:rsidRPr="00E04238">
        <w:t>International Classification of Diseases (ICD)</w:t>
      </w:r>
      <w:bookmarkEnd w:id="81"/>
    </w:p>
    <w:p w14:paraId="679A4BF3" w14:textId="77777777" w:rsidR="005868C2" w:rsidRPr="00E04238" w:rsidRDefault="005868C2" w:rsidP="005868C2">
      <w:pPr>
        <w:jc w:val="both"/>
      </w:pPr>
      <w:r w:rsidRPr="00E04238">
        <w:t>The International Classification of Diseases (ICD) is published by the World Health Organisation (WHO). It is the international diagnostic classification standard for reporting morbidity (diseases, injuries, and symptoms), mortality (deaths), reasons for encounter, factors that influence health status, and external causes of disease. It is used by clinicians and researchers around the world to store, retrieve, and analyse health information. Specific uses include sharing and comparing health information from hospitals, regions, settings</w:t>
      </w:r>
      <w:r>
        <w:t>,</w:t>
      </w:r>
      <w:r w:rsidRPr="00E04238">
        <w:t xml:space="preserve"> and countries to: monitor the incidence and prevalence of diseases; track reimbursement and resource allocation trends; check compliance with safety and quality guidelines; and inform evidence-based decision making. The ICD-10 was published in 1992. It is used by more than 100 countries around the world</w:t>
      </w:r>
      <w:r>
        <w:t>,</w:t>
      </w:r>
      <w:r w:rsidRPr="00E04238">
        <w:t xml:space="preserve"> and cited in more than 20,000 scientific articles. The ICD-11 was published in 2019. Source: Adapted from WHO (202</w:t>
      </w:r>
      <w:r>
        <w:t>2</w:t>
      </w:r>
      <w:r w:rsidRPr="00E04238">
        <w:t>).</w:t>
      </w:r>
    </w:p>
    <w:p w14:paraId="2560910E" w14:textId="77777777" w:rsidR="005868C2" w:rsidRDefault="005868C2" w:rsidP="005868C2">
      <w:pPr>
        <w:pStyle w:val="Heading2"/>
      </w:pPr>
      <w:bookmarkStart w:id="82" w:name="_Toc165018155"/>
      <w:r>
        <w:t>Ketamine</w:t>
      </w:r>
      <w:bookmarkEnd w:id="82"/>
      <w:r>
        <w:t xml:space="preserve"> </w:t>
      </w:r>
    </w:p>
    <w:p w14:paraId="04A98F85" w14:textId="77777777" w:rsidR="005868C2" w:rsidRDefault="005868C2" w:rsidP="005868C2">
      <w:pPr>
        <w:jc w:val="both"/>
      </w:pPr>
      <w:r>
        <w:t xml:space="preserve">Ketamine is referred to as a psychedelic or dissociative anaesthetic (Vollenweider, 2001). It is commonly used in surgical procedures by medical practitioners and veterinarians. When used for anaesthetic purposes, ketamine is usually administered via intravenous (IV) infusion or </w:t>
      </w:r>
      <w:r w:rsidRPr="005F5964">
        <w:t>intramuscular (IM) injection.</w:t>
      </w:r>
      <w:r>
        <w:t xml:space="preserve"> Dissociation, sedation, and patient comfort is achieved via its partial agonism on opiate mu-receptors. Due to its rapid onset, it is particularly </w:t>
      </w:r>
      <w:r>
        <w:lastRenderedPageBreak/>
        <w:t>useful in emergency, disaster relief, and military situations. However, transient respiratory depression can result if improperly administered (i.e., excessive rate of delivery or excessive dose). Ketamine’s antagonism on N-methyl-D-</w:t>
      </w:r>
      <w:r w:rsidRPr="00D5268A">
        <w:t>aspartate (NMDA) and glutamate receptors plays a significant role in controlling symptoms of depression and acute suicidal ideation. In 2019, the US Food and Drug Administration (FDA) approved esketamine (S-enantiomer of ketamine), in conjunction with an oral antidepressant, for treatment-resistant depression in adults. In 2020, the FDA approved esketamine, in conjunction with an oral antidepressant, to treat depressive symptoms in adults with major depressive disorder (MDD) with acute suicidal ideation. The drug is administered as an intranasal spray under the supervision of a healthcare provider. It is contraindicated</w:t>
      </w:r>
      <w:r>
        <w:t xml:space="preserve"> in patients with schizophrenia due to its potential for exacerbating the underlying condition via short-term emergence phenomena or delirium, which can occur in up to 6-12% of patients, and last for up to 3 hours. Source: Adapted from Rosenbaum et al. (2022).</w:t>
      </w:r>
    </w:p>
    <w:p w14:paraId="77F39517" w14:textId="77777777" w:rsidR="005868C2" w:rsidRPr="00E04238" w:rsidRDefault="005868C2" w:rsidP="005868C2">
      <w:pPr>
        <w:pStyle w:val="Heading2"/>
      </w:pPr>
      <w:bookmarkStart w:id="83" w:name="_Toc165018156"/>
      <w:r w:rsidRPr="00E04238">
        <w:t>Lifetime prevalence</w:t>
      </w:r>
      <w:bookmarkEnd w:id="83"/>
    </w:p>
    <w:p w14:paraId="56AB80E6" w14:textId="77777777" w:rsidR="005868C2" w:rsidRDefault="005868C2" w:rsidP="005868C2">
      <w:pPr>
        <w:jc w:val="both"/>
      </w:pPr>
      <w:r w:rsidRPr="00E04238">
        <w:t>The proportion of a target population who have ever fulfilled diagnostic criteria for a codified health condition (e.g., ICD-10/ICD-11; DSM-IV/DSM-5) at some time in their life.</w:t>
      </w:r>
    </w:p>
    <w:p w14:paraId="0C7CE6FA" w14:textId="77777777" w:rsidR="005868C2" w:rsidRDefault="005868C2" w:rsidP="005868C2">
      <w:pPr>
        <w:pStyle w:val="Heading2"/>
      </w:pPr>
      <w:bookmarkStart w:id="84" w:name="_Toc165018157"/>
      <w:r>
        <w:t>Lysergic acid diethylamide (LSD)</w:t>
      </w:r>
      <w:bookmarkEnd w:id="84"/>
      <w:r>
        <w:t xml:space="preserve"> </w:t>
      </w:r>
    </w:p>
    <w:p w14:paraId="2EB5BC1E" w14:textId="77777777" w:rsidR="005868C2" w:rsidRDefault="005868C2" w:rsidP="005868C2">
      <w:pPr>
        <w:jc w:val="both"/>
      </w:pPr>
      <w:r>
        <w:t>Lysergic acid diethylamide (LSD) is an ergot derivative and “classic” hallucinogen (</w:t>
      </w:r>
      <w:r>
        <w:rPr>
          <w:rStyle w:val="normaltextrun"/>
          <w:rFonts w:ascii="Calibri" w:hAnsi="Calibri" w:cs="Segoe UI"/>
          <w:szCs w:val="20"/>
        </w:rPr>
        <w:t>see the glossary entry for</w:t>
      </w:r>
      <w:r>
        <w:t xml:space="preserve"> “Classic hallucinogens”), which was first synthesised for treating postpartum haemorrhage. After the accidental discovery of its psychoactive effects, it was marketed </w:t>
      </w:r>
      <w:r w:rsidRPr="00D800F5">
        <w:t>for psychological research from the 1950s. It was prohibited in 1967 in the USA</w:t>
      </w:r>
      <w:r>
        <w:t xml:space="preserve"> due to </w:t>
      </w:r>
      <w:r w:rsidRPr="00D800F5">
        <w:t>increased recreational</w:t>
      </w:r>
      <w:r>
        <w:t xml:space="preserve"> drug</w:t>
      </w:r>
      <w:r w:rsidRPr="00D800F5">
        <w:t xml:space="preserve"> </w:t>
      </w:r>
      <w:r>
        <w:t xml:space="preserve">use </w:t>
      </w:r>
      <w:r w:rsidRPr="00D800F5">
        <w:t xml:space="preserve">through the early 1960s, and its association with counterculture movements. Oral administration of LSD is most common in </w:t>
      </w:r>
      <w:r>
        <w:t xml:space="preserve">scientific </w:t>
      </w:r>
      <w:r w:rsidRPr="00D800F5">
        <w:t>research</w:t>
      </w:r>
      <w:r>
        <w:t>,</w:t>
      </w:r>
      <w:r w:rsidRPr="00D800F5">
        <w:t xml:space="preserve"> often as a single, one-off dose. LSD may produce variety of psychological</w:t>
      </w:r>
      <w:r>
        <w:t xml:space="preserve"> and sensory effects including euphoria, hallucinations, and delusions, as well as distortions in the perception of time, depth, sound, colour, and touch. Due to these psychoactive effects, use in uncontrolled or unsupervised environments may lead to anxiety, dysphoria, confusion, and unpredictable behaviour, or the exacerbation of pre-existing psychotic disorders. Other possible adverse effects include increased blood pressure and heart rate, requiring precautions in patients with cardiovascular disease. Source: Adapted from Fuentes et al. (2020).</w:t>
      </w:r>
    </w:p>
    <w:p w14:paraId="0CFEA6B0" w14:textId="77777777" w:rsidR="005868C2" w:rsidRDefault="005868C2" w:rsidP="005868C2">
      <w:pPr>
        <w:pStyle w:val="Heading2"/>
      </w:pPr>
      <w:bookmarkStart w:id="85" w:name="_Toc165018158"/>
      <w:r>
        <w:t>Methylenedioxymethamphetamine (MDMA)</w:t>
      </w:r>
      <w:bookmarkEnd w:id="85"/>
      <w:r>
        <w:t xml:space="preserve"> </w:t>
      </w:r>
    </w:p>
    <w:p w14:paraId="204D74F9" w14:textId="77777777" w:rsidR="005868C2" w:rsidRPr="00FB369F" w:rsidRDefault="005868C2" w:rsidP="005868C2">
      <w:pPr>
        <w:jc w:val="both"/>
        <w:rPr>
          <w:shd w:val="clear" w:color="auto" w:fill="F7F7F7"/>
        </w:rPr>
      </w:pPr>
      <w:r w:rsidRPr="00B260CF">
        <w:t xml:space="preserve">3,4-Methylenedioxymethamphetamine (MDMA) </w:t>
      </w:r>
      <w:r>
        <w:t>belongs to a class of drugs termed “</w:t>
      </w:r>
      <w:r w:rsidRPr="00B260CF">
        <w:t>entactogen</w:t>
      </w:r>
      <w:r>
        <w:t>s” (Vollenweider, 2001). MDMA induces a positive mood state, in conjunction with the a</w:t>
      </w:r>
      <w:r w:rsidRPr="00B260CF">
        <w:t>ctivation of prefrontolimbic</w:t>
      </w:r>
      <w:r>
        <w:t xml:space="preserve"> or </w:t>
      </w:r>
      <w:r w:rsidRPr="00B260CF">
        <w:t>paralimbic structures</w:t>
      </w:r>
      <w:r>
        <w:t>,</w:t>
      </w:r>
      <w:r w:rsidRPr="00B260CF">
        <w:t xml:space="preserve"> and </w:t>
      </w:r>
      <w:r>
        <w:t>the</w:t>
      </w:r>
      <w:r w:rsidRPr="00B260CF">
        <w:t xml:space="preserve"> deactivation of the amygdala and thalamus (Vollenweider, 2001). While entactogens (</w:t>
      </w:r>
      <w:r>
        <w:t>i.e.</w:t>
      </w:r>
      <w:r w:rsidRPr="00B260CF">
        <w:t xml:space="preserve">, MDMA and related compounds) </w:t>
      </w:r>
      <w:r>
        <w:t xml:space="preserve">have a molecular structure that is similar to </w:t>
      </w:r>
      <w:r w:rsidRPr="00B260CF">
        <w:t>both stimulant amphetamines and hallucinogenic phenylethylamines (e.g., mescaline), entactogens</w:t>
      </w:r>
      <w:r>
        <w:t>’</w:t>
      </w:r>
      <w:r w:rsidRPr="00B260CF">
        <w:t xml:space="preserve"> psychedelic-like effects </w:t>
      </w:r>
      <w:r>
        <w:t>are typically not accompanied by h</w:t>
      </w:r>
      <w:r w:rsidRPr="00B260CF">
        <w:t>allucinations</w:t>
      </w:r>
      <w:r>
        <w:t xml:space="preserve"> (Vollenweider, 2001)</w:t>
      </w:r>
      <w:r w:rsidRPr="00B260CF">
        <w:t>. Compared to LSD (see the glossary entry</w:t>
      </w:r>
      <w:r>
        <w:t xml:space="preserve"> for “L</w:t>
      </w:r>
      <w:r w:rsidRPr="00B260CF">
        <w:t xml:space="preserve">ysergic </w:t>
      </w:r>
      <w:r>
        <w:t>a</w:t>
      </w:r>
      <w:r w:rsidRPr="00B260CF">
        <w:t xml:space="preserve">cid </w:t>
      </w:r>
      <w:r>
        <w:t>d</w:t>
      </w:r>
      <w:r w:rsidRPr="00B260CF">
        <w:t>iethylamide</w:t>
      </w:r>
      <w:r>
        <w:t>, LSD”</w:t>
      </w:r>
      <w:r w:rsidRPr="00B260CF">
        <w:t>)</w:t>
      </w:r>
      <w:r>
        <w:t xml:space="preserve">, MDMA is shorter-acting and produces a more easily tolerated altered state of consciousness (Sessa et al., 2019). It enhances the user’s feelings of empathy and bonding, and has been used as an adjunct to psychotherapy to access and process traumatic </w:t>
      </w:r>
      <w:r w:rsidRPr="004F5C80">
        <w:t>memories (Sessa et al., 20</w:t>
      </w:r>
      <w:r>
        <w:t>19</w:t>
      </w:r>
      <w:r w:rsidRPr="004F5C80">
        <w:t>).</w:t>
      </w:r>
    </w:p>
    <w:p w14:paraId="568D2F6D" w14:textId="77777777" w:rsidR="005868C2" w:rsidRPr="00E04238" w:rsidRDefault="005868C2" w:rsidP="005868C2">
      <w:pPr>
        <w:jc w:val="both"/>
      </w:pPr>
      <w:r>
        <w:t xml:space="preserve">MDMA was first synthesised in 1912 as one of a series of chemical compounds used to develop medications for managing abnormal bleeding. In 1953-54, the US Army conducted a brief series of toxicity studies in animals. In the late 1970s, psychiatrists and psychologists reported benefits of MDMA-assisted therapy in individuals and couples. Widespread recreational use followed thereafter, leading to criminalisation of the compound by the US Drug Enforcement Administration (DEA) in 1985. MDMA is notable for its ability to decrease fear responses, and increase empathy and interpersonal trust. For these reasons, it was expected to be especially useful in treating the emotional activation that accompanies access to traumatic memories in the treatment of PTSD. Source: Adapted from </w:t>
      </w:r>
      <w:r w:rsidRPr="00381EDE">
        <w:t>Williams (2017)</w:t>
      </w:r>
      <w:r>
        <w:t>.</w:t>
      </w:r>
    </w:p>
    <w:p w14:paraId="01614091" w14:textId="77777777" w:rsidR="005868C2" w:rsidRPr="00E04238" w:rsidRDefault="005868C2" w:rsidP="005868C2">
      <w:pPr>
        <w:jc w:val="both"/>
      </w:pPr>
      <w:r>
        <w:t xml:space="preserve">While recent clinical trials indicate that therapeutic doses of MDMA are generally well tolerated, adverse effects may include anxiety, restlessness, fatigue, jaw clenching, headache, and transient increases in blood pressure (Kisely et al., 2021). The long-term safety outcomes remain unknown. </w:t>
      </w:r>
    </w:p>
    <w:p w14:paraId="0AF6B799" w14:textId="77777777" w:rsidR="005868C2" w:rsidRDefault="005868C2" w:rsidP="005868C2">
      <w:pPr>
        <w:pStyle w:val="Heading2"/>
      </w:pPr>
      <w:bookmarkStart w:id="86" w:name="_Toc165018159"/>
      <w:r>
        <w:lastRenderedPageBreak/>
        <w:t>Narrative synthesis</w:t>
      </w:r>
      <w:bookmarkEnd w:id="86"/>
    </w:p>
    <w:p w14:paraId="35EE0F8C" w14:textId="77777777" w:rsidR="005868C2" w:rsidRDefault="005868C2" w:rsidP="005868C2">
      <w:pPr>
        <w:jc w:val="both"/>
      </w:pPr>
      <w:r w:rsidRPr="00AE4C7F">
        <w:t>Narrative synthesis</w:t>
      </w:r>
      <w:r>
        <w:t xml:space="preserve"> is an approach that relies primarily on the use of words and text to summarise and explain the findings from the studies included in a systematic literature review</w:t>
      </w:r>
      <w:r w:rsidRPr="00AE4C7F">
        <w:t xml:space="preserve">. </w:t>
      </w:r>
      <w:r>
        <w:t xml:space="preserve">The defining characteristic of a narrative synthesis is the textual approach used to </w:t>
      </w:r>
      <w:r w:rsidRPr="00AE4C7F">
        <w:t>‘tell the story’ of the find</w:t>
      </w:r>
      <w:r>
        <w:t xml:space="preserve">ings from the included studies, although it may </w:t>
      </w:r>
      <w:r w:rsidRPr="00AE4C7F">
        <w:t>involve the manipulation of statistical data</w:t>
      </w:r>
      <w:r>
        <w:t>. Source: Adapted from Popay et al. (2006, p. 5).</w:t>
      </w:r>
    </w:p>
    <w:p w14:paraId="08D73E39" w14:textId="77777777" w:rsidR="005868C2" w:rsidRDefault="005868C2" w:rsidP="005868C2">
      <w:pPr>
        <w:pStyle w:val="Heading2"/>
      </w:pPr>
      <w:bookmarkStart w:id="87" w:name="_Toc165018160"/>
      <w:r>
        <w:t>Psilocybin</w:t>
      </w:r>
      <w:bookmarkEnd w:id="87"/>
      <w:r>
        <w:t xml:space="preserve"> </w:t>
      </w:r>
    </w:p>
    <w:p w14:paraId="447AD019" w14:textId="77777777" w:rsidR="005868C2" w:rsidRDefault="005868C2" w:rsidP="005868C2">
      <w:pPr>
        <w:jc w:val="both"/>
      </w:pPr>
      <w:r>
        <w:t>Psilocybin (4-phosphoryloxy-N,N-dimethyltryptamine) is a psychoactive compound that belongs to a class of drugs known as “classic” serotonergic (or hallucinogenic) tryptamines (</w:t>
      </w:r>
      <w:r w:rsidRPr="4C15A81F">
        <w:rPr>
          <w:rStyle w:val="normaltextrun"/>
          <w:rFonts w:ascii="Calibri" w:hAnsi="Calibri" w:cs="Segoe UI"/>
        </w:rPr>
        <w:t>see the glossary entry</w:t>
      </w:r>
      <w:r>
        <w:rPr>
          <w:rStyle w:val="normaltextrun"/>
          <w:rFonts w:ascii="Calibri" w:hAnsi="Calibri" w:cs="Segoe UI"/>
        </w:rPr>
        <w:t xml:space="preserve"> for</w:t>
      </w:r>
      <w:r>
        <w:t xml:space="preserve"> “Classic hallucinogens”). Psilocybin can be derived from certain species of mushrooms. When orally administered, the body converts psilocybin to psilocin (4-hydroxy-N,N-dimethyltryptamine). Psilocin acts as a 5-HT agonist, primarily on the 5-HT2A receptor, which is thought to account for the psychotropic effects of the drug. Like ayahuasca, psilocybin has been used for centuries in cultural and religious rituals in Indigenous communities. It is also thought to have a similar mechanism of action to ayahuasca; with mystical-type experiences correlating with therapeutic outcomes, and the less acute adverse effects of the compound (e.g., nausea). Pharmacologically, psilocybin is closely related to LSD, but has been more widely studied in recent research for various mental health conditions, including treatment-resistant depression, anxiety, and substance use disorders. Source: Adapted from Araújo et al. (2015) and Johnson</w:t>
      </w:r>
      <w:r w:rsidRPr="00381EDE">
        <w:t xml:space="preserve"> et al. (2017)</w:t>
      </w:r>
      <w:r>
        <w:t xml:space="preserve">. </w:t>
      </w:r>
    </w:p>
    <w:p w14:paraId="368E1C2F" w14:textId="77777777" w:rsidR="005868C2" w:rsidRDefault="005868C2" w:rsidP="005868C2">
      <w:pPr>
        <w:jc w:val="both"/>
      </w:pPr>
      <w:r>
        <w:t xml:space="preserve">While recent clinical trials indicate that therapeutic doses of psilocybin are generally well tolerated, adverse effects may include anxiety, headache, and transient increases in blood pressure (Kisely et al., 2021). </w:t>
      </w:r>
    </w:p>
    <w:p w14:paraId="04DC0D65" w14:textId="77777777" w:rsidR="005868C2" w:rsidRDefault="005868C2" w:rsidP="005868C2">
      <w:pPr>
        <w:pStyle w:val="Heading2"/>
      </w:pPr>
      <w:bookmarkStart w:id="88" w:name="_Toc165018161"/>
      <w:r>
        <w:t>Psychedelic-assisted psychotherapy</w:t>
      </w:r>
      <w:bookmarkEnd w:id="88"/>
      <w:r>
        <w:t xml:space="preserve"> </w:t>
      </w:r>
    </w:p>
    <w:p w14:paraId="08FA98C3" w14:textId="77777777" w:rsidR="005868C2" w:rsidRDefault="005868C2" w:rsidP="005868C2">
      <w:pPr>
        <w:jc w:val="both"/>
      </w:pPr>
      <w:r>
        <w:t>Professionally supervised use of novel and classic psychedelic medications (including ketamine, MDMA, psilocybin, ayahuasca, and LSD) as part of a structured psychotherapy protocol; typically including drug-free preparatory (pre-dosing) and integrative (post-dosing) therapy sessions, in addition to the psychedelic-assisted (dosing) therapy sessions (Schenberg, 2018).</w:t>
      </w:r>
    </w:p>
    <w:p w14:paraId="10C325BE" w14:textId="77777777" w:rsidR="005868C2" w:rsidRPr="00E04238" w:rsidRDefault="005868C2" w:rsidP="005868C2">
      <w:pPr>
        <w:pStyle w:val="Heading2"/>
      </w:pPr>
      <w:bookmarkStart w:id="89" w:name="_Toc165018162"/>
      <w:r w:rsidRPr="00E04238">
        <w:t xml:space="preserve">Rapid </w:t>
      </w:r>
      <w:r>
        <w:t>e</w:t>
      </w:r>
      <w:r w:rsidRPr="00E04238">
        <w:t xml:space="preserve">vidence </w:t>
      </w:r>
      <w:r>
        <w:t>a</w:t>
      </w:r>
      <w:r w:rsidRPr="00E04238">
        <w:t>ssessment (REA)</w:t>
      </w:r>
      <w:bookmarkEnd w:id="89"/>
    </w:p>
    <w:p w14:paraId="298BA6A4" w14:textId="77777777" w:rsidR="005868C2" w:rsidRDefault="005868C2" w:rsidP="005868C2">
      <w:pPr>
        <w:jc w:val="both"/>
      </w:pPr>
      <w:r w:rsidRPr="00E04238">
        <w:t>A rapid evidence assessment</w:t>
      </w:r>
      <w:r>
        <w:t xml:space="preserve"> (REA)</w:t>
      </w:r>
      <w:r w:rsidRPr="00E04238">
        <w:t xml:space="preserve">, or rapid review, is “a form of knowledge synthesis that accelerates the process of conducting a traditional systematic review through streamlining or omitting various methods to produce evidence for stakeholders in a resource-efficient manner” (Hamel et al., 2021, p. 80). </w:t>
      </w:r>
    </w:p>
    <w:p w14:paraId="6D84B964" w14:textId="77777777" w:rsidR="005868C2" w:rsidRPr="00E04238" w:rsidRDefault="005868C2" w:rsidP="005868C2">
      <w:pPr>
        <w:pStyle w:val="Heading2"/>
      </w:pPr>
      <w:bookmarkStart w:id="90" w:name="_Toc165018163"/>
      <w:r>
        <w:t>Standalone</w:t>
      </w:r>
      <w:r w:rsidRPr="00E04238">
        <w:t xml:space="preserve"> intervention</w:t>
      </w:r>
      <w:bookmarkEnd w:id="90"/>
    </w:p>
    <w:p w14:paraId="17C92D0A" w14:textId="77777777" w:rsidR="005868C2" w:rsidRDefault="005868C2" w:rsidP="005868C2">
      <w:pPr>
        <w:jc w:val="both"/>
      </w:pPr>
      <w:r w:rsidRPr="00E04238">
        <w:t xml:space="preserve">The only intervention that </w:t>
      </w:r>
      <w:r>
        <w:t>an</w:t>
      </w:r>
      <w:r w:rsidRPr="00E04238">
        <w:t xml:space="preserve"> individual receives. The intervention is aimed at symptom reduction.</w:t>
      </w:r>
      <w:r>
        <w:t xml:space="preserve"> A standalone intervention </w:t>
      </w:r>
      <w:r w:rsidRPr="00E04238">
        <w:t xml:space="preserve">should be compared to </w:t>
      </w:r>
      <w:r>
        <w:t xml:space="preserve">a </w:t>
      </w:r>
      <w:r w:rsidRPr="00E04238">
        <w:t>best-practice intervention</w:t>
      </w:r>
      <w:r>
        <w:t>/</w:t>
      </w:r>
      <w:r w:rsidRPr="00E04238">
        <w:t xml:space="preserve">s </w:t>
      </w:r>
      <w:r>
        <w:t>to determine</w:t>
      </w:r>
      <w:r w:rsidRPr="00E04238">
        <w:t xml:space="preserve"> whether it is </w:t>
      </w:r>
      <w:r>
        <w:t>effective</w:t>
      </w:r>
      <w:r w:rsidRPr="00E04238">
        <w:t xml:space="preserve"> or not.</w:t>
      </w:r>
      <w:r>
        <w:t xml:space="preserve"> Source: Adapted from Jones et al. (2020, p. 5).</w:t>
      </w:r>
    </w:p>
    <w:p w14:paraId="1BD187EA" w14:textId="77777777" w:rsidR="005868C2" w:rsidRDefault="005868C2" w:rsidP="005868C2">
      <w:pPr>
        <w:pStyle w:val="Heading2"/>
      </w:pPr>
      <w:bookmarkStart w:id="91" w:name="_Toc165018164"/>
      <w:r>
        <w:t>Stellate ganglion block (SGB)</w:t>
      </w:r>
      <w:bookmarkEnd w:id="91"/>
    </w:p>
    <w:p w14:paraId="5057E716" w14:textId="77777777" w:rsidR="005868C2" w:rsidRDefault="005868C2" w:rsidP="005868C2">
      <w:pPr>
        <w:jc w:val="both"/>
      </w:pPr>
      <w:r>
        <w:t xml:space="preserve">The stellate ganglion block (SGB) procedure is an injection of local anaesthetic (e.g., 0.5% </w:t>
      </w:r>
      <w:r w:rsidRPr="00F41D7C">
        <w:t>bupivacaine</w:t>
      </w:r>
      <w:r>
        <w:t xml:space="preserve">) into a nerve bundle called the stellate ganglion. The stellate ganglion is located at the base of the neck in the cervical region of the spine (between vertebrae C6 and C7). The procedure is designed to temporally block the function of the stellate ganglion (i.e., interrupt the cervical sympathetic chain; Rae Olmsted et al., 2019). It is typically conducted under ultrasound or fluoroscopic guidance. Since the 1940s, SGB has been used to treat a wide range of neurological and neurovascular conditions (e.g., epilepsy, migraines, cerebral haemorrhage, embolisms, and thrombosis). The beneficial psychiatric effects associated with SGB treatment (e.g., reduced anxiety and depression; increased sleep quality) were first reported in 1947. The mechanism by which SGB may improve symptoms of mental health conditions is not well understood. Lipov et al. (2009) hypothesised that the stellate ganglion activates brain structures that increase levels of nerve growth factors and norepinephrine in the brain, leading to pathological brain states that underlie disorders such as PTSD and chronic pain. A right-sided SGB is usually performed, as the maintenance of chronic sympathetic responses is typically associated with the right central autonomic network. Although the procedure is invasive, it has an acceptable level of safety. The use of ultrasound or fluoroscopic guidance further decreases the risks of complication or adverse effects. The most </w:t>
      </w:r>
      <w:r>
        <w:lastRenderedPageBreak/>
        <w:t>common serious adverse event reported from a 1992 survey of 45,000 SGBs, performed without fluoroscopic or ultrasonographic guidance, was generalised seizures due to inadvertent intravascular injection of the local anaesthetic. Temporary Horner syndrome is a common side effect of SGB that is caused by the disruption of the nerve pathway from the neck and head to the brain. Source: Adapted from Summers and Nevin (2017) and Rae Olmsted et al. (2019).</w:t>
      </w:r>
    </w:p>
    <w:p w14:paraId="574910FB" w14:textId="77777777" w:rsidR="005868C2" w:rsidRDefault="005868C2" w:rsidP="005868C2">
      <w:pPr>
        <w:jc w:val="both"/>
      </w:pPr>
      <w:r>
        <w:t xml:space="preserve">Horner Syndrome typically presents as a constricted pupil of the eye, a drooping eyelid, and decreased sweating on the affected side of the face (Khan &amp; Bollu, 2022).   </w:t>
      </w:r>
    </w:p>
    <w:p w14:paraId="291D4CCB" w14:textId="77777777" w:rsidR="005868C2" w:rsidRDefault="005868C2" w:rsidP="005868C2">
      <w:pPr>
        <w:pStyle w:val="Heading2"/>
      </w:pPr>
      <w:bookmarkStart w:id="92" w:name="_Toc165018165"/>
      <w:r>
        <w:t>Tetrahydrocannabinol (THC)</w:t>
      </w:r>
      <w:bookmarkEnd w:id="92"/>
      <w:r>
        <w:t xml:space="preserve"> </w:t>
      </w:r>
    </w:p>
    <w:p w14:paraId="6417D8E4" w14:textId="77777777" w:rsidR="005868C2" w:rsidRPr="00E04238" w:rsidRDefault="005868C2" w:rsidP="005868C2">
      <w:pPr>
        <w:jc w:val="both"/>
      </w:pPr>
      <w:r>
        <w:t xml:space="preserve">Delta-9-tetrahydrocannabinol (THC) naturally occurs in variable concentrations within the cannabis plant. It is one of the primary psychoactive components of cannabis (see also the glossary entry for “Cannabidiol, CBD”). THC’s mechanism of action is thought to be primarily mediated by CB1 receptors in the human central nervous system. CB1 receptors are thought to be responsible for the acute adverse effects of THC, ranging from dizziness and anxiety to mood disturbances and psychotic symptoms (Bridgeman &amp; Abazia, 2017). For this reason, most clinical trials exclude participants with a personal or family history of psychosis. Evidence for the long-term safety of THC is mostly derived from recreational rather than medicinal use. Within the medical context, a 3-year randomised controlled trial (RCT) for participants with multiple sclerosis found that THC has an acceptable safety profile, with low-to-moderate toxicity, and a low incidence of serious adverse </w:t>
      </w:r>
      <w:r w:rsidRPr="007D4EC0">
        <w:t>events (Arnold, 2021).</w:t>
      </w:r>
    </w:p>
    <w:p w14:paraId="01E8982C" w14:textId="77777777" w:rsidR="005868C2" w:rsidRDefault="005868C2" w:rsidP="005868C2">
      <w:pPr>
        <w:pStyle w:val="Heading2"/>
        <w:jc w:val="both"/>
      </w:pPr>
      <w:bookmarkStart w:id="93" w:name="_Toc165018166"/>
      <w:r>
        <w:t>Theta burst stimulation (TBS)</w:t>
      </w:r>
      <w:bookmarkEnd w:id="93"/>
    </w:p>
    <w:p w14:paraId="53226E54" w14:textId="77777777" w:rsidR="005868C2" w:rsidRDefault="005868C2" w:rsidP="005868C2">
      <w:pPr>
        <w:jc w:val="both"/>
      </w:pPr>
      <w:r w:rsidRPr="006D0457">
        <w:t>T</w:t>
      </w:r>
      <w:r>
        <w:t>heta burst stimulation (TBS)</w:t>
      </w:r>
      <w:r w:rsidRPr="006D0457">
        <w:t xml:space="preserve"> </w:t>
      </w:r>
      <w:r w:rsidRPr="00F509F1">
        <w:t xml:space="preserve">refers to a </w:t>
      </w:r>
      <w:r>
        <w:t>type of t</w:t>
      </w:r>
      <w:r w:rsidRPr="00C24532">
        <w:t xml:space="preserve">ranscranial magnetic stimulation (TMS) </w:t>
      </w:r>
      <w:r w:rsidRPr="00F509F1">
        <w:t>intervention that applies pulses of varying frequency</w:t>
      </w:r>
      <w:r>
        <w:t xml:space="preserve"> to</w:t>
      </w:r>
      <w:r w:rsidRPr="00F509F1">
        <w:t xml:space="preserve"> replicate the natural theta rhythm occurring in the hippocampus</w:t>
      </w:r>
      <w:r>
        <w:t xml:space="preserve"> of the brain</w:t>
      </w:r>
      <w:r w:rsidRPr="00F509F1">
        <w:t>. TBS treatment sessions typically have a shorter duration of stimulation than standard r</w:t>
      </w:r>
      <w:r>
        <w:t>epetitive TMS (rTMS)</w:t>
      </w:r>
      <w:r w:rsidRPr="00F509F1">
        <w:t xml:space="preserve"> sessions (up to 5 minutes vs. up to 45 minutes, respectively), and fewer pulses are delivered overall. There are two commonly used TBS protocols: continuous (cTBS) and intermittent</w:t>
      </w:r>
      <w:r w:rsidRPr="00AA3B7B">
        <w:t xml:space="preserve"> (iTBS). In cTBS, bursts of</w:t>
      </w:r>
      <w:r>
        <w:t xml:space="preserve"> three (3)</w:t>
      </w:r>
      <w:r w:rsidRPr="00AA3B7B">
        <w:t xml:space="preserve"> pulses at 50 Hz are</w:t>
      </w:r>
      <w:r>
        <w:t xml:space="preserve"> delivered</w:t>
      </w:r>
      <w:r w:rsidRPr="00AA3B7B">
        <w:t xml:space="preserve"> </w:t>
      </w:r>
      <w:r w:rsidRPr="00954A18">
        <w:t>every second f</w:t>
      </w:r>
      <w:r w:rsidRPr="00AA3B7B">
        <w:t>or either 20 seconds (100 bursts) or 40 seconds (</w:t>
      </w:r>
      <w:r w:rsidRPr="00EE1544">
        <w:t>200 bursts).</w:t>
      </w:r>
      <w:r w:rsidRPr="00EE1544" w:rsidDel="0014004A">
        <w:t xml:space="preserve"> </w:t>
      </w:r>
      <w:r w:rsidRPr="00EE1544">
        <w:t xml:space="preserve">In iTBS, bursts </w:t>
      </w:r>
      <w:r>
        <w:t xml:space="preserve">of three (3) pulses </w:t>
      </w:r>
      <w:r w:rsidRPr="00EE1544">
        <w:t>are delivered for 2 seconds then repeated every 10 seconds (</w:t>
      </w:r>
      <w:r>
        <w:t xml:space="preserve">i.e., cycles of </w:t>
      </w:r>
      <w:r w:rsidRPr="00F86576">
        <w:t>2 s</w:t>
      </w:r>
      <w:r>
        <w:t>econds</w:t>
      </w:r>
      <w:r w:rsidRPr="00F86576">
        <w:t xml:space="preserve"> of TBS followed by a pause of 8 s</w:t>
      </w:r>
      <w:r>
        <w:t xml:space="preserve">econds. Source: Adapted from Klomjai et al. (2015) and </w:t>
      </w:r>
      <w:r w:rsidRPr="001D0798">
        <w:t>Oberman et al.</w:t>
      </w:r>
      <w:r>
        <w:t xml:space="preserve"> (</w:t>
      </w:r>
      <w:r w:rsidRPr="001D0798">
        <w:t>2011</w:t>
      </w:r>
      <w:r>
        <w:t>)</w:t>
      </w:r>
      <w:r w:rsidRPr="00AA3B7B">
        <w:t>.</w:t>
      </w:r>
    </w:p>
    <w:p w14:paraId="6AEF7C02" w14:textId="77777777" w:rsidR="005868C2" w:rsidRDefault="005868C2" w:rsidP="005868C2">
      <w:pPr>
        <w:pStyle w:val="Heading2"/>
        <w:jc w:val="both"/>
      </w:pPr>
      <w:bookmarkStart w:id="94" w:name="_Toc165018167"/>
      <w:r>
        <w:t>Transcranial magnetic stimulation (TMS)</w:t>
      </w:r>
      <w:bookmarkEnd w:id="94"/>
    </w:p>
    <w:p w14:paraId="0075545D" w14:textId="77777777" w:rsidR="005868C2" w:rsidRDefault="005868C2" w:rsidP="005868C2">
      <w:pPr>
        <w:jc w:val="both"/>
      </w:pPr>
      <w:r w:rsidRPr="00C24532">
        <w:t>Transcranial magnetic stimulation (TMS) is a neuro</w:t>
      </w:r>
      <w:r>
        <w:t>-</w:t>
      </w:r>
      <w:r w:rsidRPr="00C24532">
        <w:t>stimulation and neuro</w:t>
      </w:r>
      <w:r>
        <w:t>-</w:t>
      </w:r>
      <w:r w:rsidRPr="00C24532">
        <w:t>modulation technique</w:t>
      </w:r>
      <w:r>
        <w:t>. It</w:t>
      </w:r>
      <w:r w:rsidRPr="00C24532">
        <w:t xml:space="preserve"> aims to induce </w:t>
      </w:r>
      <w:r w:rsidRPr="00954A18">
        <w:t>electric</w:t>
      </w:r>
      <w:r w:rsidRPr="00C24532">
        <w:t xml:space="preserve"> </w:t>
      </w:r>
      <w:r>
        <w:t>currents</w:t>
      </w:r>
      <w:r w:rsidRPr="00C24532">
        <w:t xml:space="preserve"> in the brain </w:t>
      </w:r>
      <w:r w:rsidRPr="00997416">
        <w:t>to inhibit at low frequency</w:t>
      </w:r>
      <w:r>
        <w:t xml:space="preserve"> (</w:t>
      </w:r>
      <w:r w:rsidRPr="00997416">
        <w:t>i.e., 1 Hz)</w:t>
      </w:r>
      <w:r>
        <w:t>,</w:t>
      </w:r>
      <w:r w:rsidRPr="00997416">
        <w:t xml:space="preserve"> or excite at high frequency</w:t>
      </w:r>
      <w:r>
        <w:t xml:space="preserve"> (</w:t>
      </w:r>
      <w:r w:rsidRPr="00997416">
        <w:t>i.e., 10 to 20 Hz)</w:t>
      </w:r>
      <w:r>
        <w:t>,</w:t>
      </w:r>
      <w:r w:rsidRPr="00997416">
        <w:t xml:space="preserve"> the neurons of a specific bra</w:t>
      </w:r>
      <w:r>
        <w:t xml:space="preserve">in </w:t>
      </w:r>
      <w:r w:rsidRPr="00C24532">
        <w:t>area</w:t>
      </w:r>
      <w:r>
        <w:t xml:space="preserve">. The medical device that delivers the stimulation is referred to as a </w:t>
      </w:r>
      <w:r w:rsidRPr="00C24532">
        <w:t>coil. Repetitive TMS (rTMS) pulses (</w:t>
      </w:r>
      <w:r>
        <w:t xml:space="preserve">i.e., </w:t>
      </w:r>
      <w:r w:rsidRPr="00C24532">
        <w:t>electromagnetic fields switched on and off at a very high rate) can modulate the neuronal response (or cortical excitability) beyond the duration of stimulation</w:t>
      </w:r>
      <w:r>
        <w:t>. These brain changes are proposed to lead</w:t>
      </w:r>
      <w:r w:rsidRPr="00C24532">
        <w:t xml:space="preserve"> to behavioural consequences</w:t>
      </w:r>
      <w:r>
        <w:t xml:space="preserve"> with </w:t>
      </w:r>
      <w:r w:rsidRPr="00C24532">
        <w:t xml:space="preserve">therapeutic potential. </w:t>
      </w:r>
      <w:r>
        <w:t xml:space="preserve">Inconsistencies in the findings from TMS intervention studies for different mental health conditions (e.g., OCD) have been attributed to varying treatment protocols (e.g., TMS frequency and intensity), which target different brain </w:t>
      </w:r>
      <w:r w:rsidRPr="00066AF6">
        <w:t>regions</w:t>
      </w:r>
      <w:r>
        <w:t xml:space="preserve"> (e.g., the dorsolateral prefront</w:t>
      </w:r>
      <w:r w:rsidRPr="00186F8D">
        <w:t>al cortex, DLPFC, the supplementary motor area</w:t>
      </w:r>
      <w:r>
        <w:t>,</w:t>
      </w:r>
      <w:r w:rsidRPr="00186F8D">
        <w:t xml:space="preserve"> SMA, and the orbitofrontal cortex, OFC</w:t>
      </w:r>
      <w:r>
        <w:t xml:space="preserve">; Ziblak et al., 2021). In research settings, TMS intervention studies increasingly employ imaging (e.g., functional magnetic resonance imaging, fMRI) to target specific brain regions, which may improve the </w:t>
      </w:r>
      <w:r w:rsidRPr="00084C12">
        <w:t>rigo</w:t>
      </w:r>
      <w:r>
        <w:t>u</w:t>
      </w:r>
      <w:r w:rsidRPr="00084C12">
        <w:t>r and reproducibility of non-invasive brain stimulation studies</w:t>
      </w:r>
      <w:r>
        <w:t xml:space="preserve"> over time (Rossi et al., 2021). </w:t>
      </w:r>
    </w:p>
    <w:p w14:paraId="30321C2C" w14:textId="77777777" w:rsidR="005868C2" w:rsidRDefault="005868C2" w:rsidP="005868C2">
      <w:pPr>
        <w:jc w:val="both"/>
      </w:pPr>
      <w:r w:rsidRPr="00E66458">
        <w:t xml:space="preserve">There is some evidence to suggest that </w:t>
      </w:r>
      <w:r>
        <w:t xml:space="preserve">the </w:t>
      </w:r>
      <w:r w:rsidRPr="00E66458">
        <w:t xml:space="preserve">clinical response to TMS interventions may be affected by handedness and lateralisation of brain function (e.g., hemispheric variation in mood regulation; Fitzgerald et al., 2021). Consequently, some studies </w:t>
      </w:r>
      <w:r>
        <w:t xml:space="preserve">recruit participants or </w:t>
      </w:r>
      <w:r w:rsidRPr="00E66458">
        <w:t xml:space="preserve">report </w:t>
      </w:r>
      <w:r>
        <w:t>findings based on</w:t>
      </w:r>
      <w:r w:rsidRPr="00E66458">
        <w:t xml:space="preserve"> handedness</w:t>
      </w:r>
      <w:r>
        <w:t xml:space="preserve"> (i.e., right-handed, </w:t>
      </w:r>
      <w:r w:rsidRPr="00E66458">
        <w:t>left-handed</w:t>
      </w:r>
      <w:r>
        <w:t>, or ambidextrous</w:t>
      </w:r>
      <w:r w:rsidRPr="00E66458">
        <w:t>), as TMS interventions are typically hemisphere</w:t>
      </w:r>
      <w:r>
        <w:t>-</w:t>
      </w:r>
      <w:r w:rsidRPr="00E66458">
        <w:t>specific</w:t>
      </w:r>
      <w:r>
        <w:t>,</w:t>
      </w:r>
      <w:r w:rsidRPr="00E66458">
        <w:t xml:space="preserve"> and handedness </w:t>
      </w:r>
      <w:r>
        <w:t>and hemispheric laterality may influence</w:t>
      </w:r>
      <w:r w:rsidRPr="00E66458">
        <w:t xml:space="preserve"> </w:t>
      </w:r>
      <w:r>
        <w:t xml:space="preserve">the </w:t>
      </w:r>
      <w:r w:rsidRPr="00E66458">
        <w:t>treatment response (Fitzgerald et al., 2021).</w:t>
      </w:r>
    </w:p>
    <w:p w14:paraId="0D6F9A28" w14:textId="77777777" w:rsidR="005868C2" w:rsidRDefault="005868C2" w:rsidP="005868C2">
      <w:pPr>
        <w:jc w:val="both"/>
      </w:pPr>
      <w:r w:rsidRPr="00C24532">
        <w:t xml:space="preserve">TMS has been approved by </w:t>
      </w:r>
      <w:r>
        <w:t>several countries (</w:t>
      </w:r>
      <w:r w:rsidRPr="00C24532">
        <w:t xml:space="preserve">including Australia, </w:t>
      </w:r>
      <w:r>
        <w:t xml:space="preserve">the </w:t>
      </w:r>
      <w:r w:rsidRPr="00C24532">
        <w:t>U</w:t>
      </w:r>
      <w:r>
        <w:t>S</w:t>
      </w:r>
      <w:r w:rsidRPr="00C24532">
        <w:t>,</w:t>
      </w:r>
      <w:r>
        <w:t xml:space="preserve"> the</w:t>
      </w:r>
      <w:r w:rsidRPr="00C24532">
        <w:t xml:space="preserve"> UK</w:t>
      </w:r>
      <w:r>
        <w:t>,</w:t>
      </w:r>
      <w:r w:rsidRPr="00C24532">
        <w:t xml:space="preserve"> Canada</w:t>
      </w:r>
      <w:r>
        <w:t>,</w:t>
      </w:r>
      <w:r w:rsidRPr="00C24532">
        <w:t xml:space="preserve"> and Israel</w:t>
      </w:r>
      <w:r>
        <w:t>) as an intervention for medication-resistant, treatment</w:t>
      </w:r>
      <w:r w:rsidRPr="00C24532">
        <w:t>-refractory</w:t>
      </w:r>
      <w:r>
        <w:t>,</w:t>
      </w:r>
      <w:r w:rsidRPr="00C24532">
        <w:t xml:space="preserve"> depression</w:t>
      </w:r>
      <w:r>
        <w:t xml:space="preserve"> in adults (Rossi et al., 2009). T</w:t>
      </w:r>
      <w:r w:rsidRPr="00514C5C">
        <w:t>he US Food and Drug Administration (FDA) cleared the</w:t>
      </w:r>
      <w:r>
        <w:t xml:space="preserve"> first TMS </w:t>
      </w:r>
      <w:r w:rsidRPr="00514C5C">
        <w:t xml:space="preserve">device for </w:t>
      </w:r>
      <w:r>
        <w:t>the t</w:t>
      </w:r>
      <w:r w:rsidRPr="00514C5C">
        <w:t xml:space="preserve">reatment of </w:t>
      </w:r>
      <w:r>
        <w:t xml:space="preserve">Major Depressive Disorder </w:t>
      </w:r>
      <w:r>
        <w:lastRenderedPageBreak/>
        <w:t>(</w:t>
      </w:r>
      <w:r w:rsidRPr="00514C5C">
        <w:t>MDD</w:t>
      </w:r>
      <w:r>
        <w:t>) in 2008</w:t>
      </w:r>
      <w:r w:rsidRPr="00514C5C">
        <w:t xml:space="preserve">. </w:t>
      </w:r>
      <w:r>
        <w:t xml:space="preserve">Since that time, the FDA has cleared various TMS devices for several additional treatment indications including: cortical mapping (in 2009); migraine headache with aura (in 2013); obsessive compulsive disorder (in 2017); a TBS protocol for treatment of medication-resistant MDD (in 2018); and short-term smoking cessation (in 2020; Cohen et al., 2022). In 2019, the FDA denied a </w:t>
      </w:r>
      <w:r w:rsidRPr="00943280">
        <w:rPr>
          <w:i/>
        </w:rPr>
        <w:t>de novo</w:t>
      </w:r>
      <w:r>
        <w:t xml:space="preserve"> request for a TMS device for treatment of Alzheimer’s disease (Cohen et al., 2022).</w:t>
      </w:r>
    </w:p>
    <w:p w14:paraId="0D79AB2B" w14:textId="77777777" w:rsidR="005868C2" w:rsidRDefault="005868C2" w:rsidP="005868C2">
      <w:pPr>
        <w:jc w:val="both"/>
      </w:pPr>
      <w:r w:rsidRPr="00186F8D">
        <w:t>Common side effects of TMS include headache, drowsiness</w:t>
      </w:r>
      <w:r>
        <w:t>,</w:t>
      </w:r>
      <w:r w:rsidRPr="00186F8D">
        <w:t xml:space="preserve"> and dizziness (Ziblak et al., 2021). Depending on the frequency and protocol of stimulation used, transient headache, localised pain</w:t>
      </w:r>
      <w:r>
        <w:t>,</w:t>
      </w:r>
      <w:r w:rsidRPr="00186F8D">
        <w:t xml:space="preserve"> and discomfort range from possible to infrequent (Rossi et al., 2009). The most serious potential side effect of TMS is seizure. Since the late 1990s, the rTMS safety guidelines have been iteratively revised, which has greatly reduced the incidence of associated seizures. Recent estimates of seizure incidence are less than 1% </w:t>
      </w:r>
      <w:r>
        <w:t>(</w:t>
      </w:r>
      <w:r w:rsidRPr="00186F8D">
        <w:t>overall</w:t>
      </w:r>
      <w:r>
        <w:t>)</w:t>
      </w:r>
      <w:r w:rsidRPr="00186F8D">
        <w:t>, which is comparable to most psychotropic medications (Stultz et al., 2020).</w:t>
      </w:r>
    </w:p>
    <w:p w14:paraId="0FA8360D" w14:textId="77777777" w:rsidR="005868C2" w:rsidRDefault="005868C2" w:rsidP="005868C2">
      <w:pPr>
        <w:jc w:val="both"/>
      </w:pPr>
      <w:r w:rsidRPr="001975E8">
        <w:t>While TMS is non-invasive, reducing the number of stimuli (pulses)</w:t>
      </w:r>
      <w:r>
        <w:t>,</w:t>
      </w:r>
      <w:r w:rsidRPr="001975E8">
        <w:t xml:space="preserve"> and selecting the minimum effective intensity</w:t>
      </w:r>
      <w:r>
        <w:t>,</w:t>
      </w:r>
      <w:r w:rsidRPr="001975E8">
        <w:t xml:space="preserve"> is desirable to avoid unnecessary discomfort for the patient (Temesi et al.</w:t>
      </w:r>
      <w:r>
        <w:t>,</w:t>
      </w:r>
      <w:r w:rsidRPr="001975E8">
        <w:t xml:space="preserve"> 2014). This can be achieved by determining an individual’s motor threshold,</w:t>
      </w:r>
      <w:r>
        <w:t xml:space="preserve"> which is</w:t>
      </w:r>
      <w:r w:rsidRPr="001975E8">
        <w:t xml:space="preserve"> defined as the minimum amount of stimulation necessary to elicit a motor response</w:t>
      </w:r>
      <w:r>
        <w:t xml:space="preserve"> (an involuntary muscle contraction </w:t>
      </w:r>
      <w:r w:rsidRPr="001975E8">
        <w:t>also known as</w:t>
      </w:r>
      <w:r>
        <w:t xml:space="preserve"> a motor evoked potential, MEP)</w:t>
      </w:r>
      <w:r w:rsidRPr="001975E8">
        <w:t xml:space="preserve"> in at least 50% of all attempts </w:t>
      </w:r>
      <w:r>
        <w:t>(</w:t>
      </w:r>
      <w:r w:rsidRPr="001975E8">
        <w:t>as determined by visual inspection or electromyography</w:t>
      </w:r>
      <w:r>
        <w:t>)</w:t>
      </w:r>
      <w:r w:rsidRPr="001975E8">
        <w:t>. Motor thresholds are usually determined at rest (</w:t>
      </w:r>
      <w:r>
        <w:t>i.e., r</w:t>
      </w:r>
      <w:r w:rsidRPr="001975E8">
        <w:t>esting motor threshold</w:t>
      </w:r>
      <w:r>
        <w:t>,</w:t>
      </w:r>
      <w:r w:rsidRPr="001975E8">
        <w:t xml:space="preserve"> RMT)</w:t>
      </w:r>
      <w:r>
        <w:t>,</w:t>
      </w:r>
      <w:r w:rsidRPr="001975E8">
        <w:t xml:space="preserve"> but can also be determined during weak voluntary muscular contraction such as holding a fist or ball (</w:t>
      </w:r>
      <w:r>
        <w:t xml:space="preserve">i.e., </w:t>
      </w:r>
      <w:r w:rsidRPr="001975E8">
        <w:t>active motor threshold</w:t>
      </w:r>
      <w:r>
        <w:t>,</w:t>
      </w:r>
      <w:r w:rsidRPr="001975E8">
        <w:t xml:space="preserve"> AMT).</w:t>
      </w:r>
    </w:p>
    <w:p w14:paraId="432E4D01" w14:textId="77777777" w:rsidR="005868C2" w:rsidRDefault="005868C2" w:rsidP="005868C2">
      <w:pPr>
        <w:pStyle w:val="Heading3"/>
      </w:pPr>
      <w:bookmarkStart w:id="95" w:name="_Toc165018168"/>
      <w:r>
        <w:t>TMS: Period and carryover effects</w:t>
      </w:r>
      <w:bookmarkEnd w:id="95"/>
    </w:p>
    <w:p w14:paraId="624CEB00" w14:textId="77777777" w:rsidR="005868C2" w:rsidRDefault="005868C2" w:rsidP="005868C2">
      <w:pPr>
        <w:jc w:val="both"/>
      </w:pPr>
      <w:r>
        <w:t>Effective TMS</w:t>
      </w:r>
      <w:r w:rsidRPr="005924E9">
        <w:t xml:space="preserve"> </w:t>
      </w:r>
      <w:r>
        <w:t>interventions</w:t>
      </w:r>
      <w:r w:rsidRPr="005924E9">
        <w:t xml:space="preserve"> </w:t>
      </w:r>
      <w:r>
        <w:t xml:space="preserve">appear to </w:t>
      </w:r>
      <w:r w:rsidRPr="005924E9">
        <w:t>require mul</w:t>
      </w:r>
      <w:r>
        <w:t>tiple weeks of sessions</w:t>
      </w:r>
      <w:r w:rsidRPr="005924E9">
        <w:t xml:space="preserve"> to achieve a sustained</w:t>
      </w:r>
      <w:r>
        <w:t xml:space="preserve"> treatment</w:t>
      </w:r>
      <w:r w:rsidRPr="005924E9">
        <w:t xml:space="preserve"> effect. For example, the FDA</w:t>
      </w:r>
      <w:r>
        <w:t xml:space="preserve">-approved protocol for treatment of </w:t>
      </w:r>
      <w:r w:rsidRPr="00FC5DC4">
        <w:t>depression (Horvath et al.</w:t>
      </w:r>
      <w:r>
        <w:t>,</w:t>
      </w:r>
      <w:r w:rsidRPr="00FC5DC4">
        <w:t xml:space="preserve"> 20</w:t>
      </w:r>
      <w:r>
        <w:t>1</w:t>
      </w:r>
      <w:r w:rsidRPr="00FC5DC4">
        <w:t>0) employs several</w:t>
      </w:r>
      <w:r>
        <w:t xml:space="preserve"> weeks of high frequency (10 Hz) rTMS sessions to achieve a treatment effect that lasts several months beyond the period of active stimulation. Furthermore, the duration of the treatment effect may vary depending on: the mental health condition/s or symptom/s targeted by the TMS intervention; the frequency and intensity of stimulation; the brain region/s targeted by the treatment; and individual differences in treatment response. For example, after a 6-week course of deep TMS (dTMS) treatment, Carmi and colleagues (2019) found that approximately 45% of participants had reduced OCD symptoms at the one-month follow up. Liu and colleagues (2020) reported a longer treatment effect for a shorter treatment duration in participants with a heroin use disorder (i.e., after a 4-week course of rTMS targeting the DLPFC, craving severity was reduced for up to 60 days).</w:t>
      </w:r>
    </w:p>
    <w:p w14:paraId="3BE05A08" w14:textId="77777777" w:rsidR="005868C2" w:rsidRDefault="005868C2" w:rsidP="005868C2">
      <w:pPr>
        <w:jc w:val="both"/>
      </w:pPr>
      <w:r>
        <w:t>In contrast, i</w:t>
      </w:r>
      <w:r w:rsidRPr="005924E9">
        <w:t xml:space="preserve">t is unclear whether the effects of a single TMS </w:t>
      </w:r>
      <w:r>
        <w:t>session persist</w:t>
      </w:r>
      <w:r w:rsidRPr="005924E9">
        <w:t xml:space="preserve"> beyond the stimulation day. Several studies (Di Lazzaro et al., 2005; Huang et al., 2005; Huang et al., 2009) suggest that the maximum duration of the treatment effect for a </w:t>
      </w:r>
      <w:r>
        <w:t>single TMS session is</w:t>
      </w:r>
      <w:r w:rsidRPr="005924E9">
        <w:t xml:space="preserve"> a matter of hours (as</w:t>
      </w:r>
      <w:r>
        <w:t xml:space="preserve"> evidenced by facilitation of motor evoked potentials in the brain). Thus, studies included in the REA that employed a crossover design were not penalised on the risk-of-bias assessments (Domain S: “bias arising from period and carryover effects”) provided the study used a washout period that was longer than </w:t>
      </w:r>
      <w:r w:rsidRPr="007064D0">
        <w:t>one day. Finally, it is not yet known whether superior treatment effects would be achieved with a bursting-pattern protocol (i.e., TBS) or a single-frequency protocol (i.e., rTMS).</w:t>
      </w:r>
    </w:p>
    <w:p w14:paraId="28EAC87D" w14:textId="77777777" w:rsidR="005868C2" w:rsidRDefault="005868C2" w:rsidP="005868C2">
      <w:pPr>
        <w:pStyle w:val="Heading2"/>
      </w:pPr>
      <w:bookmarkStart w:id="96" w:name="_Toc165018169"/>
      <w:r>
        <w:t>Vaped and smoked medicinal cannabis</w:t>
      </w:r>
      <w:bookmarkEnd w:id="96"/>
      <w:r>
        <w:t xml:space="preserve"> </w:t>
      </w:r>
    </w:p>
    <w:p w14:paraId="521A263F" w14:textId="77777777" w:rsidR="005868C2" w:rsidRDefault="005868C2" w:rsidP="005868C2">
      <w:pPr>
        <w:jc w:val="both"/>
      </w:pPr>
      <w:r>
        <w:t xml:space="preserve">In Australia, a medical practitioner can prescribe numerous medicinal cannabis products (including dried flower formulations) via the Special Access Scheme (SAS) and Authorised Prescriber (AP) pathways (Therapeutic Goods Administration, 2022). Typically, these approvals are granted for the treatment of non-cancer pain and anxiety; however, some prescribers have used the same approval pathways for patients suffering from insomnia and PTSD (Arnold et </w:t>
      </w:r>
      <w:r w:rsidRPr="007D4EC0">
        <w:t>al., 2020).</w:t>
      </w:r>
    </w:p>
    <w:p w14:paraId="503A19A0" w14:textId="77777777" w:rsidR="005868C2" w:rsidRDefault="005868C2" w:rsidP="005868C2">
      <w:pPr>
        <w:jc w:val="both"/>
      </w:pPr>
      <w:r>
        <w:t xml:space="preserve">In respect of vaped cannabis, vaporising dried cannabis flower using an approved medical device differs from vaping using an electronic cigarette (e-cigarette) device. E-cigarette devices may expose patients to unsafe inhalation of constituent aerosolised “e-liquid” ingredients such as vitamin E acetate, which has been conclusively linked to an increased risk of a novel lung disease termed “e‐cigarette or vaping product use‐associated lung injury” (EVALI; Centers for Disease Control and Prevention, 2020). Currently, there is insufficient evidence to rule out other chemicals in (THC-containing) e-cigarette products as contributing to the development of EVALI (Centers for Disease Control and Prevention, 2020). </w:t>
      </w:r>
    </w:p>
    <w:p w14:paraId="5FF5E7B0" w14:textId="77777777" w:rsidR="005868C2" w:rsidRDefault="005868C2" w:rsidP="005868C2">
      <w:pPr>
        <w:jc w:val="both"/>
      </w:pPr>
      <w:r>
        <w:lastRenderedPageBreak/>
        <w:t xml:space="preserve">In Australia, prescribed medicinal cannabis products must conform to the Therapeutic Goods Administration (TGA) manufacturing standards, which do not permit formulations for e-cigarette delivery (Therapeutic Goods Administration, 2017). While evidence on the long-term effects of dried cannabis flower vaporisation is still emerging, many practitioners are likely to continue to recommend vaporised cannabis for rapid relief of breakthrough (pain) symptoms, with (daily) oral formulations preferred for maintenance of symptom control (Sihota et al., 2021).  </w:t>
      </w:r>
    </w:p>
    <w:p w14:paraId="77C63F99" w14:textId="77777777" w:rsidR="005868C2" w:rsidRPr="00E04238" w:rsidRDefault="005868C2" w:rsidP="005868C2">
      <w:pPr>
        <w:jc w:val="both"/>
      </w:pPr>
      <w:r>
        <w:t xml:space="preserve">In respect of smoked cannabis, several studies reported in the literature (and included in the REA) use smoking as a route of administration (e.g., Kayser et al., 2020; Bonn-Miller et al., 2021). The TGA explicitly recommends against the use of smoked cannabis due to the health risks associated with the inhalation of combusted plant matter (i.e., exposure to harmful compounds such as tar, </w:t>
      </w:r>
      <w:r w:rsidRPr="00C45603">
        <w:t>carbon monoxide, and</w:t>
      </w:r>
      <w:r>
        <w:t xml:space="preserve"> hydrocarbons; Therapeutic Goods Administration, 2017). In contrast, vaporisation heats the plant matter without igniting it, resulting in a vapour that is relatively free from the by-products of combustion. While this is an important harm-reduction strategy for cannabis smokers, the long-term health effects of dried cannabis vaporisation are unknown as it is a relatively new route of administration (Loflin &amp; Earlywine, 2015). In the context of the REA, studies that use smoked cannabis as a route of administration (i.e., Kayser et al., 2020; Bonn-Miller et al., 2021) have been analysed in keeping with this serious limitation on the intervention’s generalisability to the medical context (i.e., these studies have been penalised in the “directness” domain of the GRADE certainty of evidence summaries).  </w:t>
      </w:r>
    </w:p>
    <w:p w14:paraId="0B82C9AB" w14:textId="77777777" w:rsidR="005868C2" w:rsidRDefault="005868C2" w:rsidP="005868C2">
      <w:pPr>
        <w:pStyle w:val="Heading2"/>
        <w:jc w:val="both"/>
      </w:pPr>
      <w:bookmarkStart w:id="97" w:name="_Toc165018170"/>
      <w:r>
        <w:t>Veteran</w:t>
      </w:r>
      <w:bookmarkEnd w:id="97"/>
    </w:p>
    <w:p w14:paraId="08C8DBE3" w14:textId="558C2A39" w:rsidR="00754461" w:rsidRDefault="005868C2" w:rsidP="00754461">
      <w:pPr>
        <w:spacing w:after="160"/>
      </w:pPr>
      <w:r w:rsidRPr="009B4D43">
        <w:t>A current- or former-serving member of the military having had one or more days of continuous, full-time military service in the Permanent or Reserve Forces</w:t>
      </w:r>
      <w:r>
        <w:t xml:space="preserve"> (</w:t>
      </w:r>
      <w:r w:rsidRPr="000227F7">
        <w:t>Australian definition). The definition of veteran varies by country. In the UK, the term refers to an individual who has served for at least one day in Her Majesty’s Armed Forces (Regular or Reserve)</w:t>
      </w:r>
      <w:r>
        <w:t>,</w:t>
      </w:r>
      <w:r w:rsidRPr="000227F7">
        <w:t xml:space="preserve"> or Merchant Mariners who have </w:t>
      </w:r>
      <w:r>
        <w:t>served on legally-</w:t>
      </w:r>
      <w:r w:rsidRPr="000227F7">
        <w:t>defined military operations</w:t>
      </w:r>
      <w:r>
        <w:t xml:space="preserve"> (</w:t>
      </w:r>
      <w:r w:rsidRPr="00D03077">
        <w:t>UK Offic</w:t>
      </w:r>
      <w:r>
        <w:t>e for Veterans’ Affairs, 2020</w:t>
      </w:r>
      <w:r w:rsidRPr="000227F7">
        <w:t>). In Canada</w:t>
      </w:r>
      <w:r w:rsidRPr="00EA71C7">
        <w:t>, the term applies to any former member of the Canadian Armed Forces with an honourable discharge, who succes</w:t>
      </w:r>
      <w:r>
        <w:t>sfully underwent basic training (</w:t>
      </w:r>
      <w:r w:rsidRPr="00D03077">
        <w:t>Governmen</w:t>
      </w:r>
      <w:r>
        <w:t xml:space="preserve">t of Canada, 2019). In </w:t>
      </w:r>
      <w:r w:rsidRPr="000227F7">
        <w:t>the US, the</w:t>
      </w:r>
      <w:r>
        <w:t xml:space="preserve"> term refers to an individual who has served full-time in the active military, naval, or air service (including service as a cadet at the United States Military, Air Force, or Coast Guard Academy, or as a midshipman at the United States Naval Academy), and who was discharged under conditions other than dishonourable (</w:t>
      </w:r>
      <w:r w:rsidRPr="00D03077">
        <w:t>US D</w:t>
      </w:r>
      <w:r>
        <w:t xml:space="preserve">epartment of Veterans Affairs, </w:t>
      </w:r>
      <w:r w:rsidRPr="00D03077">
        <w:t>2019).</w:t>
      </w:r>
      <w:r>
        <w:t xml:space="preserve"> In </w:t>
      </w:r>
      <w:r w:rsidRPr="004C1D30">
        <w:t>New Zealand</w:t>
      </w:r>
      <w:r>
        <w:t>, the term applies to an individual who has</w:t>
      </w:r>
      <w:r w:rsidRPr="004C1D30">
        <w:t xml:space="preserve"> </w:t>
      </w:r>
      <w:r>
        <w:t>served</w:t>
      </w:r>
      <w:r w:rsidRPr="004C1D30">
        <w:t xml:space="preserve"> in the New Zealand </w:t>
      </w:r>
      <w:r>
        <w:t>A</w:t>
      </w:r>
      <w:r w:rsidRPr="004C1D30">
        <w:t xml:space="preserve">rmed </w:t>
      </w:r>
      <w:r>
        <w:t>F</w:t>
      </w:r>
      <w:r w:rsidRPr="004C1D30">
        <w:t>orces before 1 April 1974</w:t>
      </w:r>
      <w:r>
        <w:t>; and after that date</w:t>
      </w:r>
      <w:r w:rsidRPr="004C1D30">
        <w:t xml:space="preserve">, </w:t>
      </w:r>
      <w:r>
        <w:t xml:space="preserve">individuals with </w:t>
      </w:r>
      <w:r w:rsidRPr="004C1D30">
        <w:t xml:space="preserve">qualifying operational service </w:t>
      </w:r>
      <w:r>
        <w:t>(i.e., service at a time of war, or o</w:t>
      </w:r>
      <w:r w:rsidRPr="004C1D30">
        <w:t>n deployments overseas where a ministerial declaration has confir</w:t>
      </w:r>
      <w:r>
        <w:t xml:space="preserve">med a significant risk of </w:t>
      </w:r>
      <w:r w:rsidRPr="00256FCE">
        <w:t xml:space="preserve">harm; </w:t>
      </w:r>
      <w:r w:rsidRPr="00256FCE">
        <w:rPr>
          <w:rFonts w:cstheme="minorHAnsi"/>
          <w:szCs w:val="20"/>
          <w:shd w:val="clear" w:color="auto" w:fill="FFFFFF"/>
        </w:rPr>
        <w:t>New Zealand Defence Force</w:t>
      </w:r>
      <w:r w:rsidRPr="00256FCE">
        <w:t>, 2018).</w:t>
      </w:r>
      <w:bookmarkEnd w:id="58"/>
      <w:bookmarkEnd w:id="59"/>
      <w:bookmarkEnd w:id="60"/>
      <w:r w:rsidR="00754461">
        <w:br w:type="page"/>
      </w:r>
    </w:p>
    <w:p w14:paraId="4AD2B15B" w14:textId="77777777" w:rsidR="0011475B" w:rsidRDefault="0011475B" w:rsidP="0011475B">
      <w:pPr>
        <w:pStyle w:val="Heading1"/>
        <w:rPr>
          <w:lang w:val="en-US"/>
        </w:rPr>
      </w:pPr>
      <w:bookmarkStart w:id="98" w:name="_Toc165018171"/>
      <w:bookmarkStart w:id="99" w:name="_Toc121689274"/>
      <w:bookmarkStart w:id="100" w:name="_Toc151690786"/>
      <w:r w:rsidRPr="00AE4BA9">
        <w:rPr>
          <w:lang w:val="en-US"/>
        </w:rPr>
        <w:lastRenderedPageBreak/>
        <w:t>Executive Summary</w:t>
      </w:r>
      <w:bookmarkEnd w:id="98"/>
    </w:p>
    <w:p w14:paraId="0FEAD3B7" w14:textId="77777777" w:rsidR="0011475B" w:rsidRPr="002266EC" w:rsidRDefault="0011475B" w:rsidP="0011475B">
      <w:pPr>
        <w:pStyle w:val="Heading2"/>
        <w:jc w:val="both"/>
      </w:pPr>
      <w:bookmarkStart w:id="101" w:name="_Toc165018172"/>
      <w:r w:rsidRPr="002266EC">
        <w:t>Background</w:t>
      </w:r>
      <w:bookmarkEnd w:id="101"/>
    </w:p>
    <w:p w14:paraId="3EC8DD49" w14:textId="77777777" w:rsidR="0011475B" w:rsidRDefault="0011475B" w:rsidP="0011475B">
      <w:pPr>
        <w:jc w:val="both"/>
      </w:pPr>
      <w:r>
        <w:t xml:space="preserve">There are a number of treatments that have an emerging evidence base </w:t>
      </w:r>
      <w:r w:rsidRPr="00044158">
        <w:t>and could be considered in the management of co</w:t>
      </w:r>
      <w:r>
        <w:t>mmon mental health conditions affecting</w:t>
      </w:r>
      <w:r w:rsidRPr="00044158">
        <w:t xml:space="preserve"> veterans.</w:t>
      </w:r>
      <w:r>
        <w:t xml:space="preserve"> </w:t>
      </w:r>
      <w:r w:rsidRPr="008C5333">
        <w:t xml:space="preserve">Emerging and adjunct treatments are typically considered when </w:t>
      </w:r>
      <w:r>
        <w:t xml:space="preserve">an individual’s </w:t>
      </w:r>
      <w:r w:rsidRPr="008C5333">
        <w:t xml:space="preserve">adherence or response to </w:t>
      </w:r>
      <w:r>
        <w:t>accepted or conventional treatment/s</w:t>
      </w:r>
      <w:r w:rsidRPr="008C5333">
        <w:t xml:space="preserve"> is </w:t>
      </w:r>
      <w:r>
        <w:t>poor (i.e., chronic, treatment-resistant, or treatment-refractory mental health conditions)</w:t>
      </w:r>
      <w:r w:rsidRPr="008C5333">
        <w:t>.</w:t>
      </w:r>
      <w:r>
        <w:t xml:space="preserve"> </w:t>
      </w:r>
    </w:p>
    <w:p w14:paraId="3ADE1023" w14:textId="77777777" w:rsidR="0011475B" w:rsidRDefault="0011475B" w:rsidP="0011475B">
      <w:pPr>
        <w:pStyle w:val="Heading2"/>
        <w:jc w:val="both"/>
      </w:pPr>
      <w:bookmarkStart w:id="102" w:name="_Toc165018173"/>
      <w:r>
        <w:t>Aim</w:t>
      </w:r>
      <w:bookmarkEnd w:id="102"/>
    </w:p>
    <w:p w14:paraId="741DE7A7" w14:textId="77777777" w:rsidR="0011475B" w:rsidRPr="00131536" w:rsidRDefault="0011475B" w:rsidP="0011475B">
      <w:pPr>
        <w:jc w:val="both"/>
      </w:pPr>
      <w:r>
        <w:t xml:space="preserve">The aim of the rapid evidence assessment (REA) was to </w:t>
      </w:r>
      <w:r w:rsidRPr="002266EC">
        <w:t>identi</w:t>
      </w:r>
      <w:r>
        <w:t>fy and critically evaluate the current</w:t>
      </w:r>
      <w:r w:rsidRPr="002266EC">
        <w:t xml:space="preserve"> </w:t>
      </w:r>
      <w:r>
        <w:t>evidence</w:t>
      </w:r>
      <w:r w:rsidRPr="002266EC">
        <w:t xml:space="preserve"> on emerging </w:t>
      </w:r>
      <w:r>
        <w:t>and adjunct treatments for posttraumatic stress disorder (PTSD)</w:t>
      </w:r>
      <w:r w:rsidRPr="002266EC">
        <w:t xml:space="preserve"> and common mental health conditions affecting veterans</w:t>
      </w:r>
      <w:r>
        <w:t>.</w:t>
      </w:r>
    </w:p>
    <w:p w14:paraId="3A4CE2CF" w14:textId="77777777" w:rsidR="0011475B" w:rsidRDefault="0011475B" w:rsidP="0011475B">
      <w:pPr>
        <w:pStyle w:val="Heading3"/>
        <w:jc w:val="both"/>
      </w:pPr>
      <w:bookmarkStart w:id="103" w:name="_Toc165018174"/>
      <w:r>
        <w:t>Rapid evidence assessment</w:t>
      </w:r>
      <w:bookmarkEnd w:id="103"/>
    </w:p>
    <w:p w14:paraId="32A603D4" w14:textId="77777777" w:rsidR="0011475B" w:rsidRPr="00F37157" w:rsidRDefault="0011475B" w:rsidP="0011475B">
      <w:pPr>
        <w:jc w:val="both"/>
      </w:pPr>
      <w:r>
        <w:t>A REA, or rapid review, i</w:t>
      </w:r>
      <w:r w:rsidRPr="002266EC">
        <w:t>s “a form of knowledge synthesis that accelerates the process of conducting a traditional systematic review through streamlining or omitting various methods to produce evidence for stakeholders in a resource-</w:t>
      </w:r>
      <w:r w:rsidRPr="00F37157">
        <w:t xml:space="preserve">efficient manner” </w:t>
      </w:r>
      <w:r>
        <w:t>(</w:t>
      </w:r>
      <w:r w:rsidRPr="00F37157">
        <w:t>Hamel et al., 2021, p</w:t>
      </w:r>
      <w:r>
        <w:t xml:space="preserve">. </w:t>
      </w:r>
      <w:r w:rsidRPr="00F37157">
        <w:t>80</w:t>
      </w:r>
      <w:r>
        <w:t>)</w:t>
      </w:r>
      <w:r w:rsidRPr="00F37157">
        <w:t xml:space="preserve">. </w:t>
      </w:r>
    </w:p>
    <w:p w14:paraId="25EDB3AF" w14:textId="77777777" w:rsidR="0011475B" w:rsidRDefault="0011475B" w:rsidP="0011475B">
      <w:pPr>
        <w:pStyle w:val="Heading3"/>
        <w:jc w:val="both"/>
      </w:pPr>
      <w:bookmarkStart w:id="104" w:name="_Toc165018175"/>
      <w:r>
        <w:t>Current evidence</w:t>
      </w:r>
      <w:bookmarkEnd w:id="104"/>
    </w:p>
    <w:p w14:paraId="2B1307FC" w14:textId="77777777" w:rsidR="0011475B" w:rsidRDefault="0011475B" w:rsidP="0011475B">
      <w:pPr>
        <w:jc w:val="both"/>
      </w:pPr>
      <w:r>
        <w:t xml:space="preserve">The REA examined the peer-reviewed literature published from </w:t>
      </w:r>
      <w:r w:rsidRPr="00A90CC3">
        <w:t>1 January 2017 to 8 February 2022</w:t>
      </w:r>
      <w:r>
        <w:t xml:space="preserve">. </w:t>
      </w:r>
    </w:p>
    <w:p w14:paraId="142605FF" w14:textId="77777777" w:rsidR="0011475B" w:rsidRDefault="0011475B" w:rsidP="0011475B">
      <w:pPr>
        <w:pStyle w:val="Heading3"/>
        <w:jc w:val="both"/>
      </w:pPr>
      <w:bookmarkStart w:id="105" w:name="_Toc165018176"/>
      <w:r>
        <w:t>Emerging and adjunct treatments</w:t>
      </w:r>
      <w:bookmarkEnd w:id="105"/>
    </w:p>
    <w:p w14:paraId="11C0CB00" w14:textId="77777777" w:rsidR="0011475B" w:rsidRDefault="0011475B" w:rsidP="0011475B">
      <w:pPr>
        <w:jc w:val="both"/>
      </w:pPr>
      <w:r>
        <w:t>The REA examined five categories of interventions as follows:</w:t>
      </w:r>
    </w:p>
    <w:p w14:paraId="2C387DCB" w14:textId="77777777" w:rsidR="0011475B" w:rsidRDefault="0011475B" w:rsidP="0011475B">
      <w:pPr>
        <w:pStyle w:val="ListParagraph"/>
        <w:numPr>
          <w:ilvl w:val="0"/>
          <w:numId w:val="3"/>
        </w:numPr>
        <w:jc w:val="both"/>
      </w:pPr>
      <w:r>
        <w:t xml:space="preserve">Psychedelic compounds; specifically: </w:t>
      </w:r>
    </w:p>
    <w:p w14:paraId="0E3E9078" w14:textId="77777777" w:rsidR="0011475B" w:rsidRDefault="0011475B" w:rsidP="0011475B">
      <w:pPr>
        <w:pStyle w:val="ListParagraph"/>
        <w:numPr>
          <w:ilvl w:val="1"/>
          <w:numId w:val="3"/>
        </w:numPr>
        <w:jc w:val="both"/>
      </w:pPr>
      <w:r>
        <w:t>Ketamine;</w:t>
      </w:r>
    </w:p>
    <w:p w14:paraId="1138F628" w14:textId="77777777" w:rsidR="0011475B" w:rsidRDefault="0011475B" w:rsidP="0011475B">
      <w:pPr>
        <w:pStyle w:val="ListParagraph"/>
        <w:numPr>
          <w:ilvl w:val="1"/>
          <w:numId w:val="3"/>
        </w:numPr>
        <w:jc w:val="both"/>
      </w:pPr>
      <w:r>
        <w:t>Methylenedioxymethamphetamine (MDMA);</w:t>
      </w:r>
    </w:p>
    <w:p w14:paraId="5148169A" w14:textId="77777777" w:rsidR="0011475B" w:rsidRDefault="0011475B" w:rsidP="0011475B">
      <w:pPr>
        <w:pStyle w:val="ListParagraph"/>
        <w:numPr>
          <w:ilvl w:val="1"/>
          <w:numId w:val="3"/>
        </w:numPr>
        <w:jc w:val="both"/>
      </w:pPr>
      <w:r>
        <w:t>Lysergic acid diethylamide (LSD);</w:t>
      </w:r>
    </w:p>
    <w:p w14:paraId="5597E304" w14:textId="77777777" w:rsidR="0011475B" w:rsidRDefault="0011475B" w:rsidP="0011475B">
      <w:pPr>
        <w:pStyle w:val="ListParagraph"/>
        <w:numPr>
          <w:ilvl w:val="1"/>
          <w:numId w:val="3"/>
        </w:numPr>
        <w:jc w:val="both"/>
      </w:pPr>
      <w:r>
        <w:t>Psilocybin;</w:t>
      </w:r>
    </w:p>
    <w:p w14:paraId="3EECFED3" w14:textId="77777777" w:rsidR="0011475B" w:rsidRDefault="0011475B" w:rsidP="0011475B">
      <w:pPr>
        <w:pStyle w:val="ListParagraph"/>
        <w:numPr>
          <w:ilvl w:val="1"/>
          <w:numId w:val="3"/>
        </w:numPr>
        <w:jc w:val="both"/>
      </w:pPr>
      <w:r>
        <w:t>Dimethyltryptamine (DMT) including ayahuasca.</w:t>
      </w:r>
    </w:p>
    <w:p w14:paraId="24F8AD7C" w14:textId="77777777" w:rsidR="0011475B" w:rsidRDefault="0011475B" w:rsidP="0011475B">
      <w:pPr>
        <w:pStyle w:val="ListParagraph"/>
        <w:numPr>
          <w:ilvl w:val="0"/>
          <w:numId w:val="3"/>
        </w:numPr>
        <w:jc w:val="both"/>
      </w:pPr>
      <w:r>
        <w:t xml:space="preserve">Medicinal cannabis; specifically: </w:t>
      </w:r>
    </w:p>
    <w:p w14:paraId="732436CD" w14:textId="77777777" w:rsidR="0011475B" w:rsidRDefault="0011475B" w:rsidP="0011475B">
      <w:pPr>
        <w:pStyle w:val="ListParagraph"/>
        <w:numPr>
          <w:ilvl w:val="1"/>
          <w:numId w:val="3"/>
        </w:numPr>
        <w:jc w:val="both"/>
      </w:pPr>
      <w:r>
        <w:t>Cannabidiol (CBD);</w:t>
      </w:r>
    </w:p>
    <w:p w14:paraId="4F573E9F" w14:textId="77777777" w:rsidR="0011475B" w:rsidRDefault="0011475B" w:rsidP="0011475B">
      <w:pPr>
        <w:pStyle w:val="ListParagraph"/>
        <w:numPr>
          <w:ilvl w:val="1"/>
          <w:numId w:val="3"/>
        </w:numPr>
        <w:jc w:val="both"/>
      </w:pPr>
      <w:r>
        <w:t>Cannabinol (CBN);</w:t>
      </w:r>
    </w:p>
    <w:p w14:paraId="610A462E" w14:textId="77777777" w:rsidR="0011475B" w:rsidRDefault="0011475B" w:rsidP="0011475B">
      <w:pPr>
        <w:pStyle w:val="ListParagraph"/>
        <w:numPr>
          <w:ilvl w:val="1"/>
          <w:numId w:val="3"/>
        </w:numPr>
        <w:jc w:val="both"/>
      </w:pPr>
      <w:r>
        <w:t>Tetrahydrocannabinol (THC).</w:t>
      </w:r>
    </w:p>
    <w:p w14:paraId="62334C8B" w14:textId="77777777" w:rsidR="0011475B" w:rsidRDefault="0011475B" w:rsidP="0011475B">
      <w:pPr>
        <w:pStyle w:val="ListParagraph"/>
        <w:numPr>
          <w:ilvl w:val="0"/>
          <w:numId w:val="3"/>
        </w:numPr>
        <w:jc w:val="both"/>
      </w:pPr>
      <w:r>
        <w:t>D-cycloserine (DCS).</w:t>
      </w:r>
    </w:p>
    <w:p w14:paraId="650C57AC" w14:textId="77777777" w:rsidR="0011475B" w:rsidRDefault="0011475B" w:rsidP="0011475B">
      <w:pPr>
        <w:pStyle w:val="ListParagraph"/>
        <w:numPr>
          <w:ilvl w:val="0"/>
          <w:numId w:val="3"/>
        </w:numPr>
        <w:jc w:val="both"/>
      </w:pPr>
      <w:r>
        <w:t>Stellate ganglion block (SGB).</w:t>
      </w:r>
    </w:p>
    <w:p w14:paraId="258C3FE5" w14:textId="77777777" w:rsidR="0011475B" w:rsidRPr="008149B7" w:rsidRDefault="0011475B" w:rsidP="0011475B">
      <w:pPr>
        <w:pStyle w:val="ListParagraph"/>
        <w:numPr>
          <w:ilvl w:val="0"/>
          <w:numId w:val="3"/>
        </w:numPr>
        <w:jc w:val="both"/>
      </w:pPr>
      <w:r>
        <w:t>Transcranial magnetic stimulation (TMS) including theta-burst stimulation (TBS).</w:t>
      </w:r>
    </w:p>
    <w:p w14:paraId="107C08F0" w14:textId="77777777" w:rsidR="0011475B" w:rsidRDefault="0011475B" w:rsidP="0011475B">
      <w:pPr>
        <w:pStyle w:val="Heading3"/>
        <w:jc w:val="both"/>
      </w:pPr>
      <w:bookmarkStart w:id="106" w:name="_Toc165018177"/>
      <w:r>
        <w:t>Common mental health conditions affecting veterans</w:t>
      </w:r>
      <w:bookmarkEnd w:id="106"/>
    </w:p>
    <w:p w14:paraId="016FA360" w14:textId="77777777" w:rsidR="0011475B" w:rsidRDefault="0011475B" w:rsidP="0011475B">
      <w:pPr>
        <w:jc w:val="both"/>
      </w:pPr>
      <w:r>
        <w:t>The REA examined four categories of mental health conditions as follows:</w:t>
      </w:r>
    </w:p>
    <w:p w14:paraId="32DB5897" w14:textId="77777777" w:rsidR="0011475B" w:rsidRDefault="0011475B" w:rsidP="0011475B">
      <w:pPr>
        <w:pStyle w:val="ListParagraph"/>
        <w:numPr>
          <w:ilvl w:val="0"/>
          <w:numId w:val="4"/>
        </w:numPr>
        <w:jc w:val="both"/>
      </w:pPr>
      <w:r>
        <w:t>Anxiety disorder/s;</w:t>
      </w:r>
    </w:p>
    <w:p w14:paraId="23E273F9" w14:textId="77777777" w:rsidR="0011475B" w:rsidRDefault="0011475B" w:rsidP="0011475B">
      <w:pPr>
        <w:pStyle w:val="ListParagraph"/>
        <w:numPr>
          <w:ilvl w:val="0"/>
          <w:numId w:val="4"/>
        </w:numPr>
        <w:jc w:val="both"/>
      </w:pPr>
      <w:r>
        <w:t>Mood or depressive disorder/s;</w:t>
      </w:r>
    </w:p>
    <w:p w14:paraId="4187D1A4" w14:textId="77777777" w:rsidR="0011475B" w:rsidRDefault="0011475B" w:rsidP="0011475B">
      <w:pPr>
        <w:pStyle w:val="ListParagraph"/>
        <w:numPr>
          <w:ilvl w:val="0"/>
          <w:numId w:val="4"/>
        </w:numPr>
        <w:jc w:val="both"/>
      </w:pPr>
      <w:r>
        <w:t>Substance-related and addictive disorder/s;</w:t>
      </w:r>
    </w:p>
    <w:p w14:paraId="128248ED" w14:textId="77777777" w:rsidR="0011475B" w:rsidRDefault="0011475B" w:rsidP="0011475B">
      <w:pPr>
        <w:pStyle w:val="ListParagraph"/>
        <w:numPr>
          <w:ilvl w:val="0"/>
          <w:numId w:val="4"/>
        </w:numPr>
        <w:spacing w:after="120"/>
        <w:ind w:left="357" w:hanging="357"/>
        <w:jc w:val="both"/>
      </w:pPr>
      <w:r>
        <w:t>Trauma- and stressor-related disorder/s.</w:t>
      </w:r>
    </w:p>
    <w:p w14:paraId="2B345AB4" w14:textId="77777777" w:rsidR="0011475B" w:rsidRDefault="0011475B" w:rsidP="0011475B">
      <w:pPr>
        <w:jc w:val="both"/>
      </w:pPr>
      <w:r>
        <w:t>The REA included a specific focus on PTSD. Note that, in 2013, when the DSM-IV was revised to the DSM-5, PTSD was moved from the anxiety disorder/s category to the trauma- and stressor-related disorder/s category.</w:t>
      </w:r>
    </w:p>
    <w:p w14:paraId="1288847C" w14:textId="77777777" w:rsidR="0011475B" w:rsidRDefault="0011475B" w:rsidP="0011475B">
      <w:pPr>
        <w:pStyle w:val="Heading2"/>
        <w:jc w:val="both"/>
      </w:pPr>
      <w:bookmarkStart w:id="107" w:name="_Toc165018178"/>
      <w:r>
        <w:t>Search strategy</w:t>
      </w:r>
      <w:bookmarkEnd w:id="107"/>
    </w:p>
    <w:p w14:paraId="1A4F3B67" w14:textId="77777777" w:rsidR="0011475B" w:rsidRDefault="0011475B" w:rsidP="0011475B">
      <w:pPr>
        <w:jc w:val="both"/>
      </w:pPr>
      <w:r w:rsidRPr="00F46018">
        <w:t xml:space="preserve">A comprehensive search strategy was developed in consultation with </w:t>
      </w:r>
      <w:r>
        <w:t xml:space="preserve">the review team, the GMRF Expert Panel, the DVA Emerging Treatments Project Team, and </w:t>
      </w:r>
      <w:r w:rsidRPr="00F46018">
        <w:t>a</w:t>
      </w:r>
      <w:r>
        <w:t xml:space="preserve"> </w:t>
      </w:r>
      <w:r w:rsidRPr="00F46018">
        <w:t>liaison librarian</w:t>
      </w:r>
      <w:r>
        <w:t xml:space="preserve"> (information specialist) with extensive experience developing search strategies for systematic reviews of health and medical research</w:t>
      </w:r>
      <w:r w:rsidRPr="00F46018">
        <w:t xml:space="preserve">. </w:t>
      </w:r>
      <w:r>
        <w:t>In keeping with the best-</w:t>
      </w:r>
      <w:r w:rsidRPr="00DF7A15">
        <w:t xml:space="preserve">practice guidelines </w:t>
      </w:r>
      <w:r>
        <w:t>(</w:t>
      </w:r>
      <w:r w:rsidRPr="00DF7A15">
        <w:t>Garritty et al., 2020; Rethlefsen et al., 2021</w:t>
      </w:r>
      <w:r>
        <w:t>), t</w:t>
      </w:r>
      <w:r w:rsidRPr="00F46018">
        <w:t>he search strategy was peer-reviewed by a senior liaison librarian with a</w:t>
      </w:r>
      <w:r>
        <w:t>n extensive</w:t>
      </w:r>
      <w:r w:rsidRPr="00F46018">
        <w:t xml:space="preserve"> background in health and medical research</w:t>
      </w:r>
      <w:r w:rsidRPr="00DF7A15">
        <w:t>.</w:t>
      </w:r>
      <w:r w:rsidRPr="00F46018">
        <w:t xml:space="preserve"> </w:t>
      </w:r>
    </w:p>
    <w:p w14:paraId="6CA6944A" w14:textId="77777777" w:rsidR="0011475B" w:rsidRDefault="0011475B" w:rsidP="0011475B">
      <w:pPr>
        <w:jc w:val="both"/>
      </w:pPr>
      <w:r w:rsidRPr="00F46018">
        <w:lastRenderedPageBreak/>
        <w:t xml:space="preserve">Four electronic databases </w:t>
      </w:r>
      <w:r>
        <w:t xml:space="preserve">(PubMed; APA PsycNet; </w:t>
      </w:r>
      <w:r w:rsidRPr="0090460A">
        <w:t>Cochrane Library; PTSDpubs</w:t>
      </w:r>
      <w:r>
        <w:t xml:space="preserve">) </w:t>
      </w:r>
      <w:r w:rsidRPr="00F46018">
        <w:t xml:space="preserve">were searched to </w:t>
      </w:r>
      <w:r>
        <w:t>identify peer-reviewed, English-</w:t>
      </w:r>
      <w:r w:rsidRPr="00F46018">
        <w:t xml:space="preserve">language studies </w:t>
      </w:r>
      <w:r>
        <w:t xml:space="preserve">of human adults (18 years of age and over) that were published between </w:t>
      </w:r>
      <w:r w:rsidRPr="00F46018">
        <w:t xml:space="preserve">1 January 2017 </w:t>
      </w:r>
      <w:r>
        <w:t>and</w:t>
      </w:r>
      <w:r w:rsidRPr="00F46018">
        <w:t xml:space="preserve"> 8 February 2022. </w:t>
      </w:r>
      <w:r>
        <w:t xml:space="preserve">There was a specific emphasis on Level I and Level II evidence as defined by the National Health and Medical and Research Council (NHMRC, </w:t>
      </w:r>
      <w:r w:rsidRPr="0060451B">
        <w:t>2009</w:t>
      </w:r>
      <w:r>
        <w:t>). That is, the REA focused on the following three types of publications:</w:t>
      </w:r>
    </w:p>
    <w:p w14:paraId="4D93CBB9" w14:textId="77777777" w:rsidR="0011475B" w:rsidRDefault="0011475B" w:rsidP="0011475B">
      <w:pPr>
        <w:pStyle w:val="ListParagraph"/>
        <w:numPr>
          <w:ilvl w:val="0"/>
          <w:numId w:val="5"/>
        </w:numPr>
        <w:jc w:val="both"/>
      </w:pPr>
      <w:r>
        <w:t>Systematic reviews (SRs);</w:t>
      </w:r>
    </w:p>
    <w:p w14:paraId="39FB6754" w14:textId="77777777" w:rsidR="0011475B" w:rsidRDefault="0011475B" w:rsidP="0011475B">
      <w:pPr>
        <w:pStyle w:val="ListParagraph"/>
        <w:numPr>
          <w:ilvl w:val="0"/>
          <w:numId w:val="5"/>
        </w:numPr>
        <w:jc w:val="both"/>
      </w:pPr>
      <w:r>
        <w:t>Meta-analyses (MAs);</w:t>
      </w:r>
    </w:p>
    <w:p w14:paraId="64E6CF9C" w14:textId="7CB7C34D" w:rsidR="005B6F93" w:rsidRDefault="0011475B" w:rsidP="0011475B">
      <w:pPr>
        <w:pStyle w:val="ListParagraph"/>
        <w:numPr>
          <w:ilvl w:val="0"/>
          <w:numId w:val="5"/>
        </w:numPr>
        <w:jc w:val="both"/>
      </w:pPr>
      <w:r>
        <w:t>Randomised controlled trials (RCTs).</w:t>
      </w:r>
      <w:bookmarkEnd w:id="99"/>
      <w:bookmarkEnd w:id="100"/>
    </w:p>
    <w:p w14:paraId="08EC662A" w14:textId="380DFA51" w:rsidR="00055B90" w:rsidRDefault="00055B90" w:rsidP="001D28F3">
      <w:pPr>
        <w:pStyle w:val="Heading2"/>
        <w:jc w:val="both"/>
      </w:pPr>
      <w:bookmarkStart w:id="108" w:name="_Toc103944862"/>
      <w:bookmarkStart w:id="109" w:name="_Toc121096071"/>
      <w:bookmarkStart w:id="110" w:name="_Toc165018179"/>
      <w:r w:rsidRPr="009B4D43">
        <w:t>Results</w:t>
      </w:r>
      <w:bookmarkEnd w:id="61"/>
      <w:r w:rsidR="00906879">
        <w:t>: Medicinal cannabis interventions</w:t>
      </w:r>
      <w:bookmarkEnd w:id="108"/>
      <w:bookmarkEnd w:id="109"/>
      <w:bookmarkEnd w:id="110"/>
    </w:p>
    <w:p w14:paraId="264BCC89" w14:textId="1527AAFE" w:rsidR="003E0A8B" w:rsidRDefault="003E0A8B" w:rsidP="003E0A8B">
      <w:pPr>
        <w:jc w:val="both"/>
      </w:pPr>
      <w:r w:rsidRPr="00E8314D">
        <w:t xml:space="preserve">From the four databases that were searched, </w:t>
      </w:r>
      <w:r w:rsidR="002561F5">
        <w:t>4</w:t>
      </w:r>
      <w:r w:rsidR="009E5B91">
        <w:t>2</w:t>
      </w:r>
      <w:r w:rsidR="002561F5" w:rsidRPr="00E8314D">
        <w:t xml:space="preserve"> </w:t>
      </w:r>
      <w:r w:rsidRPr="00E8314D">
        <w:t>studies met the in</w:t>
      </w:r>
      <w:r>
        <w:t xml:space="preserve">clusion criteria, including </w:t>
      </w:r>
      <w:r w:rsidR="002561F5">
        <w:t>3</w:t>
      </w:r>
      <w:r w:rsidR="009E5B91">
        <w:t>5</w:t>
      </w:r>
      <w:r w:rsidR="002561F5" w:rsidRPr="00E8314D">
        <w:t xml:space="preserve"> </w:t>
      </w:r>
      <w:r w:rsidRPr="00E8314D">
        <w:t xml:space="preserve">secondary sources: </w:t>
      </w:r>
      <w:r w:rsidR="009E5B91">
        <w:t>32</w:t>
      </w:r>
      <w:r w:rsidR="009E5B91" w:rsidRPr="00E8314D">
        <w:t xml:space="preserve"> </w:t>
      </w:r>
      <w:r w:rsidRPr="00E8314D">
        <w:t>systematic reviews (SRs) and 3 SRs with accompanying meta-analyses (MAs). The studies within these secondary sources (i.e.,</w:t>
      </w:r>
      <w:r w:rsidR="00161A38">
        <w:t xml:space="preserve"> those contained within SRs and</w:t>
      </w:r>
      <w:r w:rsidRPr="00E8314D">
        <w:t xml:space="preserve"> MAs) were extracted to a database containing the primary sources (i.e., randomised controlled trials, RCTs). From this collated set of </w:t>
      </w:r>
      <w:r>
        <w:t>articles (</w:t>
      </w:r>
      <w:r w:rsidR="009E5B91">
        <w:t>320</w:t>
      </w:r>
      <w:r w:rsidRPr="00E8314D">
        <w:t xml:space="preserve"> </w:t>
      </w:r>
      <w:r>
        <w:t xml:space="preserve">in </w:t>
      </w:r>
      <w:r w:rsidRPr="00E8314D">
        <w:t>total), all studies that did not meet the inclusion criteria were excluded</w:t>
      </w:r>
      <w:r>
        <w:t xml:space="preserve"> (e.g., cohort and case-control studies)</w:t>
      </w:r>
      <w:r w:rsidRPr="00E8314D">
        <w:t xml:space="preserve">, and all duplicate studies </w:t>
      </w:r>
      <w:r w:rsidRPr="00AA3724">
        <w:t xml:space="preserve">were removed (i.e., often the same RCT would appear in multiple SRs and MAs; as well as being directly retrieved by the search strategy). The final set of articles included </w:t>
      </w:r>
      <w:r w:rsidR="007E787C" w:rsidRPr="00AA3724">
        <w:t xml:space="preserve">12 </w:t>
      </w:r>
      <w:r w:rsidRPr="00AA3724">
        <w:t>RCTs (see Appendix 5). The findings from these studies were narratively synthesised, and risk of bias assessments were conducted for each RCT.</w:t>
      </w:r>
    </w:p>
    <w:p w14:paraId="0C55377B" w14:textId="278BD3E1" w:rsidR="001F5DFD" w:rsidRDefault="001F5DFD" w:rsidP="001F5DFD">
      <w:pPr>
        <w:pStyle w:val="Heading2"/>
        <w:jc w:val="both"/>
      </w:pPr>
      <w:bookmarkStart w:id="111" w:name="_Toc103944863"/>
      <w:bookmarkStart w:id="112" w:name="_Toc121096072"/>
      <w:bookmarkStart w:id="113" w:name="_Toc165018180"/>
      <w:r>
        <w:t>Risk of bias assessments</w:t>
      </w:r>
      <w:r w:rsidR="00906879">
        <w:t>: Medicinal cannabis interventions</w:t>
      </w:r>
      <w:bookmarkEnd w:id="111"/>
      <w:bookmarkEnd w:id="112"/>
      <w:bookmarkEnd w:id="113"/>
      <w:r w:rsidR="00906879">
        <w:t xml:space="preserve"> </w:t>
      </w:r>
    </w:p>
    <w:p w14:paraId="43D6BFA4" w14:textId="05D815CF" w:rsidR="001F5DFD" w:rsidRDefault="001F5DFD" w:rsidP="001F5DFD">
      <w:pPr>
        <w:jc w:val="both"/>
      </w:pPr>
      <w:r>
        <w:t>The revised Cochrane risk-of-bias tool for randomised trials (RoB 2) was employed to conduct the risk-of-bias assessments (</w:t>
      </w:r>
      <w:r w:rsidR="67B441AB">
        <w:t>Sterne</w:t>
      </w:r>
      <w:r w:rsidR="13A995D3">
        <w:t xml:space="preserve"> et al.</w:t>
      </w:r>
      <w:r>
        <w:t xml:space="preserve">, 2019). </w:t>
      </w:r>
      <w:r w:rsidR="008269E9">
        <w:t>The three categories of overall risk-of-bias judgements for the RoB 2 tool are: “low risk of bias”; “some concerns”; and “high risk of bias”</w:t>
      </w:r>
      <w:r w:rsidR="00E579D3">
        <w:t xml:space="preserve"> (</w:t>
      </w:r>
      <w:r w:rsidR="614DAB47">
        <w:t>Sterne</w:t>
      </w:r>
      <w:r w:rsidR="21E617EE">
        <w:t xml:space="preserve"> et al.</w:t>
      </w:r>
      <w:r w:rsidR="00E579D3">
        <w:t>, 2019)</w:t>
      </w:r>
      <w:r w:rsidR="008269E9">
        <w:t xml:space="preserve">. </w:t>
      </w:r>
      <w:r w:rsidRPr="00F44BF6">
        <w:t xml:space="preserve">Of the </w:t>
      </w:r>
      <w:r w:rsidR="00E579D3" w:rsidRPr="00F44BF6">
        <w:t>1</w:t>
      </w:r>
      <w:r w:rsidR="009C6BBC" w:rsidRPr="00F44BF6">
        <w:t>2</w:t>
      </w:r>
      <w:r w:rsidRPr="00F44BF6">
        <w:t xml:space="preserve"> RCTs </w:t>
      </w:r>
      <w:r w:rsidR="00906879" w:rsidRPr="00F44BF6">
        <w:t>of medicinal cannabis interventions</w:t>
      </w:r>
      <w:r w:rsidR="00E579D3" w:rsidRPr="00F44BF6">
        <w:t xml:space="preserve"> </w:t>
      </w:r>
      <w:r w:rsidR="00E579D3" w:rsidRPr="00C82E2D">
        <w:t>included in the REA</w:t>
      </w:r>
      <w:r w:rsidRPr="00C82E2D">
        <w:t xml:space="preserve">, </w:t>
      </w:r>
      <w:r w:rsidR="00AE7C46" w:rsidRPr="00C82E2D">
        <w:t>one</w:t>
      </w:r>
      <w:r w:rsidRPr="00C82E2D">
        <w:t xml:space="preserve"> (</w:t>
      </w:r>
      <w:r w:rsidR="00AE7C46" w:rsidRPr="00F62917">
        <w:t>1</w:t>
      </w:r>
      <w:r w:rsidRPr="00C82E2D">
        <w:t>) stud</w:t>
      </w:r>
      <w:r w:rsidR="00AE7C46" w:rsidRPr="00F62917">
        <w:t>y</w:t>
      </w:r>
      <w:r w:rsidRPr="00C82E2D">
        <w:t xml:space="preserve"> </w:t>
      </w:r>
      <w:r w:rsidR="008269E9" w:rsidRPr="00C82E2D">
        <w:t>w</w:t>
      </w:r>
      <w:r w:rsidR="00AE7C46" w:rsidRPr="00F62917">
        <w:t>as</w:t>
      </w:r>
      <w:r w:rsidR="008269E9" w:rsidRPr="00C82E2D">
        <w:t xml:space="preserve"> judged to have a low risk of bias </w:t>
      </w:r>
      <w:r w:rsidRPr="00C82E2D">
        <w:t xml:space="preserve">and </w:t>
      </w:r>
      <w:r w:rsidR="00AE064D" w:rsidRPr="00F62917">
        <w:t>eleven</w:t>
      </w:r>
      <w:r w:rsidR="008400DD" w:rsidRPr="00C82E2D">
        <w:t xml:space="preserve"> </w:t>
      </w:r>
      <w:r w:rsidRPr="00C82E2D">
        <w:t>(</w:t>
      </w:r>
      <w:r w:rsidR="00AE064D" w:rsidRPr="00F62917">
        <w:t>11</w:t>
      </w:r>
      <w:r w:rsidRPr="00C82E2D">
        <w:t xml:space="preserve">) studies </w:t>
      </w:r>
      <w:r w:rsidR="008269E9" w:rsidRPr="00C82E2D">
        <w:t>were judged to have a high risk of bias (see Appendix 8).</w:t>
      </w:r>
    </w:p>
    <w:p w14:paraId="6822DDA5" w14:textId="6E5908FA" w:rsidR="00055B90" w:rsidRPr="009B4D43" w:rsidRDefault="00743566" w:rsidP="001D28F3">
      <w:pPr>
        <w:pStyle w:val="Heading2"/>
        <w:jc w:val="both"/>
      </w:pPr>
      <w:bookmarkStart w:id="114" w:name="_Toc101536634"/>
      <w:bookmarkStart w:id="115" w:name="_Toc103944864"/>
      <w:bookmarkStart w:id="116" w:name="_Toc121096073"/>
      <w:bookmarkStart w:id="117" w:name="_Toc165018181"/>
      <w:r>
        <w:t>GRADE certainty of evidence s</w:t>
      </w:r>
      <w:r w:rsidR="00055B90" w:rsidRPr="009B4D43">
        <w:t>ummar</w:t>
      </w:r>
      <w:bookmarkEnd w:id="62"/>
      <w:bookmarkEnd w:id="114"/>
      <w:r w:rsidR="001F5DFD">
        <w:t>ies</w:t>
      </w:r>
      <w:r w:rsidR="00707516">
        <w:t xml:space="preserve">: </w:t>
      </w:r>
      <w:r w:rsidR="00906879">
        <w:t>Medicinal cannabis interventions</w:t>
      </w:r>
      <w:bookmarkEnd w:id="115"/>
      <w:bookmarkEnd w:id="116"/>
      <w:bookmarkEnd w:id="117"/>
    </w:p>
    <w:p w14:paraId="6CBCF10B" w14:textId="0ACCF692" w:rsidR="00A65C86" w:rsidRDefault="00A65C86" w:rsidP="00A65C86">
      <w:pPr>
        <w:jc w:val="both"/>
        <w:rPr>
          <w:rFonts w:cstheme="minorHAnsi"/>
          <w:szCs w:val="20"/>
        </w:rPr>
      </w:pPr>
      <w:r>
        <w:t xml:space="preserve">The Grading of Recommendations Assessment, Development and Evaluation (GRADE) is a structured, best-practice approach for assessing the certainty of a body of evidence. </w:t>
      </w:r>
      <w:r w:rsidRPr="009B4D43">
        <w:t>The REA used the approach recommended by Murad et al. (2017) for grading narrative summaries of a body of evidence where individual studies measure or report different outcomes.</w:t>
      </w:r>
      <w:r>
        <w:t xml:space="preserve"> The interpretation of the f</w:t>
      </w:r>
      <w:r>
        <w:rPr>
          <w:rFonts w:cstheme="minorHAnsi"/>
          <w:szCs w:val="20"/>
        </w:rPr>
        <w:t xml:space="preserve">our levels of evidence used in the GRADE profile are </w:t>
      </w:r>
      <w:r w:rsidR="00EF64AA">
        <w:rPr>
          <w:rFonts w:cstheme="minorHAnsi"/>
          <w:szCs w:val="20"/>
        </w:rPr>
        <w:t>as follows</w:t>
      </w:r>
      <w:r>
        <w:rPr>
          <w:rFonts w:cstheme="minorHAnsi"/>
          <w:szCs w:val="20"/>
        </w:rPr>
        <w:t>:</w:t>
      </w:r>
    </w:p>
    <w:tbl>
      <w:tblPr>
        <w:tblStyle w:val="GridTable5Dark-Accent5"/>
        <w:tblW w:w="5000" w:type="pct"/>
        <w:tblLook w:val="04A0" w:firstRow="1" w:lastRow="0" w:firstColumn="1" w:lastColumn="0" w:noHBand="0" w:noVBand="1"/>
      </w:tblPr>
      <w:tblGrid>
        <w:gridCol w:w="1047"/>
        <w:gridCol w:w="7969"/>
      </w:tblGrid>
      <w:tr w:rsidR="00EF64AA" w:rsidRPr="009B4D43" w14:paraId="2D971EC4" w14:textId="77777777" w:rsidTr="00290E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9" w:type="pct"/>
            <w:hideMark/>
          </w:tcPr>
          <w:p w14:paraId="7B1D90F0" w14:textId="77777777" w:rsidR="00EF64AA" w:rsidRPr="009B4D43" w:rsidRDefault="00EF64AA" w:rsidP="001F5DFD">
            <w:pPr>
              <w:jc w:val="both"/>
            </w:pPr>
            <w:r w:rsidRPr="009B4D43">
              <w:t>GRADE</w:t>
            </w:r>
          </w:p>
        </w:tc>
        <w:tc>
          <w:tcPr>
            <w:tcW w:w="4591" w:type="pct"/>
            <w:hideMark/>
          </w:tcPr>
          <w:p w14:paraId="384E4418" w14:textId="77777777" w:rsidR="00EF64AA" w:rsidRPr="009B4D43" w:rsidRDefault="00EF64AA" w:rsidP="001F5DFD">
            <w:pPr>
              <w:jc w:val="both"/>
              <w:cnfStyle w:val="100000000000" w:firstRow="1" w:lastRow="0" w:firstColumn="0" w:lastColumn="0" w:oddVBand="0" w:evenVBand="0" w:oddHBand="0" w:evenHBand="0" w:firstRowFirstColumn="0" w:firstRowLastColumn="0" w:lastRowFirstColumn="0" w:lastRowLastColumn="0"/>
            </w:pPr>
            <w:r w:rsidRPr="009B4D43">
              <w:t>Definition</w:t>
            </w:r>
          </w:p>
        </w:tc>
      </w:tr>
      <w:tr w:rsidR="00EF64AA" w:rsidRPr="009B4D43" w14:paraId="7946D411" w14:textId="77777777" w:rsidTr="001F5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pct"/>
            <w:hideMark/>
          </w:tcPr>
          <w:p w14:paraId="19841B13" w14:textId="77777777" w:rsidR="00EF64AA" w:rsidRDefault="00EF64AA" w:rsidP="001F5DFD">
            <w:pPr>
              <w:jc w:val="both"/>
            </w:pPr>
            <w:r w:rsidRPr="009B4D43">
              <w:t>High</w:t>
            </w:r>
          </w:p>
          <w:p w14:paraId="7C0F6185" w14:textId="77777777" w:rsidR="00EF64AA" w:rsidRPr="009B4D43" w:rsidRDefault="00EF64AA" w:rsidP="001F5DFD">
            <w:pPr>
              <w:jc w:val="both"/>
            </w:pPr>
            <w:r w:rsidRPr="009D24CF">
              <w:rPr>
                <w:rFonts w:ascii="Cambria Math" w:hAnsi="Cambria Math" w:cs="Cambria Math"/>
              </w:rPr>
              <w:t>⊕⊕⊕⊕</w:t>
            </w:r>
          </w:p>
        </w:tc>
        <w:tc>
          <w:tcPr>
            <w:tcW w:w="4591" w:type="pct"/>
            <w:hideMark/>
          </w:tcPr>
          <w:p w14:paraId="751D1F4D" w14:textId="77777777" w:rsidR="00EF64AA" w:rsidRPr="009B4D43" w:rsidRDefault="00EF64AA" w:rsidP="001F5DFD">
            <w:pPr>
              <w:jc w:val="both"/>
              <w:cnfStyle w:val="000000100000" w:firstRow="0" w:lastRow="0" w:firstColumn="0" w:lastColumn="0" w:oddVBand="0" w:evenVBand="0" w:oddHBand="1" w:evenHBand="0" w:firstRowFirstColumn="0" w:firstRowLastColumn="0" w:lastRowFirstColumn="0" w:lastRowLastColumn="0"/>
            </w:pPr>
            <w:r>
              <w:t xml:space="preserve">High confidence in the effect estimate: the </w:t>
            </w:r>
            <w:r w:rsidRPr="009B4D43">
              <w:t xml:space="preserve">true effect </w:t>
            </w:r>
            <w:r>
              <w:t xml:space="preserve">is likely to be </w:t>
            </w:r>
            <w:r w:rsidRPr="009B4D43">
              <w:t xml:space="preserve">close to </w:t>
            </w:r>
            <w:r>
              <w:t>t</w:t>
            </w:r>
            <w:r w:rsidRPr="009B4D43">
              <w:t>he estimate of the effect.</w:t>
            </w:r>
          </w:p>
        </w:tc>
      </w:tr>
      <w:tr w:rsidR="00EF64AA" w:rsidRPr="009B4D43" w14:paraId="672F0BA0" w14:textId="77777777" w:rsidTr="001F5DFD">
        <w:tc>
          <w:tcPr>
            <w:cnfStyle w:val="001000000000" w:firstRow="0" w:lastRow="0" w:firstColumn="1" w:lastColumn="0" w:oddVBand="0" w:evenVBand="0" w:oddHBand="0" w:evenHBand="0" w:firstRowFirstColumn="0" w:firstRowLastColumn="0" w:lastRowFirstColumn="0" w:lastRowLastColumn="0"/>
            <w:tcW w:w="409" w:type="pct"/>
            <w:hideMark/>
          </w:tcPr>
          <w:p w14:paraId="2D427D33" w14:textId="77777777" w:rsidR="00EF64AA" w:rsidRDefault="00EF64AA" w:rsidP="001F5DFD">
            <w:pPr>
              <w:jc w:val="both"/>
            </w:pPr>
            <w:r w:rsidRPr="009B4D43">
              <w:t>Moderate</w:t>
            </w:r>
          </w:p>
          <w:p w14:paraId="6AC9CC17" w14:textId="77777777" w:rsidR="00EF64AA" w:rsidRPr="009B4D43" w:rsidRDefault="00EF64AA" w:rsidP="001F5DFD">
            <w:pPr>
              <w:jc w:val="both"/>
            </w:pPr>
            <w:r>
              <w:rPr>
                <w:rFonts w:ascii="Cambria Math" w:hAnsi="Cambria Math" w:cs="Cambria Math"/>
              </w:rPr>
              <w:t>⊕⊕⊕</w:t>
            </w:r>
          </w:p>
        </w:tc>
        <w:tc>
          <w:tcPr>
            <w:tcW w:w="4591" w:type="pct"/>
            <w:hideMark/>
          </w:tcPr>
          <w:p w14:paraId="5AA781E5" w14:textId="77777777" w:rsidR="00EF64AA" w:rsidRPr="009B4D43" w:rsidRDefault="00EF64AA" w:rsidP="001F5DFD">
            <w:pPr>
              <w:jc w:val="both"/>
              <w:cnfStyle w:val="000000000000" w:firstRow="0" w:lastRow="0" w:firstColumn="0" w:lastColumn="0" w:oddVBand="0" w:evenVBand="0" w:oddHBand="0" w:evenHBand="0" w:firstRowFirstColumn="0" w:firstRowLastColumn="0" w:lastRowFirstColumn="0" w:lastRowLastColumn="0"/>
            </w:pPr>
            <w:r>
              <w:t>Moderate</w:t>
            </w:r>
            <w:r w:rsidRPr="009B4D43">
              <w:t xml:space="preserve"> confide</w:t>
            </w:r>
            <w:r>
              <w:t>nce</w:t>
            </w:r>
            <w:r w:rsidRPr="009B4D43">
              <w:t xml:space="preserve"> in the effect estimate: </w:t>
            </w:r>
            <w:r>
              <w:t xml:space="preserve">the true effect is likely to be </w:t>
            </w:r>
            <w:r w:rsidRPr="009B4D43">
              <w:t>close to the estimate of the effect, but there is a possibility that it is substantially different.</w:t>
            </w:r>
          </w:p>
        </w:tc>
      </w:tr>
      <w:tr w:rsidR="00EF64AA" w:rsidRPr="009B4D43" w14:paraId="4D1D76F1" w14:textId="77777777" w:rsidTr="001F5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pct"/>
            <w:hideMark/>
          </w:tcPr>
          <w:p w14:paraId="12DDE660" w14:textId="77777777" w:rsidR="00EF64AA" w:rsidRDefault="00EF64AA" w:rsidP="001F5DFD">
            <w:pPr>
              <w:jc w:val="both"/>
            </w:pPr>
            <w:r w:rsidRPr="009B4D43">
              <w:t>Low</w:t>
            </w:r>
          </w:p>
          <w:p w14:paraId="65DB9DE8" w14:textId="77777777" w:rsidR="00EF64AA" w:rsidRPr="009B4D43" w:rsidRDefault="00EF64AA" w:rsidP="001F5DFD">
            <w:pPr>
              <w:jc w:val="both"/>
            </w:pPr>
            <w:r>
              <w:rPr>
                <w:rFonts w:ascii="Cambria Math" w:hAnsi="Cambria Math" w:cs="Cambria Math"/>
              </w:rPr>
              <w:t>⊕⊕</w:t>
            </w:r>
          </w:p>
        </w:tc>
        <w:tc>
          <w:tcPr>
            <w:tcW w:w="4591" w:type="pct"/>
            <w:hideMark/>
          </w:tcPr>
          <w:p w14:paraId="3545AD7D" w14:textId="77777777" w:rsidR="00EF64AA" w:rsidRPr="009B4D43" w:rsidRDefault="00EF64AA" w:rsidP="001F5DFD">
            <w:pPr>
              <w:jc w:val="both"/>
              <w:cnfStyle w:val="000000100000" w:firstRow="0" w:lastRow="0" w:firstColumn="0" w:lastColumn="0" w:oddVBand="0" w:evenVBand="0" w:oddHBand="1" w:evenHBand="0" w:firstRowFirstColumn="0" w:firstRowLastColumn="0" w:lastRowFirstColumn="0" w:lastRowLastColumn="0"/>
            </w:pPr>
            <w:r>
              <w:t>Limited c</w:t>
            </w:r>
            <w:r w:rsidRPr="009B4D43">
              <w:t>onfidence in the effect estimate: the true effect may be substantially different from the estimate of the effect.</w:t>
            </w:r>
          </w:p>
        </w:tc>
      </w:tr>
      <w:tr w:rsidR="00EF64AA" w:rsidRPr="009B4D43" w14:paraId="559B879F" w14:textId="77777777" w:rsidTr="001F5DFD">
        <w:tc>
          <w:tcPr>
            <w:cnfStyle w:val="001000000000" w:firstRow="0" w:lastRow="0" w:firstColumn="1" w:lastColumn="0" w:oddVBand="0" w:evenVBand="0" w:oddHBand="0" w:evenHBand="0" w:firstRowFirstColumn="0" w:firstRowLastColumn="0" w:lastRowFirstColumn="0" w:lastRowLastColumn="0"/>
            <w:tcW w:w="409" w:type="pct"/>
            <w:hideMark/>
          </w:tcPr>
          <w:p w14:paraId="7E68CFEB" w14:textId="77777777" w:rsidR="00EF64AA" w:rsidRDefault="00EF64AA" w:rsidP="001F5DFD">
            <w:pPr>
              <w:jc w:val="both"/>
            </w:pPr>
            <w:r w:rsidRPr="009B4D43">
              <w:t>Very Low</w:t>
            </w:r>
          </w:p>
          <w:p w14:paraId="15FD5872" w14:textId="77777777" w:rsidR="00EF64AA" w:rsidRPr="009B4D43" w:rsidRDefault="00EF64AA" w:rsidP="001F5DFD">
            <w:pPr>
              <w:jc w:val="both"/>
            </w:pPr>
            <w:r>
              <w:rPr>
                <w:rFonts w:ascii="Cambria Math" w:hAnsi="Cambria Math" w:cs="Cambria Math"/>
              </w:rPr>
              <w:t>⊕</w:t>
            </w:r>
          </w:p>
        </w:tc>
        <w:tc>
          <w:tcPr>
            <w:tcW w:w="4591" w:type="pct"/>
            <w:hideMark/>
          </w:tcPr>
          <w:p w14:paraId="3336BA72" w14:textId="77777777" w:rsidR="00EF64AA" w:rsidRPr="009B4D43" w:rsidRDefault="00EF64AA" w:rsidP="001F5DFD">
            <w:pPr>
              <w:jc w:val="both"/>
              <w:cnfStyle w:val="000000000000" w:firstRow="0" w:lastRow="0" w:firstColumn="0" w:lastColumn="0" w:oddVBand="0" w:evenVBand="0" w:oddHBand="0" w:evenHBand="0" w:firstRowFirstColumn="0" w:firstRowLastColumn="0" w:lastRowFirstColumn="0" w:lastRowLastColumn="0"/>
            </w:pPr>
            <w:r>
              <w:t>Very l</w:t>
            </w:r>
            <w:r w:rsidRPr="009B4D43">
              <w:t>ittle confidence in the effect estimate: the true effect is likely to be substantially different from the estimate of effect.</w:t>
            </w:r>
          </w:p>
        </w:tc>
      </w:tr>
    </w:tbl>
    <w:p w14:paraId="4AAEC14B" w14:textId="77777777" w:rsidR="00EF64AA" w:rsidRPr="009B4D43" w:rsidRDefault="00EF64AA" w:rsidP="00EF64AA">
      <w:pPr>
        <w:jc w:val="both"/>
      </w:pPr>
      <w:r w:rsidRPr="009B4D43">
        <w:t xml:space="preserve">Source: </w:t>
      </w:r>
      <w:r>
        <w:t xml:space="preserve">Adapted from </w:t>
      </w:r>
      <w:r w:rsidRPr="009B4D43">
        <w:t>NHMRC (2019).</w:t>
      </w:r>
    </w:p>
    <w:p w14:paraId="4BAA0880" w14:textId="77777777" w:rsidR="001F5DFD" w:rsidRDefault="001F5DFD">
      <w:pPr>
        <w:spacing w:after="160"/>
      </w:pPr>
      <w:r>
        <w:br w:type="page"/>
      </w:r>
    </w:p>
    <w:p w14:paraId="02A22DD9" w14:textId="5A800E7E" w:rsidR="001F5DFD" w:rsidRDefault="001F5DFD" w:rsidP="001F5DFD">
      <w:pPr>
        <w:jc w:val="both"/>
        <w:rPr>
          <w:rFonts w:cstheme="minorHAnsi"/>
          <w:szCs w:val="20"/>
        </w:rPr>
      </w:pPr>
      <w:r w:rsidRPr="0053234E">
        <w:lastRenderedPageBreak/>
        <w:t>The GRADE certainty of evidence summaries for the medicinal cannabis interventions are as follows</w:t>
      </w:r>
      <w:r w:rsidRPr="0053234E">
        <w:rPr>
          <w:rFonts w:cstheme="minorHAnsi"/>
          <w:szCs w:val="20"/>
        </w:rPr>
        <w:t>:</w:t>
      </w:r>
    </w:p>
    <w:tbl>
      <w:tblPr>
        <w:tblStyle w:val="GridTable4-Accent5"/>
        <w:tblW w:w="5000" w:type="pct"/>
        <w:tblLayout w:type="fixed"/>
        <w:tblLook w:val="04A0" w:firstRow="1" w:lastRow="0" w:firstColumn="1" w:lastColumn="0" w:noHBand="0" w:noVBand="1"/>
      </w:tblPr>
      <w:tblGrid>
        <w:gridCol w:w="1288"/>
        <w:gridCol w:w="1288"/>
        <w:gridCol w:w="1288"/>
        <w:gridCol w:w="1288"/>
        <w:gridCol w:w="1288"/>
        <w:gridCol w:w="1288"/>
        <w:gridCol w:w="1288"/>
      </w:tblGrid>
      <w:tr w:rsidR="000D5A24" w:rsidRPr="009B4D43" w14:paraId="24A16458" w14:textId="77777777" w:rsidTr="00290E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 w:type="pct"/>
          </w:tcPr>
          <w:p w14:paraId="2C0CD1E8" w14:textId="77777777" w:rsidR="000D5A24" w:rsidRDefault="000D5A24" w:rsidP="00DF79A6">
            <w:pPr>
              <w:jc w:val="center"/>
            </w:pPr>
            <w:r>
              <w:t xml:space="preserve">Intervention </w:t>
            </w:r>
          </w:p>
          <w:p w14:paraId="02DD8594" w14:textId="741BE3C0" w:rsidR="000D5A24" w:rsidRPr="009B4D43" w:rsidRDefault="000D5A24" w:rsidP="00DF79A6">
            <w:pPr>
              <w:jc w:val="center"/>
              <w:rPr>
                <w:rFonts w:cstheme="minorHAnsi"/>
                <w:szCs w:val="20"/>
              </w:rPr>
            </w:pPr>
            <w:r>
              <w:t>(</w:t>
            </w:r>
            <w:r w:rsidR="00843119">
              <w:t>n</w:t>
            </w:r>
            <w:r>
              <w:t>o. of studies)</w:t>
            </w:r>
          </w:p>
        </w:tc>
        <w:tc>
          <w:tcPr>
            <w:tcW w:w="714" w:type="pct"/>
          </w:tcPr>
          <w:p w14:paraId="075A3F82" w14:textId="77777777" w:rsidR="000D5A24" w:rsidRDefault="000D5A24" w:rsidP="00DF79A6">
            <w:pPr>
              <w:jc w:val="center"/>
              <w:cnfStyle w:val="100000000000" w:firstRow="1" w:lastRow="0" w:firstColumn="0" w:lastColumn="0" w:oddVBand="0" w:evenVBand="0" w:oddHBand="0" w:evenHBand="0" w:firstRowFirstColumn="0" w:firstRowLastColumn="0" w:lastRowFirstColumn="0" w:lastRowLastColumn="0"/>
            </w:pPr>
            <w:r>
              <w:t>Design</w:t>
            </w:r>
          </w:p>
          <w:p w14:paraId="2C430F4F" w14:textId="6CFD3D1A" w:rsidR="000D5A24" w:rsidRPr="009B4D43" w:rsidRDefault="000D5A24" w:rsidP="00DF79A6">
            <w:pPr>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t>(</w:t>
            </w:r>
            <w:r w:rsidR="00843119">
              <w:t>n</w:t>
            </w:r>
            <w:r>
              <w:t>o. of studies)</w:t>
            </w:r>
          </w:p>
        </w:tc>
        <w:tc>
          <w:tcPr>
            <w:tcW w:w="714" w:type="pct"/>
          </w:tcPr>
          <w:p w14:paraId="23AF1332" w14:textId="4A1DEE21" w:rsidR="000D5A24" w:rsidRDefault="000D5A24" w:rsidP="00DF79A6">
            <w:pPr>
              <w:jc w:val="center"/>
              <w:cnfStyle w:val="100000000000" w:firstRow="1" w:lastRow="0" w:firstColumn="0" w:lastColumn="0" w:oddVBand="0" w:evenVBand="0" w:oddHBand="0" w:evenHBand="0" w:firstRowFirstColumn="0" w:firstRowLastColumn="0" w:lastRowFirstColumn="0" w:lastRowLastColumn="0"/>
            </w:pPr>
            <w:r>
              <w:t>R</w:t>
            </w:r>
            <w:r w:rsidR="005D42E7">
              <w:t>oB</w:t>
            </w:r>
            <w:r>
              <w:t xml:space="preserve"> Assessments</w:t>
            </w:r>
          </w:p>
          <w:p w14:paraId="0E803707" w14:textId="7945402D" w:rsidR="000D5A24" w:rsidRPr="009B4D43" w:rsidRDefault="000D5A24" w:rsidP="00DF79A6">
            <w:pPr>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t>(</w:t>
            </w:r>
            <w:r w:rsidR="00843119">
              <w:t>n</w:t>
            </w:r>
            <w:r>
              <w:t>o. of studies)</w:t>
            </w:r>
          </w:p>
        </w:tc>
        <w:tc>
          <w:tcPr>
            <w:tcW w:w="714" w:type="pct"/>
          </w:tcPr>
          <w:p w14:paraId="67CBB8CE" w14:textId="77777777" w:rsidR="000D5A24" w:rsidRPr="009B4D43" w:rsidRDefault="000D5A24" w:rsidP="00DF79A6">
            <w:pPr>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t>Precision and Consistency</w:t>
            </w:r>
          </w:p>
        </w:tc>
        <w:tc>
          <w:tcPr>
            <w:tcW w:w="714" w:type="pct"/>
          </w:tcPr>
          <w:p w14:paraId="0D7DB44F" w14:textId="77777777" w:rsidR="000D5A24" w:rsidRPr="009B4D43" w:rsidRDefault="000D5A24" w:rsidP="00DF79A6">
            <w:pPr>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t>Directness</w:t>
            </w:r>
          </w:p>
        </w:tc>
        <w:tc>
          <w:tcPr>
            <w:tcW w:w="714" w:type="pct"/>
          </w:tcPr>
          <w:p w14:paraId="2A7AE110" w14:textId="77777777" w:rsidR="000D5A24" w:rsidRPr="009B4D43" w:rsidRDefault="000D5A24" w:rsidP="00DF79A6">
            <w:pPr>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t>Publication Bias</w:t>
            </w:r>
          </w:p>
        </w:tc>
        <w:tc>
          <w:tcPr>
            <w:tcW w:w="714" w:type="pct"/>
          </w:tcPr>
          <w:p w14:paraId="4718FCA7" w14:textId="70BBF688" w:rsidR="000D5A24" w:rsidRPr="009B4D43" w:rsidRDefault="000D5A24" w:rsidP="00DF79A6">
            <w:pPr>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t>GRADE Summary</w:t>
            </w:r>
            <w:r w:rsidRPr="00996BC7">
              <w:rPr>
                <w:vertAlign w:val="superscript"/>
              </w:rPr>
              <w:t>1</w:t>
            </w:r>
            <w:r w:rsidR="000773F9">
              <w:rPr>
                <w:vertAlign w:val="superscript"/>
              </w:rPr>
              <w:t>,2</w:t>
            </w:r>
          </w:p>
        </w:tc>
      </w:tr>
      <w:tr w:rsidR="00D54E7B" w14:paraId="21E05035" w14:textId="77777777" w:rsidTr="00F62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541A09AB" w14:textId="77777777" w:rsidR="00D54E7B" w:rsidRDefault="00D54E7B" w:rsidP="00D54E7B">
            <w:pPr>
              <w:jc w:val="center"/>
              <w:rPr>
                <w:rFonts w:cstheme="minorHAnsi"/>
                <w:bCs w:val="0"/>
              </w:rPr>
            </w:pPr>
            <w:r w:rsidRPr="00374A8F">
              <w:rPr>
                <w:rFonts w:cstheme="minorHAnsi"/>
                <w:b w:val="0"/>
              </w:rPr>
              <w:t>Natural or synthetic cannabidiol (CBD)</w:t>
            </w:r>
          </w:p>
          <w:p w14:paraId="5E9336FE" w14:textId="3922405B" w:rsidR="00D54E7B" w:rsidRPr="00374A8F" w:rsidRDefault="00D54E7B" w:rsidP="00F62917">
            <w:pPr>
              <w:jc w:val="center"/>
              <w:rPr>
                <w:rFonts w:cstheme="minorHAnsi"/>
                <w:b w:val="0"/>
                <w:bCs w:val="0"/>
              </w:rPr>
            </w:pPr>
            <w:r w:rsidRPr="00374A8F">
              <w:rPr>
                <w:rFonts w:cstheme="minorHAnsi"/>
                <w:b w:val="0"/>
              </w:rPr>
              <w:t>(6)</w:t>
            </w:r>
          </w:p>
        </w:tc>
        <w:tc>
          <w:tcPr>
            <w:tcW w:w="714" w:type="pct"/>
          </w:tcPr>
          <w:p w14:paraId="50B1A2DC" w14:textId="77777777" w:rsidR="00D54E7B" w:rsidRDefault="00D54E7B" w:rsidP="00D54E7B">
            <w:pPr>
              <w:jc w:val="center"/>
              <w:cnfStyle w:val="000000100000" w:firstRow="0" w:lastRow="0" w:firstColumn="0" w:lastColumn="0" w:oddVBand="0" w:evenVBand="0" w:oddHBand="1" w:evenHBand="0" w:firstRowFirstColumn="0" w:firstRowLastColumn="0" w:lastRowFirstColumn="0" w:lastRowLastColumn="0"/>
            </w:pPr>
            <w:r>
              <w:t xml:space="preserve">Parallel arm </w:t>
            </w:r>
            <w:r w:rsidRPr="00D27670">
              <w:t>RCT (</w:t>
            </w:r>
            <w:r>
              <w:t>5</w:t>
            </w:r>
            <w:r w:rsidRPr="00D27670">
              <w:t>)</w:t>
            </w:r>
          </w:p>
          <w:p w14:paraId="49C1C40A" w14:textId="77777777" w:rsidR="00D54E7B" w:rsidRDefault="00D54E7B" w:rsidP="00D54E7B">
            <w:pPr>
              <w:jc w:val="center"/>
              <w:cnfStyle w:val="000000100000" w:firstRow="0" w:lastRow="0" w:firstColumn="0" w:lastColumn="0" w:oddVBand="0" w:evenVBand="0" w:oddHBand="1" w:evenHBand="0" w:firstRowFirstColumn="0" w:firstRowLastColumn="0" w:lastRowFirstColumn="0" w:lastRowLastColumn="0"/>
            </w:pPr>
            <w:r>
              <w:t>Crossover RCT (1)</w:t>
            </w:r>
          </w:p>
        </w:tc>
        <w:tc>
          <w:tcPr>
            <w:tcW w:w="714" w:type="pct"/>
          </w:tcPr>
          <w:p w14:paraId="7B1D514B" w14:textId="720BB69A" w:rsidR="00D54E7B" w:rsidRDefault="00D54E7B" w:rsidP="00D54E7B">
            <w:pPr>
              <w:jc w:val="center"/>
              <w:cnfStyle w:val="000000100000" w:firstRow="0" w:lastRow="0" w:firstColumn="0" w:lastColumn="0" w:oddVBand="0" w:evenVBand="0" w:oddHBand="1" w:evenHBand="0" w:firstRowFirstColumn="0" w:firstRowLastColumn="0" w:lastRowFirstColumn="0" w:lastRowLastColumn="0"/>
            </w:pPr>
            <w:r w:rsidRPr="00D27670">
              <w:t>S</w:t>
            </w:r>
            <w:r>
              <w:t xml:space="preserve">erious </w:t>
            </w:r>
          </w:p>
          <w:p w14:paraId="298A7F9D" w14:textId="4A00ECCB" w:rsidR="00D54E7B" w:rsidRDefault="00D54E7B" w:rsidP="00D54E7B">
            <w:pPr>
              <w:jc w:val="center"/>
              <w:cnfStyle w:val="000000100000" w:firstRow="0" w:lastRow="0" w:firstColumn="0" w:lastColumn="0" w:oddVBand="0" w:evenVBand="0" w:oddHBand="1" w:evenHBand="0" w:firstRowFirstColumn="0" w:firstRowLastColumn="0" w:lastRowFirstColumn="0" w:lastRowLastColumn="0"/>
            </w:pPr>
            <w:r>
              <w:t>(5 high risk; 0 some concerns; 1 low risk)</w:t>
            </w:r>
          </w:p>
        </w:tc>
        <w:tc>
          <w:tcPr>
            <w:tcW w:w="714" w:type="pct"/>
          </w:tcPr>
          <w:p w14:paraId="414E648E" w14:textId="44703942" w:rsidR="00D54E7B" w:rsidRPr="00560A75" w:rsidRDefault="00D54E7B" w:rsidP="00D54E7B">
            <w:pPr>
              <w:jc w:val="center"/>
              <w:cnfStyle w:val="000000100000" w:firstRow="0" w:lastRow="0" w:firstColumn="0" w:lastColumn="0" w:oddVBand="0" w:evenVBand="0" w:oddHBand="1" w:evenHBand="0" w:firstRowFirstColumn="0" w:firstRowLastColumn="0" w:lastRowFirstColumn="0" w:lastRowLastColumn="0"/>
            </w:pPr>
            <w:r>
              <w:t>Serious</w:t>
            </w:r>
          </w:p>
        </w:tc>
        <w:tc>
          <w:tcPr>
            <w:tcW w:w="714" w:type="pct"/>
          </w:tcPr>
          <w:p w14:paraId="7774701A" w14:textId="6E63FC78" w:rsidR="00D54E7B" w:rsidRDefault="00D54E7B" w:rsidP="00D54E7B">
            <w:pPr>
              <w:jc w:val="center"/>
              <w:cnfStyle w:val="000000100000" w:firstRow="0" w:lastRow="0" w:firstColumn="0" w:lastColumn="0" w:oddVBand="0" w:evenVBand="0" w:oddHBand="1" w:evenHBand="0" w:firstRowFirstColumn="0" w:firstRowLastColumn="0" w:lastRowFirstColumn="0" w:lastRowLastColumn="0"/>
            </w:pPr>
            <w:r>
              <w:t>Not serious, borderline</w:t>
            </w:r>
          </w:p>
        </w:tc>
        <w:tc>
          <w:tcPr>
            <w:tcW w:w="714" w:type="pct"/>
          </w:tcPr>
          <w:p w14:paraId="48FD9174" w14:textId="22F74934" w:rsidR="00D54E7B" w:rsidRDefault="00D54E7B" w:rsidP="00D54E7B">
            <w:pPr>
              <w:jc w:val="center"/>
              <w:cnfStyle w:val="000000100000" w:firstRow="0" w:lastRow="0" w:firstColumn="0" w:lastColumn="0" w:oddVBand="0" w:evenVBand="0" w:oddHBand="1" w:evenHBand="0" w:firstRowFirstColumn="0" w:firstRowLastColumn="0" w:lastRowFirstColumn="0" w:lastRowLastColumn="0"/>
            </w:pPr>
            <w:r>
              <w:t>Not suspected, pending further analysis</w:t>
            </w:r>
          </w:p>
        </w:tc>
        <w:tc>
          <w:tcPr>
            <w:tcW w:w="714" w:type="pct"/>
          </w:tcPr>
          <w:p w14:paraId="42C1DA4B" w14:textId="77777777" w:rsidR="00D54E7B" w:rsidRDefault="00D54E7B" w:rsidP="00D54E7B">
            <w:pPr>
              <w:jc w:val="center"/>
              <w:cnfStyle w:val="000000100000" w:firstRow="0" w:lastRow="0" w:firstColumn="0" w:lastColumn="0" w:oddVBand="0" w:evenVBand="0" w:oddHBand="1" w:evenHBand="0" w:firstRowFirstColumn="0" w:firstRowLastColumn="0" w:lastRowFirstColumn="0" w:lastRowLastColumn="0"/>
            </w:pPr>
            <w:r w:rsidRPr="00614981">
              <w:t>Very</w:t>
            </w:r>
            <w:r>
              <w:t xml:space="preserve"> Low </w:t>
            </w:r>
            <w:r w:rsidRPr="00162E0C">
              <w:rPr>
                <w:rFonts w:ascii="Cambria Math" w:hAnsi="Cambria Math" w:cs="Cambria Math"/>
              </w:rPr>
              <w:t>⊕</w:t>
            </w:r>
          </w:p>
        </w:tc>
      </w:tr>
      <w:tr w:rsidR="00D54E7B" w14:paraId="0D09F596" w14:textId="77777777" w:rsidTr="00F62917">
        <w:tc>
          <w:tcPr>
            <w:cnfStyle w:val="001000000000" w:firstRow="0" w:lastRow="0" w:firstColumn="1" w:lastColumn="0" w:oddVBand="0" w:evenVBand="0" w:oddHBand="0" w:evenHBand="0" w:firstRowFirstColumn="0" w:firstRowLastColumn="0" w:lastRowFirstColumn="0" w:lastRowLastColumn="0"/>
            <w:tcW w:w="714" w:type="pct"/>
          </w:tcPr>
          <w:p w14:paraId="3D71DBB5" w14:textId="77777777" w:rsidR="00D54E7B" w:rsidRDefault="00D54E7B" w:rsidP="00D54E7B">
            <w:pPr>
              <w:jc w:val="center"/>
              <w:rPr>
                <w:rFonts w:cstheme="minorHAnsi"/>
                <w:bCs w:val="0"/>
              </w:rPr>
            </w:pPr>
            <w:r w:rsidRPr="00AA3724">
              <w:rPr>
                <w:rFonts w:cstheme="minorHAnsi"/>
                <w:b w:val="0"/>
              </w:rPr>
              <w:t>Natural cannabis extract (THC</w:t>
            </w:r>
            <w:r>
              <w:rPr>
                <w:rFonts w:cstheme="minorHAnsi"/>
                <w:b w:val="0"/>
              </w:rPr>
              <w:t>+CBD</w:t>
            </w:r>
            <w:r w:rsidRPr="00AA3724">
              <w:rPr>
                <w:rFonts w:cstheme="minorHAnsi"/>
                <w:b w:val="0"/>
              </w:rPr>
              <w:t>)</w:t>
            </w:r>
          </w:p>
          <w:p w14:paraId="3571B661" w14:textId="6FEC5D4C" w:rsidR="00D54E7B" w:rsidRPr="00AA3724" w:rsidRDefault="00D54E7B" w:rsidP="00F62917">
            <w:pPr>
              <w:jc w:val="center"/>
              <w:rPr>
                <w:b w:val="0"/>
              </w:rPr>
            </w:pPr>
            <w:r w:rsidRPr="00AA3724">
              <w:rPr>
                <w:rFonts w:cstheme="minorHAnsi"/>
                <w:b w:val="0"/>
              </w:rPr>
              <w:t>(2)</w:t>
            </w:r>
          </w:p>
        </w:tc>
        <w:tc>
          <w:tcPr>
            <w:tcW w:w="714" w:type="pct"/>
          </w:tcPr>
          <w:p w14:paraId="666E78C2" w14:textId="77777777" w:rsidR="00D54E7B" w:rsidRPr="00AA3724" w:rsidRDefault="00D54E7B" w:rsidP="00D54E7B">
            <w:pPr>
              <w:jc w:val="center"/>
              <w:cnfStyle w:val="000000000000" w:firstRow="0" w:lastRow="0" w:firstColumn="0" w:lastColumn="0" w:oddVBand="0" w:evenVBand="0" w:oddHBand="0" w:evenHBand="0" w:firstRowFirstColumn="0" w:firstRowLastColumn="0" w:lastRowFirstColumn="0" w:lastRowLastColumn="0"/>
            </w:pPr>
            <w:r w:rsidRPr="00AA3724">
              <w:t>Parallel arm RCT (2)</w:t>
            </w:r>
          </w:p>
        </w:tc>
        <w:tc>
          <w:tcPr>
            <w:tcW w:w="714" w:type="pct"/>
          </w:tcPr>
          <w:p w14:paraId="4498E929" w14:textId="413A023C" w:rsidR="00D54E7B" w:rsidRDefault="00D54E7B" w:rsidP="00D54E7B">
            <w:pPr>
              <w:jc w:val="center"/>
              <w:cnfStyle w:val="000000000000" w:firstRow="0" w:lastRow="0" w:firstColumn="0" w:lastColumn="0" w:oddVBand="0" w:evenVBand="0" w:oddHBand="0" w:evenHBand="0" w:firstRowFirstColumn="0" w:firstRowLastColumn="0" w:lastRowFirstColumn="0" w:lastRowLastColumn="0"/>
            </w:pPr>
            <w:r>
              <w:t>Very serious</w:t>
            </w:r>
          </w:p>
          <w:p w14:paraId="371B9C4B" w14:textId="69748D96" w:rsidR="00D54E7B" w:rsidRPr="00AA3724" w:rsidRDefault="00D54E7B" w:rsidP="00D54E7B">
            <w:pPr>
              <w:jc w:val="center"/>
              <w:cnfStyle w:val="000000000000" w:firstRow="0" w:lastRow="0" w:firstColumn="0" w:lastColumn="0" w:oddVBand="0" w:evenVBand="0" w:oddHBand="0" w:evenHBand="0" w:firstRowFirstColumn="0" w:firstRowLastColumn="0" w:lastRowFirstColumn="0" w:lastRowLastColumn="0"/>
            </w:pPr>
            <w:r>
              <w:t>(2 high risk; 0 some concerns; 0 low risk)</w:t>
            </w:r>
          </w:p>
        </w:tc>
        <w:tc>
          <w:tcPr>
            <w:tcW w:w="714" w:type="pct"/>
          </w:tcPr>
          <w:p w14:paraId="3947BFB7" w14:textId="727B80D5" w:rsidR="00D54E7B" w:rsidRPr="00AA3724" w:rsidRDefault="00D54E7B" w:rsidP="00D54E7B">
            <w:pPr>
              <w:jc w:val="center"/>
              <w:cnfStyle w:val="000000000000" w:firstRow="0" w:lastRow="0" w:firstColumn="0" w:lastColumn="0" w:oddVBand="0" w:evenVBand="0" w:oddHBand="0" w:evenHBand="0" w:firstRowFirstColumn="0" w:firstRowLastColumn="0" w:lastRowFirstColumn="0" w:lastRowLastColumn="0"/>
            </w:pPr>
            <w:r>
              <w:t>Serious</w:t>
            </w:r>
          </w:p>
        </w:tc>
        <w:tc>
          <w:tcPr>
            <w:tcW w:w="714" w:type="pct"/>
          </w:tcPr>
          <w:p w14:paraId="10929A7D" w14:textId="070A5BDA" w:rsidR="00D54E7B" w:rsidRPr="00AA3724" w:rsidRDefault="00D54E7B" w:rsidP="00D54E7B">
            <w:pPr>
              <w:jc w:val="center"/>
              <w:cnfStyle w:val="000000000000" w:firstRow="0" w:lastRow="0" w:firstColumn="0" w:lastColumn="0" w:oddVBand="0" w:evenVBand="0" w:oddHBand="0" w:evenHBand="0" w:firstRowFirstColumn="0" w:firstRowLastColumn="0" w:lastRowFirstColumn="0" w:lastRowLastColumn="0"/>
            </w:pPr>
            <w:r w:rsidRPr="00AA3724">
              <w:t>No</w:t>
            </w:r>
            <w:r>
              <w:t>t</w:t>
            </w:r>
            <w:r w:rsidRPr="00AA3724">
              <w:t xml:space="preserve"> serious</w:t>
            </w:r>
          </w:p>
        </w:tc>
        <w:tc>
          <w:tcPr>
            <w:tcW w:w="714" w:type="pct"/>
          </w:tcPr>
          <w:p w14:paraId="633D5A11" w14:textId="77777777" w:rsidR="00D54E7B" w:rsidRPr="00AA3724" w:rsidRDefault="00D54E7B" w:rsidP="00D54E7B">
            <w:pPr>
              <w:jc w:val="center"/>
              <w:cnfStyle w:val="000000000000" w:firstRow="0" w:lastRow="0" w:firstColumn="0" w:lastColumn="0" w:oddVBand="0" w:evenVBand="0" w:oddHBand="0" w:evenHBand="0" w:firstRowFirstColumn="0" w:firstRowLastColumn="0" w:lastRowFirstColumn="0" w:lastRowLastColumn="0"/>
            </w:pPr>
            <w:r w:rsidRPr="00AA3724">
              <w:t>Not suspected</w:t>
            </w:r>
          </w:p>
        </w:tc>
        <w:tc>
          <w:tcPr>
            <w:tcW w:w="714" w:type="pct"/>
          </w:tcPr>
          <w:p w14:paraId="43B521E8" w14:textId="2006EF1D" w:rsidR="00D54E7B" w:rsidRDefault="00D54E7B" w:rsidP="00D54E7B">
            <w:pPr>
              <w:jc w:val="center"/>
              <w:cnfStyle w:val="000000000000" w:firstRow="0" w:lastRow="0" w:firstColumn="0" w:lastColumn="0" w:oddVBand="0" w:evenVBand="0" w:oddHBand="0" w:evenHBand="0" w:firstRowFirstColumn="0" w:firstRowLastColumn="0" w:lastRowFirstColumn="0" w:lastRowLastColumn="0"/>
              <w:rPr>
                <w:rFonts w:ascii="Cambria Math" w:hAnsi="Cambria Math" w:cs="Cambria Math"/>
              </w:rPr>
            </w:pPr>
            <w:r>
              <w:t>Very Low</w:t>
            </w:r>
            <w:r>
              <w:rPr>
                <w:rFonts w:ascii="Cambria Math" w:hAnsi="Cambria Math" w:cs="Cambria Math"/>
              </w:rPr>
              <w:t xml:space="preserve"> </w:t>
            </w:r>
            <w:r w:rsidRPr="00AA3724">
              <w:rPr>
                <w:rFonts w:ascii="Cambria Math" w:hAnsi="Cambria Math" w:cs="Cambria Math"/>
              </w:rPr>
              <w:t xml:space="preserve">⊕ </w:t>
            </w:r>
          </w:p>
          <w:p w14:paraId="16E2920F" w14:textId="450FFC02" w:rsidR="00D54E7B" w:rsidRPr="00AA3724" w:rsidRDefault="00D54E7B" w:rsidP="00D54E7B">
            <w:pPr>
              <w:jc w:val="center"/>
              <w:cnfStyle w:val="000000000000" w:firstRow="0" w:lastRow="0" w:firstColumn="0" w:lastColumn="0" w:oddVBand="0" w:evenVBand="0" w:oddHBand="0" w:evenHBand="0" w:firstRowFirstColumn="0" w:firstRowLastColumn="0" w:lastRowFirstColumn="0" w:lastRowLastColumn="0"/>
            </w:pPr>
          </w:p>
        </w:tc>
      </w:tr>
      <w:tr w:rsidR="00D54E7B" w14:paraId="5C8FD549" w14:textId="77777777" w:rsidTr="00F62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34A6AC8E" w14:textId="77777777" w:rsidR="00D54E7B" w:rsidRDefault="00D54E7B" w:rsidP="00D54E7B">
            <w:pPr>
              <w:jc w:val="center"/>
              <w:rPr>
                <w:rFonts w:cstheme="minorHAnsi"/>
              </w:rPr>
            </w:pPr>
            <w:r w:rsidRPr="007D668F">
              <w:rPr>
                <w:rFonts w:cstheme="minorHAnsi"/>
                <w:b w:val="0"/>
                <w:bCs w:val="0"/>
              </w:rPr>
              <w:t xml:space="preserve">Dried cannabis </w:t>
            </w:r>
            <w:r>
              <w:rPr>
                <w:rFonts w:cstheme="minorHAnsi"/>
                <w:b w:val="0"/>
                <w:bCs w:val="0"/>
              </w:rPr>
              <w:t>(</w:t>
            </w:r>
            <w:r w:rsidRPr="007D668F">
              <w:rPr>
                <w:rFonts w:cstheme="minorHAnsi"/>
                <w:b w:val="0"/>
                <w:bCs w:val="0"/>
              </w:rPr>
              <w:t>THC</w:t>
            </w:r>
            <w:r>
              <w:rPr>
                <w:rFonts w:cstheme="minorHAnsi"/>
                <w:b w:val="0"/>
                <w:bCs w:val="0"/>
              </w:rPr>
              <w:t>±</w:t>
            </w:r>
            <w:r w:rsidRPr="007D668F">
              <w:rPr>
                <w:rFonts w:cstheme="minorHAnsi"/>
                <w:b w:val="0"/>
                <w:bCs w:val="0"/>
              </w:rPr>
              <w:t>CBD</w:t>
            </w:r>
            <w:r>
              <w:rPr>
                <w:rFonts w:cstheme="minorHAnsi"/>
                <w:b w:val="0"/>
                <w:bCs w:val="0"/>
              </w:rPr>
              <w:t>)</w:t>
            </w:r>
          </w:p>
          <w:p w14:paraId="521F2E71" w14:textId="058D2D22" w:rsidR="00D54E7B" w:rsidRPr="007D668F" w:rsidRDefault="00D54E7B" w:rsidP="00F62917">
            <w:pPr>
              <w:jc w:val="center"/>
              <w:rPr>
                <w:rFonts w:cstheme="minorHAnsi"/>
                <w:b w:val="0"/>
                <w:bCs w:val="0"/>
              </w:rPr>
            </w:pPr>
            <w:r w:rsidRPr="007D668F">
              <w:rPr>
                <w:rFonts w:cstheme="minorHAnsi"/>
                <w:b w:val="0"/>
                <w:bCs w:val="0"/>
              </w:rPr>
              <w:t>(</w:t>
            </w:r>
            <w:r>
              <w:rPr>
                <w:rFonts w:cstheme="minorHAnsi"/>
                <w:b w:val="0"/>
                <w:bCs w:val="0"/>
              </w:rPr>
              <w:t>2</w:t>
            </w:r>
            <w:r w:rsidRPr="007D668F">
              <w:rPr>
                <w:rFonts w:cstheme="minorHAnsi"/>
                <w:b w:val="0"/>
                <w:bCs w:val="0"/>
              </w:rPr>
              <w:t>)</w:t>
            </w:r>
          </w:p>
        </w:tc>
        <w:tc>
          <w:tcPr>
            <w:tcW w:w="714" w:type="pct"/>
          </w:tcPr>
          <w:p w14:paraId="114592AD" w14:textId="77777777" w:rsidR="00D54E7B" w:rsidRPr="009D24CF" w:rsidRDefault="00D54E7B" w:rsidP="00D54E7B">
            <w:pPr>
              <w:jc w:val="center"/>
              <w:cnfStyle w:val="000000100000" w:firstRow="0" w:lastRow="0" w:firstColumn="0" w:lastColumn="0" w:oddVBand="0" w:evenVBand="0" w:oddHBand="1" w:evenHBand="0" w:firstRowFirstColumn="0" w:firstRowLastColumn="0" w:lastRowFirstColumn="0" w:lastRowLastColumn="0"/>
            </w:pPr>
            <w:r w:rsidRPr="005008E9">
              <w:t>Crossover RCT (</w:t>
            </w:r>
            <w:r>
              <w:t>2</w:t>
            </w:r>
            <w:r w:rsidRPr="005008E9">
              <w:t>)</w:t>
            </w:r>
          </w:p>
        </w:tc>
        <w:tc>
          <w:tcPr>
            <w:tcW w:w="714" w:type="pct"/>
          </w:tcPr>
          <w:p w14:paraId="4FCF7FA2" w14:textId="3E77A372" w:rsidR="00D54E7B" w:rsidRDefault="00D54E7B" w:rsidP="00D54E7B">
            <w:pPr>
              <w:jc w:val="center"/>
              <w:cnfStyle w:val="000000100000" w:firstRow="0" w:lastRow="0" w:firstColumn="0" w:lastColumn="0" w:oddVBand="0" w:evenVBand="0" w:oddHBand="1" w:evenHBand="0" w:firstRowFirstColumn="0" w:firstRowLastColumn="0" w:lastRowFirstColumn="0" w:lastRowLastColumn="0"/>
            </w:pPr>
            <w:r w:rsidRPr="00AB694E">
              <w:t>Serious</w:t>
            </w:r>
            <w:r>
              <w:t xml:space="preserve"> </w:t>
            </w:r>
          </w:p>
          <w:p w14:paraId="3518A05C" w14:textId="775F9ECB" w:rsidR="00D54E7B" w:rsidRPr="0010299E" w:rsidRDefault="00D54E7B" w:rsidP="00D54E7B">
            <w:pPr>
              <w:jc w:val="center"/>
              <w:cnfStyle w:val="000000100000" w:firstRow="0" w:lastRow="0" w:firstColumn="0" w:lastColumn="0" w:oddVBand="0" w:evenVBand="0" w:oddHBand="1" w:evenHBand="0" w:firstRowFirstColumn="0" w:firstRowLastColumn="0" w:lastRowFirstColumn="0" w:lastRowLastColumn="0"/>
            </w:pPr>
            <w:r>
              <w:t>(2 high risk; 0 some concerns; 0 low risk)</w:t>
            </w:r>
          </w:p>
        </w:tc>
        <w:tc>
          <w:tcPr>
            <w:tcW w:w="714" w:type="pct"/>
          </w:tcPr>
          <w:p w14:paraId="0CCCB507" w14:textId="0EC62535" w:rsidR="00D54E7B" w:rsidRPr="0010299E" w:rsidRDefault="00D54E7B" w:rsidP="00D54E7B">
            <w:pPr>
              <w:jc w:val="center"/>
              <w:cnfStyle w:val="000000100000" w:firstRow="0" w:lastRow="0" w:firstColumn="0" w:lastColumn="0" w:oddVBand="0" w:evenVBand="0" w:oddHBand="1" w:evenHBand="0" w:firstRowFirstColumn="0" w:firstRowLastColumn="0" w:lastRowFirstColumn="0" w:lastRowLastColumn="0"/>
            </w:pPr>
            <w:r>
              <w:t>Not serious</w:t>
            </w:r>
          </w:p>
        </w:tc>
        <w:tc>
          <w:tcPr>
            <w:tcW w:w="714" w:type="pct"/>
          </w:tcPr>
          <w:p w14:paraId="24498B96" w14:textId="014BC872" w:rsidR="00D54E7B" w:rsidRPr="00BA2B8B" w:rsidRDefault="00D54E7B" w:rsidP="00D54E7B">
            <w:pPr>
              <w:jc w:val="center"/>
              <w:cnfStyle w:val="000000100000" w:firstRow="0" w:lastRow="0" w:firstColumn="0" w:lastColumn="0" w:oddVBand="0" w:evenVBand="0" w:oddHBand="1" w:evenHBand="0" w:firstRowFirstColumn="0" w:firstRowLastColumn="0" w:lastRowFirstColumn="0" w:lastRowLastColumn="0"/>
            </w:pPr>
            <w:r>
              <w:t>S</w:t>
            </w:r>
            <w:r w:rsidRPr="00663B1F">
              <w:t>erious</w:t>
            </w:r>
          </w:p>
        </w:tc>
        <w:tc>
          <w:tcPr>
            <w:tcW w:w="714" w:type="pct"/>
          </w:tcPr>
          <w:p w14:paraId="347CBC41" w14:textId="77777777" w:rsidR="00D54E7B" w:rsidRPr="0010299E" w:rsidRDefault="00D54E7B" w:rsidP="00D54E7B">
            <w:pPr>
              <w:jc w:val="center"/>
              <w:cnfStyle w:val="000000100000" w:firstRow="0" w:lastRow="0" w:firstColumn="0" w:lastColumn="0" w:oddVBand="0" w:evenVBand="0" w:oddHBand="1" w:evenHBand="0" w:firstRowFirstColumn="0" w:firstRowLastColumn="0" w:lastRowFirstColumn="0" w:lastRowLastColumn="0"/>
            </w:pPr>
            <w:r w:rsidRPr="0010299E">
              <w:t>Not suspected</w:t>
            </w:r>
          </w:p>
        </w:tc>
        <w:tc>
          <w:tcPr>
            <w:tcW w:w="714" w:type="pct"/>
          </w:tcPr>
          <w:p w14:paraId="304EDD62" w14:textId="77777777" w:rsidR="00D54E7B" w:rsidRPr="0010299E" w:rsidRDefault="00D54E7B" w:rsidP="00D54E7B">
            <w:pPr>
              <w:jc w:val="center"/>
              <w:cnfStyle w:val="000000100000" w:firstRow="0" w:lastRow="0" w:firstColumn="0" w:lastColumn="0" w:oddVBand="0" w:evenVBand="0" w:oddHBand="1" w:evenHBand="0" w:firstRowFirstColumn="0" w:firstRowLastColumn="0" w:lastRowFirstColumn="0" w:lastRowLastColumn="0"/>
            </w:pPr>
            <w:r>
              <w:t>Very L</w:t>
            </w:r>
            <w:r w:rsidRPr="0010299E">
              <w:t xml:space="preserve">ow </w:t>
            </w:r>
            <w:r w:rsidRPr="0010299E">
              <w:rPr>
                <w:rFonts w:ascii="Cambria Math" w:hAnsi="Cambria Math" w:cs="Cambria Math"/>
              </w:rPr>
              <w:t>⊕</w:t>
            </w:r>
          </w:p>
        </w:tc>
      </w:tr>
      <w:tr w:rsidR="00D54E7B" w14:paraId="208687EB" w14:textId="77777777" w:rsidTr="00F62917">
        <w:tc>
          <w:tcPr>
            <w:cnfStyle w:val="001000000000" w:firstRow="0" w:lastRow="0" w:firstColumn="1" w:lastColumn="0" w:oddVBand="0" w:evenVBand="0" w:oddHBand="0" w:evenHBand="0" w:firstRowFirstColumn="0" w:firstRowLastColumn="0" w:lastRowFirstColumn="0" w:lastRowLastColumn="0"/>
            <w:tcW w:w="714" w:type="pct"/>
          </w:tcPr>
          <w:p w14:paraId="6C52208D" w14:textId="3415BE36" w:rsidR="00D54E7B" w:rsidRDefault="00D54E7B" w:rsidP="00D54E7B">
            <w:pPr>
              <w:jc w:val="center"/>
              <w:rPr>
                <w:bCs w:val="0"/>
              </w:rPr>
            </w:pPr>
            <w:r w:rsidRPr="00374A8F">
              <w:rPr>
                <w:b w:val="0"/>
              </w:rPr>
              <w:t>Synthetic cannabinoid</w:t>
            </w:r>
            <w:r>
              <w:rPr>
                <w:b w:val="0"/>
              </w:rPr>
              <w:t xml:space="preserve"> (THC)</w:t>
            </w:r>
          </w:p>
          <w:p w14:paraId="14F645D0" w14:textId="0D51E99A" w:rsidR="00D54E7B" w:rsidRPr="00374A8F" w:rsidRDefault="00D54E7B" w:rsidP="00F62917">
            <w:pPr>
              <w:jc w:val="center"/>
              <w:rPr>
                <w:rFonts w:cstheme="minorHAnsi"/>
                <w:b w:val="0"/>
              </w:rPr>
            </w:pPr>
            <w:r>
              <w:rPr>
                <w:b w:val="0"/>
              </w:rPr>
              <w:t>(2)</w:t>
            </w:r>
          </w:p>
        </w:tc>
        <w:tc>
          <w:tcPr>
            <w:tcW w:w="714" w:type="pct"/>
          </w:tcPr>
          <w:p w14:paraId="46E0EC71" w14:textId="77777777" w:rsidR="00D54E7B" w:rsidRDefault="00D54E7B" w:rsidP="00D54E7B">
            <w:pPr>
              <w:jc w:val="center"/>
              <w:cnfStyle w:val="000000000000" w:firstRow="0" w:lastRow="0" w:firstColumn="0" w:lastColumn="0" w:oddVBand="0" w:evenVBand="0" w:oddHBand="0" w:evenHBand="0" w:firstRowFirstColumn="0" w:firstRowLastColumn="0" w:lastRowFirstColumn="0" w:lastRowLastColumn="0"/>
            </w:pPr>
            <w:r>
              <w:t>Parallel arm RCT (1)</w:t>
            </w:r>
          </w:p>
          <w:p w14:paraId="3DDB8783" w14:textId="77777777" w:rsidR="00D54E7B" w:rsidRDefault="00D54E7B" w:rsidP="00D54E7B">
            <w:pPr>
              <w:jc w:val="center"/>
              <w:cnfStyle w:val="000000000000" w:firstRow="0" w:lastRow="0" w:firstColumn="0" w:lastColumn="0" w:oddVBand="0" w:evenVBand="0" w:oddHBand="0" w:evenHBand="0" w:firstRowFirstColumn="0" w:firstRowLastColumn="0" w:lastRowFirstColumn="0" w:lastRowLastColumn="0"/>
            </w:pPr>
            <w:r>
              <w:t>Crossover RCT (1)</w:t>
            </w:r>
          </w:p>
        </w:tc>
        <w:tc>
          <w:tcPr>
            <w:tcW w:w="714" w:type="pct"/>
          </w:tcPr>
          <w:p w14:paraId="5EBAC6CA" w14:textId="0E9BDEA6" w:rsidR="00D54E7B" w:rsidRDefault="00D54E7B" w:rsidP="00D54E7B">
            <w:pPr>
              <w:jc w:val="center"/>
              <w:cnfStyle w:val="000000000000" w:firstRow="0" w:lastRow="0" w:firstColumn="0" w:lastColumn="0" w:oddVBand="0" w:evenVBand="0" w:oddHBand="0" w:evenHBand="0" w:firstRowFirstColumn="0" w:firstRowLastColumn="0" w:lastRowFirstColumn="0" w:lastRowLastColumn="0"/>
            </w:pPr>
            <w:r>
              <w:t>Serious</w:t>
            </w:r>
          </w:p>
          <w:p w14:paraId="29EA8BFA" w14:textId="38100928" w:rsidR="00D54E7B" w:rsidRDefault="00D54E7B" w:rsidP="00D54E7B">
            <w:pPr>
              <w:jc w:val="center"/>
              <w:cnfStyle w:val="000000000000" w:firstRow="0" w:lastRow="0" w:firstColumn="0" w:lastColumn="0" w:oddVBand="0" w:evenVBand="0" w:oddHBand="0" w:evenHBand="0" w:firstRowFirstColumn="0" w:firstRowLastColumn="0" w:lastRowFirstColumn="0" w:lastRowLastColumn="0"/>
            </w:pPr>
            <w:r>
              <w:t>(2 high risk; 0 some concerns; 0 low risk)</w:t>
            </w:r>
          </w:p>
        </w:tc>
        <w:tc>
          <w:tcPr>
            <w:tcW w:w="714" w:type="pct"/>
          </w:tcPr>
          <w:p w14:paraId="2608B211" w14:textId="501FCD18" w:rsidR="00D54E7B" w:rsidRDefault="00D54E7B" w:rsidP="00D54E7B">
            <w:pPr>
              <w:jc w:val="center"/>
              <w:cnfStyle w:val="000000000000" w:firstRow="0" w:lastRow="0" w:firstColumn="0" w:lastColumn="0" w:oddVBand="0" w:evenVBand="0" w:oddHBand="0" w:evenHBand="0" w:firstRowFirstColumn="0" w:firstRowLastColumn="0" w:lastRowFirstColumn="0" w:lastRowLastColumn="0"/>
            </w:pPr>
            <w:r w:rsidRPr="007E76DC">
              <w:t>Serious</w:t>
            </w:r>
          </w:p>
        </w:tc>
        <w:tc>
          <w:tcPr>
            <w:tcW w:w="714" w:type="pct"/>
          </w:tcPr>
          <w:p w14:paraId="36A3EB27" w14:textId="3AD97646" w:rsidR="00D54E7B" w:rsidRDefault="00D54E7B" w:rsidP="00D54E7B">
            <w:pPr>
              <w:jc w:val="center"/>
              <w:cnfStyle w:val="000000000000" w:firstRow="0" w:lastRow="0" w:firstColumn="0" w:lastColumn="0" w:oddVBand="0" w:evenVBand="0" w:oddHBand="0" w:evenHBand="0" w:firstRowFirstColumn="0" w:firstRowLastColumn="0" w:lastRowFirstColumn="0" w:lastRowLastColumn="0"/>
            </w:pPr>
            <w:r>
              <w:t>Not serious, borderline</w:t>
            </w:r>
          </w:p>
        </w:tc>
        <w:tc>
          <w:tcPr>
            <w:tcW w:w="714" w:type="pct"/>
          </w:tcPr>
          <w:p w14:paraId="4980FAC1" w14:textId="77777777" w:rsidR="00D54E7B" w:rsidRDefault="00D54E7B" w:rsidP="00D54E7B">
            <w:pPr>
              <w:jc w:val="center"/>
              <w:cnfStyle w:val="000000000000" w:firstRow="0" w:lastRow="0" w:firstColumn="0" w:lastColumn="0" w:oddVBand="0" w:evenVBand="0" w:oddHBand="0" w:evenHBand="0" w:firstRowFirstColumn="0" w:firstRowLastColumn="0" w:lastRowFirstColumn="0" w:lastRowLastColumn="0"/>
            </w:pPr>
            <w:r w:rsidRPr="00743F56">
              <w:t>Not suspected</w:t>
            </w:r>
          </w:p>
        </w:tc>
        <w:tc>
          <w:tcPr>
            <w:tcW w:w="714" w:type="pct"/>
          </w:tcPr>
          <w:p w14:paraId="742091CE" w14:textId="77777777" w:rsidR="00D54E7B" w:rsidRDefault="00D54E7B" w:rsidP="00D54E7B">
            <w:pPr>
              <w:jc w:val="center"/>
              <w:cnfStyle w:val="000000000000" w:firstRow="0" w:lastRow="0" w:firstColumn="0" w:lastColumn="0" w:oddVBand="0" w:evenVBand="0" w:oddHBand="0" w:evenHBand="0" w:firstRowFirstColumn="0" w:firstRowLastColumn="0" w:lastRowFirstColumn="0" w:lastRowLastColumn="0"/>
            </w:pPr>
            <w:r>
              <w:t xml:space="preserve">Very Low </w:t>
            </w:r>
            <w:r w:rsidRPr="00743F56">
              <w:rPr>
                <w:rFonts w:ascii="Cambria Math" w:hAnsi="Cambria Math" w:cs="Cambria Math"/>
              </w:rPr>
              <w:t>⊕</w:t>
            </w:r>
          </w:p>
        </w:tc>
      </w:tr>
    </w:tbl>
    <w:p w14:paraId="70FD735A" w14:textId="19CE379C" w:rsidR="00115987" w:rsidRDefault="00055B90" w:rsidP="00115987">
      <w:pPr>
        <w:autoSpaceDE w:val="0"/>
        <w:autoSpaceDN w:val="0"/>
        <w:adjustRightInd w:val="0"/>
        <w:spacing w:after="0" w:line="240" w:lineRule="auto"/>
        <w:jc w:val="both"/>
        <w:rPr>
          <w:rFonts w:cstheme="minorHAnsi"/>
          <w:szCs w:val="20"/>
        </w:rPr>
      </w:pPr>
      <w:r w:rsidRPr="009B4D43">
        <w:rPr>
          <w:rFonts w:cstheme="minorHAnsi"/>
          <w:szCs w:val="20"/>
        </w:rPr>
        <w:t xml:space="preserve">Notes. </w:t>
      </w:r>
      <w:r w:rsidR="000773F9">
        <w:rPr>
          <w:rFonts w:cstheme="minorHAnsi"/>
          <w:szCs w:val="20"/>
        </w:rPr>
        <w:t>CBD = C</w:t>
      </w:r>
      <w:r w:rsidR="000773F9" w:rsidRPr="00374A8F">
        <w:rPr>
          <w:rFonts w:cstheme="minorHAnsi"/>
        </w:rPr>
        <w:t>annabidiol</w:t>
      </w:r>
      <w:r w:rsidR="000773F9">
        <w:rPr>
          <w:rFonts w:cstheme="minorHAnsi"/>
        </w:rPr>
        <w:t>.</w:t>
      </w:r>
      <w:r w:rsidR="000773F9" w:rsidRPr="00374A8F">
        <w:rPr>
          <w:rFonts w:cstheme="minorHAnsi"/>
        </w:rPr>
        <w:t xml:space="preserve"> </w:t>
      </w:r>
      <w:r w:rsidRPr="009B4D43">
        <w:rPr>
          <w:rFonts w:cstheme="minorHAnsi"/>
          <w:szCs w:val="20"/>
        </w:rPr>
        <w:t>RCT</w:t>
      </w:r>
      <w:r w:rsidR="00C26F27">
        <w:rPr>
          <w:rFonts w:cstheme="minorHAnsi"/>
          <w:szCs w:val="20"/>
        </w:rPr>
        <w:t xml:space="preserve"> </w:t>
      </w:r>
      <w:r w:rsidRPr="009B4D43">
        <w:rPr>
          <w:rFonts w:cstheme="minorHAnsi"/>
          <w:szCs w:val="20"/>
        </w:rPr>
        <w:t xml:space="preserve">= Randomised </w:t>
      </w:r>
      <w:r w:rsidR="000C09EA">
        <w:rPr>
          <w:rFonts w:cstheme="minorHAnsi"/>
          <w:szCs w:val="20"/>
        </w:rPr>
        <w:t>c</w:t>
      </w:r>
      <w:r w:rsidRPr="009B4D43">
        <w:rPr>
          <w:rFonts w:cstheme="minorHAnsi"/>
          <w:szCs w:val="20"/>
        </w:rPr>
        <w:t xml:space="preserve">ontrolled </w:t>
      </w:r>
      <w:r w:rsidR="000C09EA">
        <w:rPr>
          <w:rFonts w:cstheme="minorHAnsi"/>
          <w:szCs w:val="20"/>
        </w:rPr>
        <w:t>t</w:t>
      </w:r>
      <w:r w:rsidRPr="009B4D43">
        <w:rPr>
          <w:rFonts w:cstheme="minorHAnsi"/>
          <w:szCs w:val="20"/>
        </w:rPr>
        <w:t xml:space="preserve">rial. </w:t>
      </w:r>
      <w:r w:rsidR="00843119">
        <w:rPr>
          <w:rFonts w:cstheme="minorHAnsi"/>
          <w:szCs w:val="20"/>
        </w:rPr>
        <w:t xml:space="preserve">RoB = Risk of bias. </w:t>
      </w:r>
      <w:r w:rsidR="00B32F55">
        <w:rPr>
          <w:rFonts w:cstheme="minorHAnsi"/>
        </w:rPr>
        <w:t xml:space="preserve">THC = </w:t>
      </w:r>
      <w:r w:rsidR="00B32F55">
        <w:t>Tetrahydrocannabinol.</w:t>
      </w:r>
      <w:r w:rsidR="00B32F55" w:rsidRPr="009B4D43">
        <w:rPr>
          <w:rFonts w:cstheme="minorHAnsi"/>
          <w:szCs w:val="20"/>
        </w:rPr>
        <w:t xml:space="preserve"> </w:t>
      </w:r>
      <w:r w:rsidRPr="009B4D43">
        <w:rPr>
          <w:rFonts w:cstheme="minorHAnsi"/>
          <w:szCs w:val="20"/>
        </w:rPr>
        <w:t>1</w:t>
      </w:r>
      <w:r w:rsidR="000773F9">
        <w:rPr>
          <w:rFonts w:cstheme="minorHAnsi"/>
          <w:szCs w:val="20"/>
        </w:rPr>
        <w:t>.</w:t>
      </w:r>
      <w:r w:rsidRPr="009B4D43">
        <w:rPr>
          <w:rFonts w:cstheme="minorHAnsi"/>
          <w:szCs w:val="20"/>
        </w:rPr>
        <w:t xml:space="preserve"> GRADE summary includes the risk of bias assessments, precision of the effect estimates, consistency of the individual study results, how directly the evidence answers the question of interest, and risk of publication or reporting biases (NHMRC, 2019).</w:t>
      </w:r>
      <w:r w:rsidR="00405211">
        <w:rPr>
          <w:rFonts w:cstheme="minorHAnsi"/>
          <w:szCs w:val="20"/>
        </w:rPr>
        <w:t xml:space="preserve"> </w:t>
      </w:r>
      <w:r w:rsidR="000773F9">
        <w:rPr>
          <w:rFonts w:cstheme="minorHAnsi"/>
          <w:szCs w:val="20"/>
        </w:rPr>
        <w:t xml:space="preserve">2. </w:t>
      </w:r>
      <w:r w:rsidR="00115987" w:rsidRPr="00B5038F">
        <w:rPr>
          <w:rFonts w:cstheme="minorHAnsi"/>
          <w:szCs w:val="20"/>
        </w:rPr>
        <w:t xml:space="preserve">Commonly used symbols to describe </w:t>
      </w:r>
      <w:r w:rsidR="00115987">
        <w:rPr>
          <w:rFonts w:cstheme="minorHAnsi"/>
          <w:szCs w:val="20"/>
        </w:rPr>
        <w:t xml:space="preserve">the </w:t>
      </w:r>
      <w:r w:rsidR="00115987" w:rsidRPr="00B5038F">
        <w:rPr>
          <w:rFonts w:cstheme="minorHAnsi"/>
          <w:szCs w:val="20"/>
        </w:rPr>
        <w:t xml:space="preserve">certainty </w:t>
      </w:r>
      <w:r w:rsidR="00115987">
        <w:rPr>
          <w:rFonts w:cstheme="minorHAnsi"/>
          <w:szCs w:val="20"/>
        </w:rPr>
        <w:t>of</w:t>
      </w:r>
      <w:r w:rsidR="00115987" w:rsidRPr="00B5038F">
        <w:rPr>
          <w:rFonts w:cstheme="minorHAnsi"/>
          <w:szCs w:val="20"/>
        </w:rPr>
        <w:t xml:space="preserve"> evidence in </w:t>
      </w:r>
      <w:r w:rsidR="00115987">
        <w:rPr>
          <w:rFonts w:cstheme="minorHAnsi"/>
          <w:szCs w:val="20"/>
        </w:rPr>
        <w:t xml:space="preserve">evidence </w:t>
      </w:r>
      <w:r w:rsidR="00115987" w:rsidRPr="00B5038F">
        <w:rPr>
          <w:rFonts w:cstheme="minorHAnsi"/>
          <w:szCs w:val="20"/>
        </w:rPr>
        <w:t xml:space="preserve">profiles: </w:t>
      </w:r>
      <w:r w:rsidR="00115987">
        <w:rPr>
          <w:rFonts w:cstheme="minorHAnsi"/>
          <w:szCs w:val="20"/>
        </w:rPr>
        <w:t>H</w:t>
      </w:r>
      <w:r w:rsidR="00115987" w:rsidRPr="00B5038F">
        <w:rPr>
          <w:rFonts w:cstheme="minorHAnsi"/>
          <w:szCs w:val="20"/>
        </w:rPr>
        <w:t xml:space="preserve">igh </w:t>
      </w:r>
      <w:r w:rsidR="00115987" w:rsidRPr="00B5038F">
        <w:rPr>
          <w:rFonts w:ascii="Cambria Math" w:hAnsi="Cambria Math" w:cs="Cambria Math"/>
          <w:szCs w:val="20"/>
        </w:rPr>
        <w:t>⊕⊕⊕⊕</w:t>
      </w:r>
      <w:r w:rsidR="00115987">
        <w:rPr>
          <w:rFonts w:cstheme="minorHAnsi"/>
          <w:szCs w:val="20"/>
        </w:rPr>
        <w:t>, M</w:t>
      </w:r>
      <w:r w:rsidR="00115987" w:rsidRPr="00B5038F">
        <w:rPr>
          <w:rFonts w:cstheme="minorHAnsi"/>
          <w:szCs w:val="20"/>
        </w:rPr>
        <w:t xml:space="preserve">oderate </w:t>
      </w:r>
      <w:r w:rsidR="00115987" w:rsidRPr="00B5038F">
        <w:rPr>
          <w:rFonts w:ascii="Cambria Math" w:hAnsi="Cambria Math" w:cs="Cambria Math"/>
          <w:szCs w:val="20"/>
        </w:rPr>
        <w:t>⊕⊕⊕</w:t>
      </w:r>
      <w:r w:rsidR="00115987" w:rsidRPr="00B5038F">
        <w:rPr>
          <w:rFonts w:cstheme="minorHAnsi"/>
          <w:szCs w:val="20"/>
        </w:rPr>
        <w:t xml:space="preserve">, </w:t>
      </w:r>
      <w:r w:rsidR="00115987">
        <w:rPr>
          <w:rFonts w:cstheme="minorHAnsi"/>
          <w:szCs w:val="20"/>
        </w:rPr>
        <w:t>L</w:t>
      </w:r>
      <w:r w:rsidR="00115987" w:rsidRPr="00B5038F">
        <w:rPr>
          <w:rFonts w:cstheme="minorHAnsi"/>
          <w:szCs w:val="20"/>
        </w:rPr>
        <w:t xml:space="preserve">ow </w:t>
      </w:r>
      <w:r w:rsidR="00115987" w:rsidRPr="00B5038F">
        <w:rPr>
          <w:rFonts w:ascii="Cambria Math" w:hAnsi="Cambria Math" w:cs="Cambria Math"/>
          <w:szCs w:val="20"/>
        </w:rPr>
        <w:t>⊕⊕</w:t>
      </w:r>
      <w:r w:rsidR="00115987">
        <w:rPr>
          <w:rFonts w:ascii="Cambria Math" w:hAnsi="Cambria Math" w:cs="Cambria Math"/>
          <w:szCs w:val="20"/>
        </w:rPr>
        <w:t>,</w:t>
      </w:r>
      <w:r w:rsidR="00115987" w:rsidRPr="00B5038F">
        <w:rPr>
          <w:rFonts w:cstheme="minorHAnsi"/>
          <w:szCs w:val="20"/>
        </w:rPr>
        <w:t xml:space="preserve"> and </w:t>
      </w:r>
      <w:r w:rsidR="00115987">
        <w:rPr>
          <w:rFonts w:cstheme="minorHAnsi"/>
          <w:szCs w:val="20"/>
        </w:rPr>
        <w:t>V</w:t>
      </w:r>
      <w:r w:rsidR="00115987" w:rsidRPr="00B5038F">
        <w:rPr>
          <w:rFonts w:cstheme="minorHAnsi"/>
          <w:szCs w:val="20"/>
        </w:rPr>
        <w:t xml:space="preserve">ery </w:t>
      </w:r>
      <w:r w:rsidR="00115987">
        <w:rPr>
          <w:rFonts w:cstheme="minorHAnsi"/>
          <w:szCs w:val="20"/>
        </w:rPr>
        <w:t>L</w:t>
      </w:r>
      <w:r w:rsidR="00115987" w:rsidRPr="00B5038F">
        <w:rPr>
          <w:rFonts w:cstheme="minorHAnsi"/>
          <w:szCs w:val="20"/>
        </w:rPr>
        <w:t xml:space="preserve">ow </w:t>
      </w:r>
      <w:r w:rsidR="00115987" w:rsidRPr="00B5038F">
        <w:rPr>
          <w:rFonts w:ascii="Cambria Math" w:hAnsi="Cambria Math" w:cs="Cambria Math"/>
          <w:szCs w:val="20"/>
        </w:rPr>
        <w:t>⊕</w:t>
      </w:r>
      <w:r w:rsidR="00115987" w:rsidRPr="00B5038F">
        <w:rPr>
          <w:rFonts w:cstheme="minorHAnsi"/>
          <w:szCs w:val="20"/>
        </w:rPr>
        <w:t>.</w:t>
      </w:r>
    </w:p>
    <w:p w14:paraId="4043ACC0" w14:textId="0F780D34" w:rsidR="0090026B" w:rsidRPr="009B4D43" w:rsidRDefault="0090026B" w:rsidP="0090026B">
      <w:pPr>
        <w:pStyle w:val="Heading2"/>
      </w:pPr>
      <w:bookmarkStart w:id="118" w:name="_Toc165018182"/>
      <w:r w:rsidRPr="009B4D43">
        <w:t xml:space="preserve">Strengths and </w:t>
      </w:r>
      <w:r>
        <w:t>l</w:t>
      </w:r>
      <w:r w:rsidRPr="009B4D43">
        <w:t>imitations</w:t>
      </w:r>
      <w:bookmarkEnd w:id="118"/>
    </w:p>
    <w:p w14:paraId="7F4712BE" w14:textId="77777777" w:rsidR="0090026B" w:rsidRDefault="0090026B" w:rsidP="0090026B">
      <w:pPr>
        <w:jc w:val="both"/>
        <w:rPr>
          <w:lang w:val="en-US"/>
        </w:rPr>
      </w:pPr>
      <w:r w:rsidRPr="00EB21D5">
        <w:rPr>
          <w:lang w:val="en-US"/>
        </w:rPr>
        <w:t xml:space="preserve">Strengths of the REA include the focus on peer-reviewed </w:t>
      </w:r>
      <w:r>
        <w:rPr>
          <w:lang w:val="en-US"/>
        </w:rPr>
        <w:t>L</w:t>
      </w:r>
      <w:r w:rsidRPr="00EB21D5">
        <w:rPr>
          <w:lang w:val="en-US"/>
        </w:rPr>
        <w:t xml:space="preserve">evel I and </w:t>
      </w:r>
      <w:r>
        <w:rPr>
          <w:lang w:val="en-US"/>
        </w:rPr>
        <w:t>L</w:t>
      </w:r>
      <w:r w:rsidRPr="00EB21D5">
        <w:rPr>
          <w:lang w:val="en-US"/>
        </w:rPr>
        <w:t xml:space="preserve">evel II </w:t>
      </w:r>
      <w:r w:rsidRPr="00DF7A15">
        <w:rPr>
          <w:lang w:val="en-US"/>
        </w:rPr>
        <w:t xml:space="preserve">evidence </w:t>
      </w:r>
      <w:r>
        <w:rPr>
          <w:lang w:val="en-US"/>
        </w:rPr>
        <w:t>(</w:t>
      </w:r>
      <w:r w:rsidRPr="00DF7A15">
        <w:rPr>
          <w:lang w:val="en-US"/>
        </w:rPr>
        <w:t>NHMRC, 2009</w:t>
      </w:r>
      <w:r>
        <w:rPr>
          <w:lang w:val="en-US"/>
        </w:rPr>
        <w:t>)</w:t>
      </w:r>
      <w:r w:rsidRPr="00DF7A15">
        <w:rPr>
          <w:lang w:val="en-US"/>
        </w:rPr>
        <w:t xml:space="preserve"> from</w:t>
      </w:r>
      <w:r w:rsidRPr="00EB21D5">
        <w:rPr>
          <w:lang w:val="en-US"/>
        </w:rPr>
        <w:t xml:space="preserve"> scientific journals in the fields of health, medicine, psychiatry, and psychology (including a specialist database developed by the US Department of Veterans’ Affairs focusing on literature rel</w:t>
      </w:r>
      <w:r>
        <w:rPr>
          <w:lang w:val="en-US"/>
        </w:rPr>
        <w:t xml:space="preserve">evant to veterans with PTSD). </w:t>
      </w:r>
      <w:r w:rsidRPr="00EB21D5">
        <w:rPr>
          <w:lang w:val="en-US"/>
        </w:rPr>
        <w:t>Limitations of the REA include the exclusion of potentially relevant papers that were published prior to 2017 and the exclusion of non-English language papers.</w:t>
      </w:r>
      <w:r>
        <w:rPr>
          <w:lang w:val="en-US"/>
        </w:rPr>
        <w:t xml:space="preserve"> </w:t>
      </w:r>
    </w:p>
    <w:p w14:paraId="64A710C9" w14:textId="32AB9BF6" w:rsidR="0090026B" w:rsidRPr="00EB21D5" w:rsidRDefault="0090026B" w:rsidP="0090026B">
      <w:pPr>
        <w:jc w:val="both"/>
        <w:rPr>
          <w:lang w:val="en-US"/>
        </w:rPr>
      </w:pPr>
      <w:r w:rsidRPr="00C33349">
        <w:t xml:space="preserve">The </w:t>
      </w:r>
      <w:r w:rsidR="004361E5">
        <w:t xml:space="preserve">medicinal cannabis </w:t>
      </w:r>
      <w:r w:rsidRPr="00C33349">
        <w:t xml:space="preserve">studies </w:t>
      </w:r>
      <w:r>
        <w:t xml:space="preserve">included in the REA </w:t>
      </w:r>
      <w:r w:rsidRPr="00C33349">
        <w:t xml:space="preserve">employed various participant samples, various treatment regimens, and various </w:t>
      </w:r>
      <w:r>
        <w:t xml:space="preserve">outcome </w:t>
      </w:r>
      <w:r w:rsidRPr="00313961">
        <w:t>measures. Some studies were based on small participant samples, and there were concerns as to whether the studies were adequately powered to detect the effect/s of the intervention/s.</w:t>
      </w:r>
      <w:r w:rsidR="00623415">
        <w:t xml:space="preserve"> Other studies had high rates of study dropout, which raised </w:t>
      </w:r>
      <w:r w:rsidR="000B59C9">
        <w:t xml:space="preserve">significant </w:t>
      </w:r>
      <w:r w:rsidR="00623415">
        <w:t xml:space="preserve">concerns </w:t>
      </w:r>
      <w:r w:rsidR="000B59C9">
        <w:t xml:space="preserve">about </w:t>
      </w:r>
      <w:r w:rsidR="00F00413">
        <w:t xml:space="preserve">the </w:t>
      </w:r>
      <w:r w:rsidR="000B59C9">
        <w:t xml:space="preserve">risk of bias </w:t>
      </w:r>
      <w:r w:rsidR="00C85810">
        <w:t xml:space="preserve">due to </w:t>
      </w:r>
      <w:r w:rsidR="000B59C9">
        <w:t>missing outcome data</w:t>
      </w:r>
      <w:r w:rsidR="00623415">
        <w:t xml:space="preserve">. </w:t>
      </w:r>
      <w:r w:rsidRPr="00313961">
        <w:rPr>
          <w:lang w:val="en-US"/>
        </w:rPr>
        <w:t>Further methodologically robust research on medicinal cannabis interventions (conducted with larger cohorts over longer follow-up periods) is warranted.</w:t>
      </w:r>
    </w:p>
    <w:p w14:paraId="783BE255" w14:textId="5EAC4B4E" w:rsidR="0090026B" w:rsidRPr="009B4D43" w:rsidRDefault="0090026B" w:rsidP="0090026B">
      <w:pPr>
        <w:pStyle w:val="Heading2"/>
      </w:pPr>
      <w:bookmarkStart w:id="119" w:name="_Toc165018183"/>
      <w:r>
        <w:t>Conclusions and recommendations for future r</w:t>
      </w:r>
      <w:r w:rsidRPr="009B4D43">
        <w:t>esearch</w:t>
      </w:r>
      <w:bookmarkEnd w:id="119"/>
    </w:p>
    <w:p w14:paraId="20859062" w14:textId="1A16DCC8" w:rsidR="00C56507" w:rsidRDefault="00C56507" w:rsidP="00C56507">
      <w:pPr>
        <w:jc w:val="both"/>
      </w:pPr>
      <w:r w:rsidRPr="00C33349">
        <w:t xml:space="preserve">It is difficult to draw conclusions </w:t>
      </w:r>
      <w:r>
        <w:t xml:space="preserve">and recommendations </w:t>
      </w:r>
      <w:r w:rsidRPr="00C33349">
        <w:t xml:space="preserve">regarding medicinal cannabis interventions from the body of evidence considered by the REA. </w:t>
      </w:r>
      <w:r>
        <w:t>Two studies examined standalone</w:t>
      </w:r>
      <w:r>
        <w:rPr>
          <w:rFonts w:eastAsia="Times New Roman" w:cstheme="minorHAnsi"/>
          <w:szCs w:val="20"/>
          <w:lang w:eastAsia="en-AU"/>
        </w:rPr>
        <w:t xml:space="preserve"> medicinal cannabis interventions for participants with anxiety disorders: </w:t>
      </w:r>
      <w:r w:rsidR="000E405D">
        <w:rPr>
          <w:rFonts w:eastAsia="Times New Roman" w:cstheme="minorHAnsi"/>
          <w:szCs w:val="20"/>
          <w:lang w:eastAsia="en-AU"/>
        </w:rPr>
        <w:t xml:space="preserve">in one study, </w:t>
      </w:r>
      <w:r w:rsidR="001251AB" w:rsidRPr="001251AB">
        <w:rPr>
          <w:rFonts w:eastAsia="Times New Roman" w:cstheme="minorHAnsi"/>
          <w:szCs w:val="20"/>
          <w:lang w:eastAsia="en-AU"/>
        </w:rPr>
        <w:t>medicinal cannabis appeared to improve treatment outcomes; in the other study, the treatment effects were not significant</w:t>
      </w:r>
      <w:r w:rsidR="00E853EF" w:rsidRPr="00E853EF">
        <w:rPr>
          <w:rFonts w:eastAsia="Times New Roman" w:cstheme="minorHAnsi"/>
          <w:szCs w:val="20"/>
          <w:lang w:eastAsia="en-AU"/>
        </w:rPr>
        <w:t>.</w:t>
      </w:r>
      <w:r w:rsidR="00E853EF" w:rsidRPr="00E853EF" w:rsidDel="00843C3E">
        <w:rPr>
          <w:rFonts w:eastAsia="Times New Roman" w:cstheme="minorHAnsi"/>
          <w:szCs w:val="20"/>
          <w:lang w:eastAsia="en-AU"/>
        </w:rPr>
        <w:t xml:space="preserve"> </w:t>
      </w:r>
      <w:r w:rsidR="0062558D">
        <w:rPr>
          <w:rFonts w:eastAsia="Times New Roman" w:cstheme="minorHAnsi"/>
          <w:szCs w:val="20"/>
          <w:lang w:eastAsia="en-AU"/>
        </w:rPr>
        <w:t>B</w:t>
      </w:r>
      <w:r>
        <w:rPr>
          <w:rFonts w:eastAsia="Times New Roman" w:cstheme="minorHAnsi"/>
          <w:szCs w:val="20"/>
          <w:lang w:eastAsia="en-AU"/>
        </w:rPr>
        <w:t xml:space="preserve">oth studies had a high risk of bias. No studies </w:t>
      </w:r>
      <w:r>
        <w:rPr>
          <w:rFonts w:eastAsia="Times New Roman" w:cstheme="minorHAnsi"/>
          <w:szCs w:val="20"/>
          <w:lang w:eastAsia="en-AU"/>
        </w:rPr>
        <w:lastRenderedPageBreak/>
        <w:t>included in the REA examined a combined medicinal cannabis intervention for anxiety disorders</w:t>
      </w:r>
      <w:r w:rsidR="00481F7F">
        <w:rPr>
          <w:rFonts w:eastAsia="Times New Roman" w:cstheme="minorHAnsi"/>
          <w:szCs w:val="20"/>
          <w:lang w:eastAsia="en-AU"/>
        </w:rPr>
        <w:t xml:space="preserve">. Additionally, </w:t>
      </w:r>
      <w:r w:rsidR="000B59C9">
        <w:rPr>
          <w:rFonts w:eastAsia="Times New Roman" w:cstheme="minorHAnsi"/>
          <w:szCs w:val="20"/>
          <w:lang w:eastAsia="en-AU"/>
        </w:rPr>
        <w:t xml:space="preserve">no studies examined </w:t>
      </w:r>
      <w:r>
        <w:t xml:space="preserve">medicinal cannabis interventions (either standalone or combined) for mood/depressive disorders. </w:t>
      </w:r>
      <w:r w:rsidRPr="005E6E5B">
        <w:rPr>
          <w:rFonts w:eastAsia="Times New Roman" w:cstheme="minorHAnsi"/>
          <w:szCs w:val="20"/>
          <w:lang w:eastAsia="en-AU"/>
        </w:rPr>
        <w:t>Three studies included in the REA examined a standalone</w:t>
      </w:r>
      <w:r w:rsidRPr="005E6E5B">
        <w:t xml:space="preserve"> medicinal cannabis intervention for substance-related and addictive disorders: </w:t>
      </w:r>
      <w:r w:rsidR="00585B04" w:rsidRPr="00F62917">
        <w:t>all three studies had a high risk of bias. I</w:t>
      </w:r>
      <w:r w:rsidRPr="005E6E5B">
        <w:t>n two studies, medicinal cannabis appeared to improve treatment outcomes</w:t>
      </w:r>
      <w:r w:rsidR="00585B04" w:rsidRPr="00F62917">
        <w:t>; i</w:t>
      </w:r>
      <w:r w:rsidRPr="005E6E5B">
        <w:t xml:space="preserve">n the </w:t>
      </w:r>
      <w:r w:rsidR="00B725CF" w:rsidRPr="00F62917">
        <w:t>third</w:t>
      </w:r>
      <w:r w:rsidRPr="005E6E5B">
        <w:t xml:space="preserve"> study, the treatment effects were not significant.</w:t>
      </w:r>
      <w:r w:rsidRPr="00956A17">
        <w:t xml:space="preserve"> </w:t>
      </w:r>
      <w:r>
        <w:t>S</w:t>
      </w:r>
      <w:r w:rsidRPr="00956A17">
        <w:t>ix s</w:t>
      </w:r>
      <w:r>
        <w:t>tudies</w:t>
      </w:r>
      <w:r w:rsidRPr="00956A17">
        <w:t xml:space="preserve"> examined a combined medicinal cannabis and psychotherapy intervention for participants with substance-related disorders</w:t>
      </w:r>
      <w:r>
        <w:t xml:space="preserve">. The findings from these studies were </w:t>
      </w:r>
      <w:r w:rsidRPr="00956A17">
        <w:t xml:space="preserve">mixed: some studies showed an effect of the treatment, and other studies failed show a treatment effect. </w:t>
      </w:r>
      <w:r>
        <w:t xml:space="preserve">For example, there were two studies that examined a combined psychotherapy and </w:t>
      </w:r>
      <w:r w:rsidR="002B58F2">
        <w:t xml:space="preserve">medicinal </w:t>
      </w:r>
      <w:r w:rsidRPr="00C67F88">
        <w:t xml:space="preserve">cannabis </w:t>
      </w:r>
      <w:r>
        <w:t>(</w:t>
      </w:r>
      <w:r w:rsidR="00ED2BF1">
        <w:t xml:space="preserve">nabiximols </w:t>
      </w:r>
      <w:r>
        <w:t xml:space="preserve">oromucosal spray) intervention for the treatment of cannabis use disorder. </w:t>
      </w:r>
      <w:r w:rsidR="00623415">
        <w:t xml:space="preserve">One study </w:t>
      </w:r>
      <w:r w:rsidR="000B59C9">
        <w:t>report</w:t>
      </w:r>
      <w:r w:rsidR="00623415">
        <w:t>ed th</w:t>
      </w:r>
      <w:r w:rsidR="000B59C9">
        <w:t>at</w:t>
      </w:r>
      <w:r w:rsidR="00ED2BF1">
        <w:t xml:space="preserve"> medicinal cannabis</w:t>
      </w:r>
      <w:r w:rsidR="00623415">
        <w:t xml:space="preserve"> treatment was superior to placebo; the other study failed to </w:t>
      </w:r>
      <w:r w:rsidR="00064B83">
        <w:t>demonstrate</w:t>
      </w:r>
      <w:r w:rsidR="00623415">
        <w:t xml:space="preserve"> benefits of </w:t>
      </w:r>
      <w:r w:rsidR="00ED2BF1">
        <w:t xml:space="preserve">medicinal </w:t>
      </w:r>
      <w:r w:rsidR="00623415">
        <w:t xml:space="preserve">cannabis treatment over placebo. </w:t>
      </w:r>
      <w:r>
        <w:t xml:space="preserve">Both studies were judged to have </w:t>
      </w:r>
      <w:r w:rsidR="00763045">
        <w:t>a high</w:t>
      </w:r>
      <w:r>
        <w:t xml:space="preserve"> risk of bias</w:t>
      </w:r>
      <w:r w:rsidR="000B59C9">
        <w:t>; primar</w:t>
      </w:r>
      <w:r w:rsidR="00064B83">
        <w:t>il</w:t>
      </w:r>
      <w:r w:rsidR="000B59C9">
        <w:t>y due to missing outcome data</w:t>
      </w:r>
      <w:r>
        <w:t xml:space="preserve">: </w:t>
      </w:r>
      <w:r w:rsidR="001C27DF" w:rsidRPr="00A44D1D">
        <w:t xml:space="preserve">approximately </w:t>
      </w:r>
      <w:r w:rsidRPr="00A44D1D">
        <w:t xml:space="preserve">50% of </w:t>
      </w:r>
      <w:r w:rsidR="00A44D1D" w:rsidRPr="00F62917">
        <w:t xml:space="preserve">the </w:t>
      </w:r>
      <w:r w:rsidRPr="00A44D1D">
        <w:t xml:space="preserve">participants dropped out before the end of the 12-week </w:t>
      </w:r>
      <w:r w:rsidR="00623415" w:rsidRPr="00A44D1D">
        <w:t>tr</w:t>
      </w:r>
      <w:r w:rsidR="000B59C9" w:rsidRPr="00A44D1D">
        <w:t>eatment</w:t>
      </w:r>
      <w:r w:rsidR="00623415" w:rsidRPr="00A44D1D">
        <w:t>.</w:t>
      </w:r>
      <w:r>
        <w:t xml:space="preserve">  </w:t>
      </w:r>
    </w:p>
    <w:p w14:paraId="3F00C19D" w14:textId="293A3E24" w:rsidR="00C56507" w:rsidRPr="006F6ABC" w:rsidRDefault="00C56507" w:rsidP="00C56507">
      <w:pPr>
        <w:jc w:val="both"/>
      </w:pPr>
      <w:r>
        <w:t>T</w:t>
      </w:r>
      <w:r w:rsidRPr="00C256F6">
        <w:t xml:space="preserve">here is a paucity of high-quality evidence examining </w:t>
      </w:r>
      <w:r>
        <w:t>medicinal cannabis</w:t>
      </w:r>
      <w:r w:rsidRPr="00C256F6">
        <w:t xml:space="preserve"> </w:t>
      </w:r>
      <w:r>
        <w:t>interventions</w:t>
      </w:r>
      <w:r w:rsidRPr="00C256F6">
        <w:t xml:space="preserve"> in </w:t>
      </w:r>
      <w:r>
        <w:t xml:space="preserve">anxiety disorders, mood/depressive disorders, substance-related and additive disorders, and trauma- and stressor-related disorders (including </w:t>
      </w:r>
      <w:r w:rsidRPr="00C256F6">
        <w:t>PTSD</w:t>
      </w:r>
      <w:r>
        <w:t>)</w:t>
      </w:r>
      <w:r w:rsidRPr="00C256F6">
        <w:t xml:space="preserve">. </w:t>
      </w:r>
      <w:r w:rsidR="0042020A">
        <w:t xml:space="preserve">The REA search strategy </w:t>
      </w:r>
      <w:r>
        <w:t xml:space="preserve">identified 12 </w:t>
      </w:r>
      <w:r w:rsidR="0042020A">
        <w:t xml:space="preserve">clinical trial records for </w:t>
      </w:r>
      <w:r>
        <w:t xml:space="preserve">ongoing </w:t>
      </w:r>
      <w:r w:rsidR="0042020A">
        <w:t xml:space="preserve">randomised controlled trials focusing on medicinal cannabis interventions </w:t>
      </w:r>
      <w:r>
        <w:t>(</w:t>
      </w:r>
      <w:r>
        <w:rPr>
          <w:lang w:val="en-US"/>
        </w:rPr>
        <w:t>see Appendix 4 for details</w:t>
      </w:r>
      <w:r>
        <w:t xml:space="preserve">). Most of these studies are recruiting participants with a </w:t>
      </w:r>
      <w:r w:rsidR="0042020A">
        <w:t xml:space="preserve">PTSD </w:t>
      </w:r>
      <w:r>
        <w:t>diagnosis (with or without comorbid conditions). The findings from these</w:t>
      </w:r>
      <w:r w:rsidRPr="0033635F">
        <w:t xml:space="preserve"> studies </w:t>
      </w:r>
      <w:r w:rsidR="00064B83">
        <w:t xml:space="preserve">may be </w:t>
      </w:r>
      <w:r>
        <w:t xml:space="preserve">relevant to </w:t>
      </w:r>
      <w:r w:rsidRPr="0033635F">
        <w:t>future reports</w:t>
      </w:r>
      <w:r>
        <w:t>.</w:t>
      </w:r>
    </w:p>
    <w:p w14:paraId="1B107EDA" w14:textId="7988A70C" w:rsidR="00C56507" w:rsidRPr="006F6ABC" w:rsidRDefault="00C56507" w:rsidP="00C56507">
      <w:pPr>
        <w:jc w:val="both"/>
      </w:pPr>
      <w:r>
        <w:t>A productive direction for f</w:t>
      </w:r>
      <w:r w:rsidRPr="006F6ABC">
        <w:t>uture researc</w:t>
      </w:r>
      <w:r>
        <w:t xml:space="preserve">h efforts would be to focus on </w:t>
      </w:r>
      <w:r w:rsidRPr="006F6ABC">
        <w:t>medic</w:t>
      </w:r>
      <w:r>
        <w:t>inal cannabis interventions for v</w:t>
      </w:r>
      <w:r w:rsidRPr="006F6ABC">
        <w:t xml:space="preserve">eterans with co-morbid PTSD, anxiety, depression, and chronic pain syndromes </w:t>
      </w:r>
      <w:r w:rsidR="001D16C0">
        <w:t xml:space="preserve">that are </w:t>
      </w:r>
      <w:r>
        <w:t>a</w:t>
      </w:r>
      <w:r w:rsidRPr="006F6ABC">
        <w:t xml:space="preserve">ssociated with premature </w:t>
      </w:r>
      <w:r>
        <w:t>(</w:t>
      </w:r>
      <w:r w:rsidRPr="006F6ABC">
        <w:t>joint and</w:t>
      </w:r>
      <w:r>
        <w:t xml:space="preserve"> soft tissue) injuries of weight-</w:t>
      </w:r>
      <w:r w:rsidRPr="006F6ABC">
        <w:t xml:space="preserve">bearing joints. This </w:t>
      </w:r>
      <w:r>
        <w:t xml:space="preserve">is a clinical presentation </w:t>
      </w:r>
      <w:r w:rsidRPr="006F6ABC">
        <w:t xml:space="preserve">where medicinal cannabis is </w:t>
      </w:r>
      <w:r>
        <w:t xml:space="preserve">currently </w:t>
      </w:r>
      <w:r w:rsidRPr="006F6ABC">
        <w:t>being prescribed</w:t>
      </w:r>
      <w:r>
        <w:t xml:space="preserve">, and there would be considerable interest in the study findings. Studies that investigate </w:t>
      </w:r>
      <w:r w:rsidRPr="006F6ABC">
        <w:t xml:space="preserve">both the psychoactive and pain-modulating effects of cannabinoids </w:t>
      </w:r>
      <w:r>
        <w:t xml:space="preserve">may be the most </w:t>
      </w:r>
      <w:r w:rsidRPr="006F6ABC">
        <w:t>likely to yie</w:t>
      </w:r>
      <w:r>
        <w:t>ld positive outcomes. Additionally, f</w:t>
      </w:r>
      <w:r w:rsidRPr="006F6ABC">
        <w:t xml:space="preserve">uture research </w:t>
      </w:r>
      <w:r>
        <w:t>c</w:t>
      </w:r>
      <w:r w:rsidRPr="006F6ABC">
        <w:t xml:space="preserve">ould examine the </w:t>
      </w:r>
      <w:r>
        <w:t>efficacy o</w:t>
      </w:r>
      <w:r w:rsidRPr="006F6ABC">
        <w:t>f can</w:t>
      </w:r>
      <w:r>
        <w:t xml:space="preserve">nabinoids for addressing insomnia and </w:t>
      </w:r>
      <w:r w:rsidRPr="006F6ABC">
        <w:t xml:space="preserve">sleep disturbance in veterans with </w:t>
      </w:r>
      <w:r>
        <w:t xml:space="preserve">formally </w:t>
      </w:r>
      <w:r w:rsidRPr="006F6ABC">
        <w:t>diagnosed mental health conditions.</w:t>
      </w:r>
      <w:r>
        <w:t xml:space="preserve"> </w:t>
      </w:r>
    </w:p>
    <w:p w14:paraId="62DF2A5D" w14:textId="568A8827" w:rsidR="00C56507" w:rsidRPr="00C67F88" w:rsidRDefault="00C56507" w:rsidP="00C56507">
      <w:pPr>
        <w:jc w:val="both"/>
      </w:pPr>
      <w:r>
        <w:t xml:space="preserve">Finally, it is important for practitioners and consumers to note that the GRADE summaries in this report assess the certainty of the body of evidence for the randomised controlled trials included in the REA. These findings cannot be generalised beyond the specific interventions and mental health conditions that are the focus of the included studies. </w:t>
      </w:r>
    </w:p>
    <w:p w14:paraId="7469AFE3" w14:textId="77777777" w:rsidR="00C56507" w:rsidRDefault="00C56507">
      <w:pPr>
        <w:spacing w:after="160"/>
        <w:rPr>
          <w:rFonts w:asciiTheme="majorHAnsi" w:eastAsiaTheme="majorEastAsia" w:hAnsiTheme="majorHAnsi" w:cstheme="majorBidi"/>
          <w:color w:val="2E74B5" w:themeColor="accent1" w:themeShade="BF"/>
          <w:sz w:val="32"/>
          <w:szCs w:val="32"/>
          <w:lang w:val="en-US"/>
        </w:rPr>
      </w:pPr>
      <w:r>
        <w:rPr>
          <w:lang w:val="en-US"/>
        </w:rPr>
        <w:br w:type="page"/>
      </w:r>
    </w:p>
    <w:p w14:paraId="753C80DD" w14:textId="77777777" w:rsidR="007043B5" w:rsidRDefault="007043B5" w:rsidP="007043B5">
      <w:pPr>
        <w:pStyle w:val="Heading1"/>
        <w:rPr>
          <w:lang w:val="en-US"/>
        </w:rPr>
      </w:pPr>
      <w:bookmarkStart w:id="120" w:name="_Toc121689287"/>
      <w:bookmarkStart w:id="121" w:name="_Toc151690799"/>
      <w:bookmarkStart w:id="122" w:name="_Toc165018184"/>
      <w:r>
        <w:rPr>
          <w:lang w:val="en-US"/>
        </w:rPr>
        <w:lastRenderedPageBreak/>
        <w:t>Introduction</w:t>
      </w:r>
      <w:bookmarkEnd w:id="120"/>
      <w:bookmarkEnd w:id="121"/>
      <w:bookmarkEnd w:id="122"/>
    </w:p>
    <w:p w14:paraId="2D288B88" w14:textId="77777777" w:rsidR="007043B5" w:rsidRPr="002266EC" w:rsidRDefault="007043B5" w:rsidP="007043B5">
      <w:pPr>
        <w:pStyle w:val="Heading2"/>
        <w:jc w:val="both"/>
      </w:pPr>
      <w:bookmarkStart w:id="123" w:name="_Toc121689288"/>
      <w:bookmarkStart w:id="124" w:name="_Toc151690800"/>
      <w:bookmarkStart w:id="125" w:name="_Toc165018185"/>
      <w:r w:rsidRPr="002266EC">
        <w:t>Background</w:t>
      </w:r>
      <w:bookmarkEnd w:id="123"/>
      <w:bookmarkEnd w:id="124"/>
      <w:bookmarkEnd w:id="125"/>
    </w:p>
    <w:p w14:paraId="077DB3F4" w14:textId="77777777" w:rsidR="007043B5" w:rsidRDefault="007043B5" w:rsidP="007043B5">
      <w:pPr>
        <w:jc w:val="both"/>
      </w:pPr>
      <w:r>
        <w:t xml:space="preserve">There are a </w:t>
      </w:r>
      <w:r w:rsidRPr="00044158">
        <w:t xml:space="preserve">number of </w:t>
      </w:r>
      <w:r>
        <w:t xml:space="preserve">treatments that </w:t>
      </w:r>
      <w:r w:rsidRPr="00044158">
        <w:t>have an emerging evidence base and could be considered in the management of com</w:t>
      </w:r>
      <w:r>
        <w:t xml:space="preserve">mon mental health conditions affecting </w:t>
      </w:r>
      <w:r w:rsidRPr="00044158">
        <w:t>veterans.</w:t>
      </w:r>
      <w:r>
        <w:t xml:space="preserve"> </w:t>
      </w:r>
      <w:r w:rsidRPr="008C5333">
        <w:t xml:space="preserve">Emerging and adjunct treatments are typically considered when </w:t>
      </w:r>
      <w:r>
        <w:t xml:space="preserve">an individual’s </w:t>
      </w:r>
      <w:r w:rsidRPr="008C5333">
        <w:t xml:space="preserve">adherence or response to </w:t>
      </w:r>
      <w:r>
        <w:t>accepted or conventional treatment/s</w:t>
      </w:r>
      <w:r w:rsidRPr="008C5333">
        <w:t xml:space="preserve"> is </w:t>
      </w:r>
      <w:r>
        <w:t>poor (i.e., chronic, treatment-resistant, or treatment-refractory mental health conditions)</w:t>
      </w:r>
      <w:r w:rsidRPr="008C5333">
        <w:t>.</w:t>
      </w:r>
    </w:p>
    <w:p w14:paraId="7C6D5F6B" w14:textId="77777777" w:rsidR="007043B5" w:rsidRDefault="007043B5" w:rsidP="007043B5">
      <w:pPr>
        <w:pStyle w:val="Heading2"/>
        <w:jc w:val="both"/>
      </w:pPr>
      <w:bookmarkStart w:id="126" w:name="_Toc121689289"/>
      <w:bookmarkStart w:id="127" w:name="_Toc151690801"/>
      <w:bookmarkStart w:id="128" w:name="_Toc165018186"/>
      <w:r>
        <w:t>Aim</w:t>
      </w:r>
      <w:bookmarkEnd w:id="126"/>
      <w:bookmarkEnd w:id="127"/>
      <w:bookmarkEnd w:id="128"/>
    </w:p>
    <w:p w14:paraId="0AF28C87" w14:textId="77777777" w:rsidR="007043B5" w:rsidRPr="00131536" w:rsidRDefault="007043B5" w:rsidP="007043B5">
      <w:pPr>
        <w:jc w:val="both"/>
      </w:pPr>
      <w:bookmarkStart w:id="129" w:name="_Toc102037370"/>
      <w:bookmarkStart w:id="130" w:name="_Toc102143198"/>
      <w:r>
        <w:t xml:space="preserve">The aim of the rapid evidence assessment (REA) was to </w:t>
      </w:r>
      <w:r w:rsidRPr="002266EC">
        <w:t>identi</w:t>
      </w:r>
      <w:r>
        <w:t>fy and critically evaluate the current</w:t>
      </w:r>
      <w:r w:rsidRPr="002266EC">
        <w:t xml:space="preserve"> </w:t>
      </w:r>
      <w:r>
        <w:t>evidence</w:t>
      </w:r>
      <w:r w:rsidRPr="002266EC">
        <w:t xml:space="preserve"> on emerging </w:t>
      </w:r>
      <w:r>
        <w:t>and adjunct treatments for posttraumatic stress disorder (PTSD)</w:t>
      </w:r>
      <w:r w:rsidRPr="002266EC">
        <w:t xml:space="preserve"> and common mental health conditions affecting veterans</w:t>
      </w:r>
      <w:r>
        <w:t>.</w:t>
      </w:r>
    </w:p>
    <w:p w14:paraId="1605C5E0" w14:textId="77777777" w:rsidR="007043B5" w:rsidRDefault="007043B5" w:rsidP="007043B5">
      <w:pPr>
        <w:pStyle w:val="Heading2"/>
        <w:jc w:val="both"/>
        <w:rPr>
          <w:lang w:val="en-US"/>
        </w:rPr>
      </w:pPr>
      <w:bookmarkStart w:id="131" w:name="_Toc121689290"/>
      <w:bookmarkStart w:id="132" w:name="_Toc151690802"/>
      <w:bookmarkStart w:id="133" w:name="_Toc165018187"/>
      <w:bookmarkEnd w:id="129"/>
      <w:bookmarkEnd w:id="130"/>
      <w:r>
        <w:rPr>
          <w:lang w:val="en-US"/>
        </w:rPr>
        <w:t>Common mental health conditions in veterans</w:t>
      </w:r>
      <w:bookmarkEnd w:id="131"/>
      <w:bookmarkEnd w:id="132"/>
      <w:bookmarkEnd w:id="133"/>
    </w:p>
    <w:p w14:paraId="7684EA01" w14:textId="77777777" w:rsidR="007043B5" w:rsidRDefault="007043B5" w:rsidP="007043B5">
      <w:pPr>
        <w:jc w:val="both"/>
        <w:rPr>
          <w:lang w:val="en-US"/>
        </w:rPr>
      </w:pPr>
      <w:r w:rsidRPr="000C6375">
        <w:rPr>
          <w:lang w:val="en-US"/>
        </w:rPr>
        <w:t>Several sources of evidence were considered when selecting the four categories of mental health conditions</w:t>
      </w:r>
      <w:r>
        <w:rPr>
          <w:lang w:val="en-US"/>
        </w:rPr>
        <w:t xml:space="preserve"> that </w:t>
      </w:r>
      <w:r w:rsidRPr="000C6375">
        <w:rPr>
          <w:lang w:val="en-US"/>
        </w:rPr>
        <w:t xml:space="preserve">were the focus of the REA. This evidence is </w:t>
      </w:r>
      <w:r w:rsidRPr="006173E1">
        <w:t>synthesised</w:t>
      </w:r>
      <w:r w:rsidRPr="000C6375">
        <w:rPr>
          <w:lang w:val="en-US"/>
        </w:rPr>
        <w:t xml:space="preserve"> in Maguire (2020). </w:t>
      </w:r>
      <w:r>
        <w:rPr>
          <w:lang w:val="en-US"/>
        </w:rPr>
        <w:t>Briefly</w:t>
      </w:r>
      <w:r w:rsidRPr="000C6375">
        <w:rPr>
          <w:lang w:val="en-US"/>
        </w:rPr>
        <w:t>,</w:t>
      </w:r>
      <w:r>
        <w:rPr>
          <w:lang w:val="en-US"/>
        </w:rPr>
        <w:t xml:space="preserve"> the</w:t>
      </w:r>
      <w:r w:rsidRPr="000C6375">
        <w:rPr>
          <w:lang w:val="en-US"/>
        </w:rPr>
        <w:t xml:space="preserve"> data from the Transition and Wellbeing Research Program</w:t>
      </w:r>
      <w:r>
        <w:rPr>
          <w:lang w:val="en-US"/>
        </w:rPr>
        <w:t>me</w:t>
      </w:r>
      <w:r w:rsidRPr="000C6375">
        <w:rPr>
          <w:lang w:val="en-US"/>
        </w:rPr>
        <w:t xml:space="preserve"> (</w:t>
      </w:r>
      <w:r>
        <w:rPr>
          <w:lang w:val="en-US"/>
        </w:rPr>
        <w:t>Department of Veterans’ Affairs, 2020</w:t>
      </w:r>
      <w:r w:rsidRPr="000C6375">
        <w:rPr>
          <w:lang w:val="en-US"/>
        </w:rPr>
        <w:t xml:space="preserve">) – jointly commissioned by the Departments of Defence and Veterans’ Affairs </w:t>
      </w:r>
      <w:r>
        <w:rPr>
          <w:lang w:val="en-US"/>
        </w:rPr>
        <w:t xml:space="preserve">(Australian Government) </w:t>
      </w:r>
      <w:r w:rsidRPr="000C6375">
        <w:rPr>
          <w:lang w:val="en-US"/>
        </w:rPr>
        <w:t xml:space="preserve">– found that: alcohol disorders (47.5%), anxiety disorders (46.1%), and </w:t>
      </w:r>
      <w:r>
        <w:rPr>
          <w:lang w:val="en-US"/>
        </w:rPr>
        <w:t>affective</w:t>
      </w:r>
      <w:r w:rsidRPr="000C6375">
        <w:rPr>
          <w:lang w:val="en-US"/>
        </w:rPr>
        <w:t xml:space="preserve"> disorders (39.6%) were the most common classes of lifetime mental health </w:t>
      </w:r>
      <w:r>
        <w:rPr>
          <w:lang w:val="en-US"/>
        </w:rPr>
        <w:t>disorders</w:t>
      </w:r>
      <w:r w:rsidRPr="000C6375">
        <w:rPr>
          <w:lang w:val="en-US"/>
        </w:rPr>
        <w:t xml:space="preserve"> </w:t>
      </w:r>
      <w:r>
        <w:rPr>
          <w:lang w:val="en-US"/>
        </w:rPr>
        <w:t xml:space="preserve">(ICD-10 </w:t>
      </w:r>
      <w:r w:rsidRPr="000C6375">
        <w:rPr>
          <w:lang w:val="en-US"/>
        </w:rPr>
        <w:t>criteria</w:t>
      </w:r>
      <w:r>
        <w:rPr>
          <w:lang w:val="en-US"/>
        </w:rPr>
        <w:t xml:space="preserve">) </w:t>
      </w:r>
      <w:r w:rsidRPr="000C6375">
        <w:rPr>
          <w:lang w:val="en-US"/>
        </w:rPr>
        <w:t xml:space="preserve">in </w:t>
      </w:r>
      <w:r>
        <w:rPr>
          <w:lang w:val="en-US"/>
        </w:rPr>
        <w:t xml:space="preserve">recently-transitioned (2010-2015) </w:t>
      </w:r>
      <w:r w:rsidRPr="000C6375">
        <w:rPr>
          <w:lang w:val="en-US"/>
        </w:rPr>
        <w:t>veterans; and one in four (24.9%) tra</w:t>
      </w:r>
      <w:r>
        <w:rPr>
          <w:lang w:val="en-US"/>
        </w:rPr>
        <w:t>nsitioned veterans met lifetime criteria</w:t>
      </w:r>
      <w:r w:rsidRPr="000C6375">
        <w:rPr>
          <w:lang w:val="en-US"/>
        </w:rPr>
        <w:t xml:space="preserve"> for a diagnosis of PTSD (Van Hoof</w:t>
      </w:r>
      <w:r>
        <w:rPr>
          <w:lang w:val="en-US"/>
        </w:rPr>
        <w:t>f</w:t>
      </w:r>
      <w:r w:rsidRPr="000C6375">
        <w:rPr>
          <w:lang w:val="en-US"/>
        </w:rPr>
        <w:t xml:space="preserve"> et al., 2018).</w:t>
      </w:r>
    </w:p>
    <w:p w14:paraId="64121B14" w14:textId="77777777" w:rsidR="007043B5" w:rsidRPr="00094262" w:rsidRDefault="007043B5" w:rsidP="007043B5">
      <w:pPr>
        <w:pStyle w:val="Heading2"/>
        <w:rPr>
          <w:b/>
        </w:rPr>
      </w:pPr>
      <w:bookmarkStart w:id="134" w:name="_Toc121689291"/>
      <w:bookmarkStart w:id="135" w:name="_Toc151690803"/>
      <w:bookmarkStart w:id="136" w:name="_Toc165018188"/>
      <w:r>
        <w:t>Chronic, treatment-resistant, or treatment-refractory mental health conditions</w:t>
      </w:r>
      <w:bookmarkEnd w:id="134"/>
      <w:bookmarkEnd w:id="135"/>
      <w:bookmarkEnd w:id="136"/>
    </w:p>
    <w:p w14:paraId="25A5ABB4" w14:textId="77777777" w:rsidR="007043B5" w:rsidRDefault="007043B5" w:rsidP="007043B5">
      <w:pPr>
        <w:jc w:val="both"/>
      </w:pPr>
      <w:r>
        <w:t xml:space="preserve">There are several reasons why an individual may have a poor treatment outcome (i.e., treatment is ineffective, partially effective, or the individual experiences a relapse or recurrence of the mental health condition/s targeted by the treatment/s). This can include factors that affect an individual’s adherence to treatment and/or their response to treatment (e.g., characteristics of the treatment; characteristics of the mental health condition/s; an individual’s personal circumstances; or characteristics of the health service environment). For example, factors intrinsic to the treatment/s (e.g., side effects of medications, or unpleasant emotions experienced during therapy) can affect an individual’s decision to continue treatment. Similarly, factors extrinsic to the treatment/s (e.g., ongoing trauma exposure; relationship breakdown; financial hardship; stigma) can affect an individual’s willingness and capacity to seek or continue treatment, or can influence their treatment progress. Finally, aspects of the health care system itself can create barriers to treatment access or treatment retention (e.g., geographical distance; long waitlists; high caseloads). </w:t>
      </w:r>
    </w:p>
    <w:p w14:paraId="5FB8DF45" w14:textId="77777777" w:rsidR="007043B5" w:rsidRDefault="007043B5" w:rsidP="007043B5">
      <w:pPr>
        <w:jc w:val="both"/>
      </w:pPr>
      <w:r>
        <w:t xml:space="preserve">In the literature, there are various criteria employed to define treatment response and treatment resistance. The definition of treatment response varies considerably across studies and is often couched in terms of the health condition of interest and the most frequently employed outcome measure/s. For example, in studies of participants with a PTSD diagnosis, a 10-point reduction on the </w:t>
      </w:r>
      <w:r>
        <w:rPr>
          <w:rFonts w:eastAsia="Times New Roman" w:cstheme="minorHAnsi"/>
          <w:color w:val="000000"/>
          <w:szCs w:val="20"/>
          <w:lang w:eastAsia="en-AU"/>
        </w:rPr>
        <w:t>Clinician-</w:t>
      </w:r>
      <w:r w:rsidRPr="005C4F41">
        <w:rPr>
          <w:rFonts w:eastAsia="Times New Roman" w:cstheme="minorHAnsi"/>
          <w:color w:val="000000"/>
          <w:szCs w:val="20"/>
          <w:lang w:eastAsia="en-AU"/>
        </w:rPr>
        <w:t>Administered PTSD Scale for DSM-IV</w:t>
      </w:r>
      <w:r>
        <w:rPr>
          <w:rFonts w:eastAsia="Times New Roman" w:cstheme="minorHAnsi"/>
          <w:color w:val="000000"/>
          <w:szCs w:val="20"/>
          <w:lang w:eastAsia="en-AU"/>
        </w:rPr>
        <w:t xml:space="preserve"> (CAPS</w:t>
      </w:r>
      <w:r>
        <w:t xml:space="preserve">) is a commonly used and validated benchmark for “treatment response” (Illingworth et al., 2021). Studies often define treatment resistance as a failure to respond to at least two evidence-based treatments (e.g., pharmacotherapy and/or psychotherapy). </w:t>
      </w:r>
    </w:p>
    <w:p w14:paraId="525A53D3" w14:textId="77777777" w:rsidR="007043B5" w:rsidRDefault="007043B5" w:rsidP="007043B5">
      <w:pPr>
        <w:pStyle w:val="Heading2"/>
        <w:jc w:val="both"/>
      </w:pPr>
      <w:bookmarkStart w:id="137" w:name="_Toc121689292"/>
      <w:bookmarkStart w:id="138" w:name="_Toc151690804"/>
      <w:bookmarkStart w:id="139" w:name="_Toc165018189"/>
      <w:r>
        <w:t>Categories of intervention</w:t>
      </w:r>
      <w:bookmarkEnd w:id="137"/>
      <w:bookmarkEnd w:id="138"/>
      <w:bookmarkEnd w:id="139"/>
    </w:p>
    <w:p w14:paraId="6E4EA5DC" w14:textId="77777777" w:rsidR="007043B5" w:rsidRDefault="007043B5" w:rsidP="007043B5">
      <w:pPr>
        <w:jc w:val="both"/>
      </w:pPr>
      <w:r>
        <w:t xml:space="preserve">Interventions can be classified as: (i) standalone treatments; or (ii) </w:t>
      </w:r>
      <w:r w:rsidRPr="00D04C30">
        <w:t xml:space="preserve">adjunct treatments </w:t>
      </w:r>
      <w:r>
        <w:t>(</w:t>
      </w:r>
      <w:r w:rsidRPr="00D04C30">
        <w:rPr>
          <w:szCs w:val="20"/>
        </w:rPr>
        <w:t>Jones et al. 2020)</w:t>
      </w:r>
      <w:r w:rsidRPr="00D04C30">
        <w:t xml:space="preserve">. </w:t>
      </w:r>
      <w:r>
        <w:t>I</w:t>
      </w:r>
      <w:r w:rsidRPr="00D04C30">
        <w:t xml:space="preserve">nterventions can </w:t>
      </w:r>
      <w:r>
        <w:t>also be</w:t>
      </w:r>
      <w:r w:rsidRPr="00D04C30">
        <w:t xml:space="preserve"> classified according to the quality or amount of evidence supporting their use; that is: (iii) evidence-based; (iv) alternative; or (v) emerging treatments </w:t>
      </w:r>
      <w:r>
        <w:t>(</w:t>
      </w:r>
      <w:r w:rsidRPr="00D04C30">
        <w:rPr>
          <w:szCs w:val="20"/>
        </w:rPr>
        <w:t>Jones et al.</w:t>
      </w:r>
      <w:r>
        <w:rPr>
          <w:szCs w:val="20"/>
        </w:rPr>
        <w:t>,</w:t>
      </w:r>
      <w:r w:rsidRPr="00D04C30">
        <w:rPr>
          <w:szCs w:val="20"/>
        </w:rPr>
        <w:t xml:space="preserve"> 2020)</w:t>
      </w:r>
      <w:r w:rsidRPr="00D04C30">
        <w:t>. The definitions employed by the Australian Department of Veterans’ Affairs (DVA) are provided in Table 1.</w:t>
      </w:r>
    </w:p>
    <w:p w14:paraId="5A3DCB74" w14:textId="77777777" w:rsidR="007043B5" w:rsidRDefault="007043B5" w:rsidP="007043B5">
      <w:pPr>
        <w:spacing w:after="160"/>
        <w:rPr>
          <w:rFonts w:ascii="Calibri" w:eastAsiaTheme="minorEastAsia" w:hAnsi="Calibri"/>
          <w:b/>
          <w:iCs/>
          <w:szCs w:val="20"/>
          <w:lang w:val="en-US" w:eastAsia="ja-JP"/>
        </w:rPr>
      </w:pPr>
      <w:r>
        <w:rPr>
          <w:b/>
          <w:i/>
          <w:szCs w:val="20"/>
        </w:rPr>
        <w:br w:type="page"/>
      </w:r>
    </w:p>
    <w:p w14:paraId="0FB2F597" w14:textId="79C26F3D" w:rsidR="007043B5" w:rsidRPr="004A32DE" w:rsidRDefault="007043B5" w:rsidP="007043B5">
      <w:pPr>
        <w:pStyle w:val="Caption"/>
        <w:keepNext/>
        <w:jc w:val="both"/>
        <w:rPr>
          <w:b/>
          <w:color w:val="auto"/>
          <w:sz w:val="20"/>
          <w:szCs w:val="20"/>
        </w:rPr>
      </w:pPr>
      <w:bookmarkStart w:id="140" w:name="_Toc103931014"/>
      <w:bookmarkStart w:id="141" w:name="_Toc151691015"/>
      <w:bookmarkStart w:id="142" w:name="_Toc165018277"/>
      <w:r w:rsidRPr="004A32DE">
        <w:rPr>
          <w:b/>
          <w:i w:val="0"/>
          <w:color w:val="auto"/>
          <w:sz w:val="20"/>
          <w:szCs w:val="20"/>
        </w:rPr>
        <w:lastRenderedPageBreak/>
        <w:t xml:space="preserve">Table </w:t>
      </w:r>
      <w:r w:rsidRPr="004A32DE">
        <w:rPr>
          <w:b/>
          <w:i w:val="0"/>
          <w:color w:val="auto"/>
          <w:sz w:val="20"/>
          <w:szCs w:val="20"/>
        </w:rPr>
        <w:fldChar w:fldCharType="begin"/>
      </w:r>
      <w:r w:rsidRPr="004A32DE">
        <w:rPr>
          <w:b/>
          <w:i w:val="0"/>
          <w:color w:val="auto"/>
          <w:sz w:val="20"/>
          <w:szCs w:val="20"/>
        </w:rPr>
        <w:instrText xml:space="preserve"> SEQ Table \* ARABIC </w:instrText>
      </w:r>
      <w:r w:rsidRPr="004A32DE">
        <w:rPr>
          <w:b/>
          <w:i w:val="0"/>
          <w:color w:val="auto"/>
          <w:sz w:val="20"/>
          <w:szCs w:val="20"/>
        </w:rPr>
        <w:fldChar w:fldCharType="separate"/>
      </w:r>
      <w:r w:rsidR="005A78A1">
        <w:rPr>
          <w:b/>
          <w:i w:val="0"/>
          <w:noProof/>
          <w:color w:val="auto"/>
          <w:sz w:val="20"/>
          <w:szCs w:val="20"/>
        </w:rPr>
        <w:t>1</w:t>
      </w:r>
      <w:r w:rsidRPr="004A32DE">
        <w:rPr>
          <w:b/>
          <w:i w:val="0"/>
          <w:color w:val="auto"/>
          <w:sz w:val="20"/>
          <w:szCs w:val="20"/>
        </w:rPr>
        <w:fldChar w:fldCharType="end"/>
      </w:r>
      <w:r w:rsidRPr="004A32DE">
        <w:rPr>
          <w:b/>
          <w:i w:val="0"/>
          <w:color w:val="auto"/>
          <w:sz w:val="20"/>
          <w:szCs w:val="20"/>
        </w:rPr>
        <w:t>. Definitions employed by DVA to classify interventions.</w:t>
      </w:r>
      <w:bookmarkEnd w:id="140"/>
      <w:bookmarkEnd w:id="141"/>
      <w:bookmarkEnd w:id="142"/>
      <w:r w:rsidRPr="004A32DE">
        <w:rPr>
          <w:b/>
          <w:i w:val="0"/>
          <w:color w:val="auto"/>
          <w:sz w:val="20"/>
          <w:szCs w:val="20"/>
        </w:rPr>
        <w:t xml:space="preserve"> </w:t>
      </w:r>
    </w:p>
    <w:tbl>
      <w:tblPr>
        <w:tblStyle w:val="GridTable5Dark-Accent5"/>
        <w:tblW w:w="0" w:type="auto"/>
        <w:tblLook w:val="04A0" w:firstRow="1" w:lastRow="0" w:firstColumn="1" w:lastColumn="0" w:noHBand="0" w:noVBand="1"/>
      </w:tblPr>
      <w:tblGrid>
        <w:gridCol w:w="2122"/>
        <w:gridCol w:w="6894"/>
      </w:tblGrid>
      <w:tr w:rsidR="007043B5" w:rsidRPr="00047374" w14:paraId="2C2AABE8" w14:textId="77777777" w:rsidTr="00290E9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2122" w:type="dxa"/>
          </w:tcPr>
          <w:p w14:paraId="5F844A2A" w14:textId="77777777" w:rsidR="007043B5" w:rsidRPr="00047374" w:rsidRDefault="007043B5" w:rsidP="004361E5">
            <w:pPr>
              <w:spacing w:after="0"/>
              <w:jc w:val="both"/>
              <w:rPr>
                <w:szCs w:val="20"/>
              </w:rPr>
            </w:pPr>
            <w:bookmarkStart w:id="143" w:name="_Hlk151591307"/>
            <w:r w:rsidRPr="00047374">
              <w:rPr>
                <w:szCs w:val="20"/>
              </w:rPr>
              <w:t>Type of intervention</w:t>
            </w:r>
          </w:p>
        </w:tc>
        <w:tc>
          <w:tcPr>
            <w:tcW w:w="6894" w:type="dxa"/>
          </w:tcPr>
          <w:p w14:paraId="711E22D1" w14:textId="77777777" w:rsidR="007043B5" w:rsidRPr="00047374" w:rsidRDefault="007043B5" w:rsidP="004361E5">
            <w:pPr>
              <w:spacing w:after="0"/>
              <w:jc w:val="both"/>
              <w:cnfStyle w:val="100000000000" w:firstRow="1" w:lastRow="0" w:firstColumn="0" w:lastColumn="0" w:oddVBand="0" w:evenVBand="0" w:oddHBand="0" w:evenHBand="0" w:firstRowFirstColumn="0" w:firstRowLastColumn="0" w:lastRowFirstColumn="0" w:lastRowLastColumn="0"/>
              <w:rPr>
                <w:szCs w:val="20"/>
              </w:rPr>
            </w:pPr>
            <w:r w:rsidRPr="00047374">
              <w:rPr>
                <w:szCs w:val="20"/>
              </w:rPr>
              <w:t>Definition</w:t>
            </w:r>
          </w:p>
        </w:tc>
      </w:tr>
      <w:tr w:rsidR="007043B5" w:rsidRPr="00047374" w14:paraId="6ACA6FC9" w14:textId="77777777" w:rsidTr="004361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22" w:type="dxa"/>
          </w:tcPr>
          <w:p w14:paraId="7C11A00B" w14:textId="77777777" w:rsidR="007043B5" w:rsidRPr="00047374" w:rsidRDefault="007043B5" w:rsidP="004361E5">
            <w:pPr>
              <w:spacing w:after="0"/>
              <w:jc w:val="both"/>
              <w:rPr>
                <w:szCs w:val="20"/>
              </w:rPr>
            </w:pPr>
            <w:r>
              <w:rPr>
                <w:szCs w:val="20"/>
              </w:rPr>
              <w:t>Standalone</w:t>
            </w:r>
          </w:p>
        </w:tc>
        <w:tc>
          <w:tcPr>
            <w:tcW w:w="6894" w:type="dxa"/>
          </w:tcPr>
          <w:p w14:paraId="4B35D21D" w14:textId="77777777" w:rsidR="007043B5" w:rsidRPr="00047374" w:rsidRDefault="007043B5" w:rsidP="004361E5">
            <w:pPr>
              <w:spacing w:after="0"/>
              <w:jc w:val="both"/>
              <w:cnfStyle w:val="000000100000" w:firstRow="0" w:lastRow="0" w:firstColumn="0" w:lastColumn="0" w:oddVBand="0" w:evenVBand="0" w:oddHBand="1" w:evenHBand="0" w:firstRowFirstColumn="0" w:firstRowLastColumn="0" w:lastRowFirstColumn="0" w:lastRowLastColumn="0"/>
              <w:rPr>
                <w:szCs w:val="20"/>
              </w:rPr>
            </w:pPr>
            <w:r w:rsidRPr="00047374">
              <w:rPr>
                <w:szCs w:val="20"/>
              </w:rPr>
              <w:t xml:space="preserve">The only intervention that the </w:t>
            </w:r>
            <w:r>
              <w:rPr>
                <w:szCs w:val="20"/>
              </w:rPr>
              <w:t>individual</w:t>
            </w:r>
            <w:r w:rsidRPr="00047374">
              <w:rPr>
                <w:szCs w:val="20"/>
              </w:rPr>
              <w:t xml:space="preserve"> receives. </w:t>
            </w:r>
            <w:r>
              <w:rPr>
                <w:szCs w:val="20"/>
              </w:rPr>
              <w:t xml:space="preserve">The intervention </w:t>
            </w:r>
            <w:r w:rsidRPr="00047374">
              <w:rPr>
                <w:szCs w:val="20"/>
              </w:rPr>
              <w:t xml:space="preserve">is aimed at </w:t>
            </w:r>
            <w:r>
              <w:rPr>
                <w:szCs w:val="20"/>
              </w:rPr>
              <w:t>symptom reduction. A standalone</w:t>
            </w:r>
            <w:r w:rsidRPr="00047374">
              <w:rPr>
                <w:szCs w:val="20"/>
              </w:rPr>
              <w:t xml:space="preserve"> intervention should be compared to</w:t>
            </w:r>
            <w:r>
              <w:rPr>
                <w:szCs w:val="20"/>
              </w:rPr>
              <w:t xml:space="preserve"> a</w:t>
            </w:r>
            <w:r w:rsidRPr="00047374">
              <w:rPr>
                <w:szCs w:val="20"/>
              </w:rPr>
              <w:t xml:space="preserve"> best</w:t>
            </w:r>
            <w:r>
              <w:rPr>
                <w:szCs w:val="20"/>
              </w:rPr>
              <w:t>-</w:t>
            </w:r>
            <w:r w:rsidRPr="00047374">
              <w:rPr>
                <w:szCs w:val="20"/>
              </w:rPr>
              <w:t>practice intervention</w:t>
            </w:r>
            <w:r>
              <w:rPr>
                <w:szCs w:val="20"/>
              </w:rPr>
              <w:t>/</w:t>
            </w:r>
            <w:r w:rsidRPr="00047374">
              <w:rPr>
                <w:szCs w:val="20"/>
              </w:rPr>
              <w:t>s</w:t>
            </w:r>
            <w:r>
              <w:rPr>
                <w:szCs w:val="20"/>
              </w:rPr>
              <w:t xml:space="preserve"> to determine whether it is effective or not</w:t>
            </w:r>
            <w:r w:rsidRPr="00047374">
              <w:rPr>
                <w:szCs w:val="20"/>
              </w:rPr>
              <w:t>.</w:t>
            </w:r>
          </w:p>
        </w:tc>
      </w:tr>
      <w:tr w:rsidR="007043B5" w:rsidRPr="00047374" w14:paraId="765DC739" w14:textId="77777777" w:rsidTr="004361E5">
        <w:trPr>
          <w:trHeight w:val="397"/>
        </w:trPr>
        <w:tc>
          <w:tcPr>
            <w:cnfStyle w:val="001000000000" w:firstRow="0" w:lastRow="0" w:firstColumn="1" w:lastColumn="0" w:oddVBand="0" w:evenVBand="0" w:oddHBand="0" w:evenHBand="0" w:firstRowFirstColumn="0" w:firstRowLastColumn="0" w:lastRowFirstColumn="0" w:lastRowLastColumn="0"/>
            <w:tcW w:w="2122" w:type="dxa"/>
          </w:tcPr>
          <w:p w14:paraId="732F5645" w14:textId="77777777" w:rsidR="007043B5" w:rsidRPr="00047374" w:rsidRDefault="007043B5" w:rsidP="004361E5">
            <w:pPr>
              <w:spacing w:after="0"/>
              <w:jc w:val="both"/>
              <w:rPr>
                <w:szCs w:val="20"/>
              </w:rPr>
            </w:pPr>
            <w:r w:rsidRPr="00047374">
              <w:rPr>
                <w:szCs w:val="20"/>
              </w:rPr>
              <w:t>Adjunct</w:t>
            </w:r>
          </w:p>
        </w:tc>
        <w:tc>
          <w:tcPr>
            <w:tcW w:w="6894" w:type="dxa"/>
          </w:tcPr>
          <w:p w14:paraId="7A0D96C4" w14:textId="77777777" w:rsidR="007043B5" w:rsidRPr="00047374" w:rsidRDefault="007043B5" w:rsidP="004361E5">
            <w:pPr>
              <w:spacing w:after="0"/>
              <w:jc w:val="both"/>
              <w:cnfStyle w:val="000000000000" w:firstRow="0" w:lastRow="0" w:firstColumn="0" w:lastColumn="0" w:oddVBand="0" w:evenVBand="0" w:oddHBand="0" w:evenHBand="0" w:firstRowFirstColumn="0" w:firstRowLastColumn="0" w:lastRowFirstColumn="0" w:lastRowLastColumn="0"/>
              <w:rPr>
                <w:szCs w:val="20"/>
              </w:rPr>
            </w:pPr>
            <w:r>
              <w:rPr>
                <w:szCs w:val="20"/>
              </w:rPr>
              <w:t xml:space="preserve">An adjunct </w:t>
            </w:r>
            <w:r w:rsidRPr="00047374">
              <w:rPr>
                <w:szCs w:val="20"/>
              </w:rPr>
              <w:t>intervention is added to a primary intervention</w:t>
            </w:r>
            <w:r>
              <w:rPr>
                <w:szCs w:val="20"/>
              </w:rPr>
              <w:t>. T</w:t>
            </w:r>
            <w:r w:rsidRPr="00047374">
              <w:rPr>
                <w:szCs w:val="20"/>
              </w:rPr>
              <w:t>he aim of</w:t>
            </w:r>
            <w:r>
              <w:rPr>
                <w:szCs w:val="20"/>
              </w:rPr>
              <w:t xml:space="preserve"> the adjunct</w:t>
            </w:r>
            <w:r w:rsidRPr="00047374">
              <w:rPr>
                <w:szCs w:val="20"/>
              </w:rPr>
              <w:t xml:space="preserve"> </w:t>
            </w:r>
            <w:r>
              <w:rPr>
                <w:szCs w:val="20"/>
              </w:rPr>
              <w:t xml:space="preserve">intervention is to reduce symptom severity </w:t>
            </w:r>
            <w:r w:rsidRPr="00047374">
              <w:rPr>
                <w:szCs w:val="20"/>
              </w:rPr>
              <w:t xml:space="preserve">to a greater extent than the primary intervention </w:t>
            </w:r>
            <w:r>
              <w:rPr>
                <w:szCs w:val="20"/>
              </w:rPr>
              <w:t>is expected to</w:t>
            </w:r>
            <w:r w:rsidRPr="00047374">
              <w:rPr>
                <w:szCs w:val="20"/>
              </w:rPr>
              <w:t xml:space="preserve"> </w:t>
            </w:r>
            <w:r>
              <w:rPr>
                <w:szCs w:val="20"/>
              </w:rPr>
              <w:t>achieve alone</w:t>
            </w:r>
            <w:r w:rsidRPr="00047374">
              <w:rPr>
                <w:szCs w:val="20"/>
              </w:rPr>
              <w:t xml:space="preserve">. </w:t>
            </w:r>
            <w:r>
              <w:rPr>
                <w:szCs w:val="20"/>
              </w:rPr>
              <w:t>The combined intervention (i.e., adjunct plus primary intervention) should be compared to the primary intervention to determine whether an adjunct intervention is effective or not</w:t>
            </w:r>
            <w:r w:rsidRPr="00047374">
              <w:rPr>
                <w:szCs w:val="20"/>
              </w:rPr>
              <w:t>.</w:t>
            </w:r>
          </w:p>
        </w:tc>
      </w:tr>
      <w:tr w:rsidR="007043B5" w:rsidRPr="00047374" w14:paraId="75C05C5F" w14:textId="77777777" w:rsidTr="004361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22" w:type="dxa"/>
          </w:tcPr>
          <w:p w14:paraId="06B0D6D0" w14:textId="77777777" w:rsidR="007043B5" w:rsidRPr="00047374" w:rsidRDefault="007043B5" w:rsidP="004361E5">
            <w:pPr>
              <w:spacing w:after="0"/>
              <w:jc w:val="both"/>
              <w:rPr>
                <w:szCs w:val="20"/>
              </w:rPr>
            </w:pPr>
            <w:r w:rsidRPr="00047374">
              <w:rPr>
                <w:szCs w:val="20"/>
              </w:rPr>
              <w:t>Evidence-based</w:t>
            </w:r>
          </w:p>
        </w:tc>
        <w:tc>
          <w:tcPr>
            <w:tcW w:w="6894" w:type="dxa"/>
          </w:tcPr>
          <w:p w14:paraId="492D9BD7" w14:textId="77777777" w:rsidR="007043B5" w:rsidRPr="00047374" w:rsidRDefault="007043B5" w:rsidP="004361E5">
            <w:pPr>
              <w:spacing w:after="0"/>
              <w:jc w:val="both"/>
              <w:cnfStyle w:val="000000100000" w:firstRow="0" w:lastRow="0" w:firstColumn="0" w:lastColumn="0" w:oddVBand="0" w:evenVBand="0" w:oddHBand="1" w:evenHBand="0" w:firstRowFirstColumn="0" w:firstRowLastColumn="0" w:lastRowFirstColumn="0" w:lastRowLastColumn="0"/>
              <w:rPr>
                <w:szCs w:val="20"/>
              </w:rPr>
            </w:pPr>
            <w:r w:rsidRPr="00047374">
              <w:rPr>
                <w:szCs w:val="20"/>
              </w:rPr>
              <w:t>Interventions that have been proven to be effective and are supported by rigorous scientific evidence. They are often recommended by treatment guidelines.</w:t>
            </w:r>
          </w:p>
        </w:tc>
      </w:tr>
      <w:tr w:rsidR="007043B5" w:rsidRPr="00047374" w14:paraId="64F5F3E7" w14:textId="77777777" w:rsidTr="004361E5">
        <w:trPr>
          <w:trHeight w:val="397"/>
        </w:trPr>
        <w:tc>
          <w:tcPr>
            <w:cnfStyle w:val="001000000000" w:firstRow="0" w:lastRow="0" w:firstColumn="1" w:lastColumn="0" w:oddVBand="0" w:evenVBand="0" w:oddHBand="0" w:evenHBand="0" w:firstRowFirstColumn="0" w:firstRowLastColumn="0" w:lastRowFirstColumn="0" w:lastRowLastColumn="0"/>
            <w:tcW w:w="2122" w:type="dxa"/>
          </w:tcPr>
          <w:p w14:paraId="6FA49D79" w14:textId="77777777" w:rsidR="007043B5" w:rsidRPr="00047374" w:rsidRDefault="007043B5" w:rsidP="004361E5">
            <w:pPr>
              <w:spacing w:after="0"/>
              <w:jc w:val="both"/>
              <w:rPr>
                <w:szCs w:val="20"/>
              </w:rPr>
            </w:pPr>
            <w:r w:rsidRPr="00047374">
              <w:rPr>
                <w:szCs w:val="20"/>
              </w:rPr>
              <w:t>Alternative</w:t>
            </w:r>
          </w:p>
        </w:tc>
        <w:tc>
          <w:tcPr>
            <w:tcW w:w="6894" w:type="dxa"/>
          </w:tcPr>
          <w:p w14:paraId="193A19A1" w14:textId="77777777" w:rsidR="007043B5" w:rsidRPr="00047374" w:rsidRDefault="007043B5" w:rsidP="004361E5">
            <w:pPr>
              <w:spacing w:after="0"/>
              <w:jc w:val="both"/>
              <w:cnfStyle w:val="000000000000" w:firstRow="0" w:lastRow="0" w:firstColumn="0" w:lastColumn="0" w:oddVBand="0" w:evenVBand="0" w:oddHBand="0" w:evenHBand="0" w:firstRowFirstColumn="0" w:firstRowLastColumn="0" w:lastRowFirstColumn="0" w:lastRowLastColumn="0"/>
              <w:rPr>
                <w:szCs w:val="20"/>
              </w:rPr>
            </w:pPr>
            <w:r>
              <w:rPr>
                <w:szCs w:val="20"/>
              </w:rPr>
              <w:t>Alternative i</w:t>
            </w:r>
            <w:r w:rsidRPr="00047374">
              <w:rPr>
                <w:szCs w:val="20"/>
              </w:rPr>
              <w:t>nterventions are not accepted as best</w:t>
            </w:r>
            <w:r>
              <w:rPr>
                <w:szCs w:val="20"/>
              </w:rPr>
              <w:t>-</w:t>
            </w:r>
            <w:r w:rsidRPr="00047374">
              <w:rPr>
                <w:szCs w:val="20"/>
              </w:rPr>
              <w:t>practice</w:t>
            </w:r>
            <w:r>
              <w:rPr>
                <w:szCs w:val="20"/>
              </w:rPr>
              <w:t xml:space="preserve"> intervention</w:t>
            </w:r>
            <w:r w:rsidRPr="00047374">
              <w:rPr>
                <w:szCs w:val="20"/>
              </w:rPr>
              <w:t>s</w:t>
            </w:r>
            <w:r>
              <w:rPr>
                <w:szCs w:val="20"/>
              </w:rPr>
              <w:t>,</w:t>
            </w:r>
            <w:r w:rsidRPr="00047374">
              <w:rPr>
                <w:szCs w:val="20"/>
              </w:rPr>
              <w:t xml:space="preserve"> usually due to a lack of rigorous scientific evidence. These interventions may be popular, or widely used, but are not recommended by treatment guidelines. This does</w:t>
            </w:r>
            <w:r>
              <w:rPr>
                <w:szCs w:val="20"/>
              </w:rPr>
              <w:t xml:space="preserve"> </w:t>
            </w:r>
            <w:r w:rsidRPr="00047374">
              <w:rPr>
                <w:szCs w:val="20"/>
              </w:rPr>
              <w:t>n</w:t>
            </w:r>
            <w:r>
              <w:rPr>
                <w:szCs w:val="20"/>
              </w:rPr>
              <w:t>o</w:t>
            </w:r>
            <w:r w:rsidRPr="00047374">
              <w:rPr>
                <w:szCs w:val="20"/>
              </w:rPr>
              <w:t xml:space="preserve">t mean </w:t>
            </w:r>
            <w:r>
              <w:rPr>
                <w:szCs w:val="20"/>
              </w:rPr>
              <w:t>that alternative interventions</w:t>
            </w:r>
            <w:r w:rsidRPr="00047374">
              <w:rPr>
                <w:szCs w:val="20"/>
              </w:rPr>
              <w:t xml:space="preserve"> do</w:t>
            </w:r>
            <w:r>
              <w:rPr>
                <w:szCs w:val="20"/>
              </w:rPr>
              <w:t xml:space="preserve"> </w:t>
            </w:r>
            <w:r w:rsidRPr="00047374">
              <w:rPr>
                <w:szCs w:val="20"/>
              </w:rPr>
              <w:t>n</w:t>
            </w:r>
            <w:r>
              <w:rPr>
                <w:szCs w:val="20"/>
              </w:rPr>
              <w:t>o</w:t>
            </w:r>
            <w:r w:rsidRPr="00047374">
              <w:rPr>
                <w:szCs w:val="20"/>
              </w:rPr>
              <w:t xml:space="preserve">t work; it just means that there is not enough evidence </w:t>
            </w:r>
            <w:r>
              <w:rPr>
                <w:szCs w:val="20"/>
              </w:rPr>
              <w:t xml:space="preserve">to </w:t>
            </w:r>
            <w:r w:rsidRPr="00047374">
              <w:rPr>
                <w:szCs w:val="20"/>
              </w:rPr>
              <w:t xml:space="preserve">know if they </w:t>
            </w:r>
            <w:r>
              <w:rPr>
                <w:szCs w:val="20"/>
              </w:rPr>
              <w:t xml:space="preserve">do </w:t>
            </w:r>
            <w:r w:rsidRPr="00047374">
              <w:rPr>
                <w:szCs w:val="20"/>
              </w:rPr>
              <w:t>work.</w:t>
            </w:r>
          </w:p>
        </w:tc>
      </w:tr>
      <w:tr w:rsidR="007043B5" w:rsidRPr="00047374" w14:paraId="66167E07" w14:textId="77777777" w:rsidTr="004361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22" w:type="dxa"/>
          </w:tcPr>
          <w:p w14:paraId="4A9ACA85" w14:textId="77777777" w:rsidR="007043B5" w:rsidRPr="00047374" w:rsidRDefault="007043B5" w:rsidP="004361E5">
            <w:pPr>
              <w:spacing w:after="0"/>
              <w:jc w:val="both"/>
              <w:rPr>
                <w:szCs w:val="20"/>
              </w:rPr>
            </w:pPr>
            <w:r w:rsidRPr="00047374">
              <w:rPr>
                <w:szCs w:val="20"/>
              </w:rPr>
              <w:t>Emerging</w:t>
            </w:r>
          </w:p>
        </w:tc>
        <w:tc>
          <w:tcPr>
            <w:tcW w:w="6894" w:type="dxa"/>
          </w:tcPr>
          <w:p w14:paraId="2F5835D8" w14:textId="77777777" w:rsidR="007043B5" w:rsidRPr="00047374" w:rsidRDefault="007043B5" w:rsidP="004361E5">
            <w:pPr>
              <w:spacing w:after="0"/>
              <w:jc w:val="both"/>
              <w:cnfStyle w:val="000000100000" w:firstRow="0" w:lastRow="0" w:firstColumn="0" w:lastColumn="0" w:oddVBand="0" w:evenVBand="0" w:oddHBand="1" w:evenHBand="0" w:firstRowFirstColumn="0" w:firstRowLastColumn="0" w:lastRowFirstColumn="0" w:lastRowLastColumn="0"/>
              <w:rPr>
                <w:szCs w:val="20"/>
              </w:rPr>
            </w:pPr>
            <w:r w:rsidRPr="00047374">
              <w:rPr>
                <w:szCs w:val="20"/>
              </w:rPr>
              <w:t xml:space="preserve">An intervention where research </w:t>
            </w:r>
            <w:r>
              <w:rPr>
                <w:szCs w:val="20"/>
              </w:rPr>
              <w:t>on treatment effectiveness has commenced,</w:t>
            </w:r>
            <w:r w:rsidRPr="00047374">
              <w:rPr>
                <w:szCs w:val="20"/>
              </w:rPr>
              <w:t xml:space="preserve"> but is still in its infancy</w:t>
            </w:r>
            <w:r>
              <w:rPr>
                <w:szCs w:val="20"/>
              </w:rPr>
              <w:t>,</w:t>
            </w:r>
            <w:r w:rsidRPr="00047374">
              <w:rPr>
                <w:szCs w:val="20"/>
              </w:rPr>
              <w:t xml:space="preserve"> and there is not</w:t>
            </w:r>
            <w:r>
              <w:rPr>
                <w:szCs w:val="20"/>
              </w:rPr>
              <w:t xml:space="preserve"> </w:t>
            </w:r>
            <w:r w:rsidRPr="00047374">
              <w:rPr>
                <w:szCs w:val="20"/>
              </w:rPr>
              <w:t xml:space="preserve">enough evidence to support its use. These types of interventions may already be used by people with mental health </w:t>
            </w:r>
            <w:r>
              <w:rPr>
                <w:szCs w:val="20"/>
              </w:rPr>
              <w:t>condition</w:t>
            </w:r>
            <w:r w:rsidRPr="00047374">
              <w:rPr>
                <w:szCs w:val="20"/>
              </w:rPr>
              <w:t>s</w:t>
            </w:r>
            <w:r>
              <w:rPr>
                <w:szCs w:val="20"/>
              </w:rPr>
              <w:t xml:space="preserve">, and </w:t>
            </w:r>
            <w:r w:rsidRPr="00047374">
              <w:rPr>
                <w:szCs w:val="20"/>
              </w:rPr>
              <w:t>are often reported in the media as offering new hope</w:t>
            </w:r>
            <w:r>
              <w:rPr>
                <w:szCs w:val="20"/>
              </w:rPr>
              <w:t>. H</w:t>
            </w:r>
            <w:r w:rsidRPr="00047374">
              <w:rPr>
                <w:szCs w:val="20"/>
              </w:rPr>
              <w:t>owever</w:t>
            </w:r>
            <w:r>
              <w:rPr>
                <w:szCs w:val="20"/>
              </w:rPr>
              <w:t>,</w:t>
            </w:r>
            <w:r w:rsidRPr="00047374">
              <w:rPr>
                <w:szCs w:val="20"/>
              </w:rPr>
              <w:t xml:space="preserve"> these </w:t>
            </w:r>
            <w:r>
              <w:rPr>
                <w:szCs w:val="20"/>
              </w:rPr>
              <w:t xml:space="preserve">media </w:t>
            </w:r>
            <w:r w:rsidRPr="00047374">
              <w:rPr>
                <w:szCs w:val="20"/>
              </w:rPr>
              <w:t xml:space="preserve">reports are </w:t>
            </w:r>
            <w:r>
              <w:rPr>
                <w:szCs w:val="20"/>
              </w:rPr>
              <w:t xml:space="preserve">typically </w:t>
            </w:r>
            <w:r w:rsidRPr="00047374">
              <w:rPr>
                <w:szCs w:val="20"/>
              </w:rPr>
              <w:t>based on anecdotal evidence or small preliminary studies. This does</w:t>
            </w:r>
            <w:r>
              <w:rPr>
                <w:szCs w:val="20"/>
              </w:rPr>
              <w:t xml:space="preserve"> </w:t>
            </w:r>
            <w:r w:rsidRPr="00047374">
              <w:rPr>
                <w:szCs w:val="20"/>
              </w:rPr>
              <w:t>n</w:t>
            </w:r>
            <w:r>
              <w:rPr>
                <w:szCs w:val="20"/>
              </w:rPr>
              <w:t>o</w:t>
            </w:r>
            <w:r w:rsidRPr="00047374">
              <w:rPr>
                <w:szCs w:val="20"/>
              </w:rPr>
              <w:t xml:space="preserve">t mean </w:t>
            </w:r>
            <w:r>
              <w:rPr>
                <w:szCs w:val="20"/>
              </w:rPr>
              <w:t xml:space="preserve">that emerging interventions </w:t>
            </w:r>
            <w:r w:rsidRPr="00047374">
              <w:rPr>
                <w:szCs w:val="20"/>
              </w:rPr>
              <w:t>do</w:t>
            </w:r>
            <w:r>
              <w:rPr>
                <w:szCs w:val="20"/>
              </w:rPr>
              <w:t xml:space="preserve"> </w:t>
            </w:r>
            <w:r w:rsidRPr="00047374">
              <w:rPr>
                <w:szCs w:val="20"/>
              </w:rPr>
              <w:t>n</w:t>
            </w:r>
            <w:r>
              <w:rPr>
                <w:szCs w:val="20"/>
              </w:rPr>
              <w:t>o</w:t>
            </w:r>
            <w:r w:rsidRPr="00047374">
              <w:rPr>
                <w:szCs w:val="20"/>
              </w:rPr>
              <w:t xml:space="preserve">t work; it just means that there is not enough evidence </w:t>
            </w:r>
            <w:r>
              <w:rPr>
                <w:szCs w:val="20"/>
              </w:rPr>
              <w:t xml:space="preserve">to </w:t>
            </w:r>
            <w:r w:rsidRPr="00047374">
              <w:rPr>
                <w:szCs w:val="20"/>
              </w:rPr>
              <w:t xml:space="preserve">know if they </w:t>
            </w:r>
            <w:r>
              <w:rPr>
                <w:szCs w:val="20"/>
              </w:rPr>
              <w:t xml:space="preserve">do </w:t>
            </w:r>
            <w:r w:rsidRPr="00047374">
              <w:rPr>
                <w:szCs w:val="20"/>
              </w:rPr>
              <w:t>work.</w:t>
            </w:r>
          </w:p>
        </w:tc>
      </w:tr>
    </w:tbl>
    <w:bookmarkEnd w:id="143"/>
    <w:p w14:paraId="07EDB53A" w14:textId="77777777" w:rsidR="007043B5" w:rsidRDefault="007043B5" w:rsidP="007043B5">
      <w:pPr>
        <w:jc w:val="both"/>
        <w:rPr>
          <w:szCs w:val="20"/>
        </w:rPr>
      </w:pPr>
      <w:r w:rsidRPr="004928B9">
        <w:rPr>
          <w:szCs w:val="20"/>
        </w:rPr>
        <w:t>Source: Adapted from Jones et al. (2020, p</w:t>
      </w:r>
      <w:r>
        <w:rPr>
          <w:szCs w:val="20"/>
        </w:rPr>
        <w:t xml:space="preserve">. </w:t>
      </w:r>
      <w:r w:rsidRPr="004928B9">
        <w:rPr>
          <w:szCs w:val="20"/>
        </w:rPr>
        <w:t>5).</w:t>
      </w:r>
      <w:r w:rsidRPr="003F28F6">
        <w:rPr>
          <w:szCs w:val="20"/>
        </w:rPr>
        <w:t xml:space="preserve"> </w:t>
      </w:r>
    </w:p>
    <w:p w14:paraId="454E2E03" w14:textId="77777777" w:rsidR="007043B5" w:rsidRDefault="007043B5" w:rsidP="007043B5">
      <w:pPr>
        <w:pStyle w:val="Heading1"/>
      </w:pPr>
      <w:bookmarkStart w:id="144" w:name="_Toc121689293"/>
      <w:bookmarkStart w:id="145" w:name="_Toc151690805"/>
      <w:bookmarkStart w:id="146" w:name="_Toc165018190"/>
      <w:r w:rsidRPr="002266EC">
        <w:t>Methods</w:t>
      </w:r>
      <w:bookmarkEnd w:id="144"/>
      <w:bookmarkEnd w:id="145"/>
      <w:bookmarkEnd w:id="146"/>
    </w:p>
    <w:p w14:paraId="63480EEA" w14:textId="77777777" w:rsidR="007043B5" w:rsidRPr="000F125B" w:rsidRDefault="007043B5" w:rsidP="007043B5">
      <w:pPr>
        <w:pStyle w:val="Heading2"/>
        <w:jc w:val="both"/>
      </w:pPr>
      <w:bookmarkStart w:id="147" w:name="_Toc121689294"/>
      <w:bookmarkStart w:id="148" w:name="_Toc151690806"/>
      <w:bookmarkStart w:id="149" w:name="_Toc165018191"/>
      <w:r>
        <w:t>Design</w:t>
      </w:r>
      <w:bookmarkEnd w:id="147"/>
      <w:bookmarkEnd w:id="148"/>
      <w:bookmarkEnd w:id="149"/>
    </w:p>
    <w:p w14:paraId="5E712170" w14:textId="77777777" w:rsidR="007043B5" w:rsidRDefault="007043B5" w:rsidP="007043B5">
      <w:pPr>
        <w:jc w:val="both"/>
      </w:pPr>
      <w:r w:rsidRPr="002266EC">
        <w:t xml:space="preserve">A </w:t>
      </w:r>
      <w:r>
        <w:t>REA</w:t>
      </w:r>
      <w:r w:rsidRPr="002266EC">
        <w:t xml:space="preserve"> was conducted to identi</w:t>
      </w:r>
      <w:r>
        <w:t>fy and critically evaluate the current</w:t>
      </w:r>
      <w:r w:rsidRPr="002266EC">
        <w:t xml:space="preserve"> literature on emerging and adjunct treatments for PTSD, and common mental health conditions</w:t>
      </w:r>
      <w:r>
        <w:t xml:space="preserve"> </w:t>
      </w:r>
      <w:r w:rsidRPr="002266EC">
        <w:t xml:space="preserve">affecting veterans. </w:t>
      </w:r>
      <w:r>
        <w:t xml:space="preserve">A REA, or </w:t>
      </w:r>
      <w:r w:rsidRPr="002266EC">
        <w:t>rapid review</w:t>
      </w:r>
      <w:r>
        <w:t>,</w:t>
      </w:r>
      <w:r w:rsidRPr="002266EC">
        <w:t xml:space="preserve"> </w:t>
      </w:r>
      <w:r>
        <w:t>i</w:t>
      </w:r>
      <w:r w:rsidRPr="002266EC">
        <w:t xml:space="preserve">s “a form of knowledge synthesis that accelerates the process of conducting a traditional systematic review </w:t>
      </w:r>
      <w:r w:rsidRPr="00E46495">
        <w:t xml:space="preserve">through streamlining or omitting various methods to produce evidence for stakeholders in a resource-efficient manner” </w:t>
      </w:r>
      <w:r>
        <w:t>(</w:t>
      </w:r>
      <w:r w:rsidRPr="00E46495">
        <w:t>Hamel et al., 2021</w:t>
      </w:r>
      <w:r>
        <w:t>, p. 80)</w:t>
      </w:r>
      <w:r w:rsidRPr="00E46495">
        <w:t>.</w:t>
      </w:r>
      <w:r w:rsidRPr="002266EC">
        <w:t xml:space="preserve"> </w:t>
      </w:r>
    </w:p>
    <w:p w14:paraId="351CBE40" w14:textId="77777777" w:rsidR="007043B5" w:rsidRDefault="007043B5" w:rsidP="007043B5">
      <w:pPr>
        <w:pStyle w:val="Heading2"/>
        <w:jc w:val="both"/>
      </w:pPr>
      <w:bookmarkStart w:id="150" w:name="_Toc121689295"/>
      <w:bookmarkStart w:id="151" w:name="_Toc151690807"/>
      <w:bookmarkStart w:id="152" w:name="_Toc165018192"/>
      <w:r>
        <w:t>National Health and Medical Research Council (NHMRC): Levels of evidence</w:t>
      </w:r>
      <w:bookmarkEnd w:id="150"/>
      <w:bookmarkEnd w:id="151"/>
      <w:bookmarkEnd w:id="152"/>
      <w:r>
        <w:t xml:space="preserve"> </w:t>
      </w:r>
    </w:p>
    <w:p w14:paraId="2ABB5AB1" w14:textId="77777777" w:rsidR="007043B5" w:rsidRDefault="007043B5" w:rsidP="007043B5">
      <w:pPr>
        <w:jc w:val="both"/>
        <w:rPr>
          <w:i/>
        </w:rPr>
      </w:pPr>
      <w:r>
        <w:t>The most appropriate study design to answer an intervention research question is Level II evidence (</w:t>
      </w:r>
      <w:r w:rsidRPr="005E71FC">
        <w:t>NHMRC, 2009</w:t>
      </w:r>
      <w:r>
        <w:t>)</w:t>
      </w:r>
      <w:r w:rsidRPr="005E71FC">
        <w:t>.</w:t>
      </w:r>
      <w:r>
        <w:t xml:space="preserve"> Level I studies are systematic reviews of appropriate Level II studies. Study designs that are progressively less robust are shown at Levels III and IV (see Table 2). Importantly, regardless of the quality of a systematic review (e.g., “exceptional”), an NHMRC “level of evidence” ranking is based </w:t>
      </w:r>
      <w:r w:rsidRPr="005E71FC">
        <w:t>on the risk of bias in the design of</w:t>
      </w:r>
      <w:r>
        <w:t xml:space="preserve"> the studies contained within the review (NHMRC, 2009, p. 5). For example, a systematic review of cohort and case-control studies would be assigned a Level III-2 evidence ranking because the studies contained within the review likely have poorer internal validity and greater susceptibility to bias (NHMRC, 2009). </w:t>
      </w:r>
    </w:p>
    <w:p w14:paraId="7093100A" w14:textId="77777777" w:rsidR="007043B5" w:rsidRDefault="007043B5" w:rsidP="007043B5">
      <w:pPr>
        <w:spacing w:after="160"/>
        <w:rPr>
          <w:rFonts w:ascii="Calibri" w:eastAsiaTheme="minorEastAsia" w:hAnsi="Calibri"/>
          <w:b/>
          <w:bCs/>
          <w:sz w:val="18"/>
          <w:szCs w:val="18"/>
          <w:lang w:val="en-US" w:eastAsia="ja-JP"/>
        </w:rPr>
      </w:pPr>
      <w:r>
        <w:rPr>
          <w:b/>
          <w:bCs/>
          <w:i/>
          <w:iCs/>
        </w:rPr>
        <w:br w:type="page"/>
      </w:r>
    </w:p>
    <w:p w14:paraId="54DB445F" w14:textId="7730B287" w:rsidR="007043B5" w:rsidRPr="004A32DE" w:rsidRDefault="007043B5" w:rsidP="007043B5">
      <w:pPr>
        <w:pStyle w:val="Caption"/>
        <w:keepNext/>
        <w:rPr>
          <w:b/>
          <w:bCs/>
          <w:i w:val="0"/>
          <w:iCs w:val="0"/>
          <w:color w:val="auto"/>
          <w:sz w:val="20"/>
          <w:szCs w:val="20"/>
        </w:rPr>
      </w:pPr>
      <w:bookmarkStart w:id="153" w:name="_Toc103931015"/>
      <w:bookmarkStart w:id="154" w:name="_Toc151691016"/>
      <w:bookmarkStart w:id="155" w:name="_Toc165018278"/>
      <w:r w:rsidRPr="004A32DE">
        <w:rPr>
          <w:b/>
          <w:bCs/>
          <w:i w:val="0"/>
          <w:iCs w:val="0"/>
          <w:color w:val="auto"/>
          <w:sz w:val="20"/>
          <w:szCs w:val="20"/>
        </w:rPr>
        <w:lastRenderedPageBreak/>
        <w:t xml:space="preserve">Table </w:t>
      </w:r>
      <w:r w:rsidRPr="004A32DE">
        <w:rPr>
          <w:b/>
          <w:bCs/>
          <w:i w:val="0"/>
          <w:iCs w:val="0"/>
          <w:color w:val="auto"/>
          <w:sz w:val="20"/>
          <w:szCs w:val="20"/>
        </w:rPr>
        <w:fldChar w:fldCharType="begin"/>
      </w:r>
      <w:r w:rsidRPr="004A32DE">
        <w:rPr>
          <w:b/>
          <w:bCs/>
          <w:i w:val="0"/>
          <w:iCs w:val="0"/>
          <w:color w:val="auto"/>
          <w:sz w:val="20"/>
          <w:szCs w:val="20"/>
        </w:rPr>
        <w:instrText xml:space="preserve"> SEQ Table \* ARABIC </w:instrText>
      </w:r>
      <w:r w:rsidRPr="004A32DE">
        <w:rPr>
          <w:b/>
          <w:bCs/>
          <w:i w:val="0"/>
          <w:iCs w:val="0"/>
          <w:color w:val="auto"/>
          <w:sz w:val="20"/>
          <w:szCs w:val="20"/>
        </w:rPr>
        <w:fldChar w:fldCharType="separate"/>
      </w:r>
      <w:r w:rsidR="005A78A1">
        <w:rPr>
          <w:b/>
          <w:bCs/>
          <w:i w:val="0"/>
          <w:iCs w:val="0"/>
          <w:noProof/>
          <w:color w:val="auto"/>
          <w:sz w:val="20"/>
          <w:szCs w:val="20"/>
        </w:rPr>
        <w:t>2</w:t>
      </w:r>
      <w:r w:rsidRPr="004A32DE">
        <w:rPr>
          <w:b/>
          <w:bCs/>
          <w:i w:val="0"/>
          <w:iCs w:val="0"/>
          <w:color w:val="auto"/>
          <w:sz w:val="20"/>
          <w:szCs w:val="20"/>
        </w:rPr>
        <w:fldChar w:fldCharType="end"/>
      </w:r>
      <w:r w:rsidRPr="004A32DE">
        <w:rPr>
          <w:b/>
          <w:bCs/>
          <w:i w:val="0"/>
          <w:iCs w:val="0"/>
          <w:color w:val="auto"/>
          <w:sz w:val="20"/>
          <w:szCs w:val="20"/>
        </w:rPr>
        <w:t>. NHMRC “level of evidence” hierarchy for intervention research questions.</w:t>
      </w:r>
      <w:bookmarkEnd w:id="153"/>
      <w:bookmarkEnd w:id="154"/>
      <w:bookmarkEnd w:id="155"/>
    </w:p>
    <w:tbl>
      <w:tblPr>
        <w:tblStyle w:val="GridTable5Dark-Accent5"/>
        <w:tblW w:w="0" w:type="auto"/>
        <w:tblLook w:val="04A0" w:firstRow="1" w:lastRow="0" w:firstColumn="1" w:lastColumn="0" w:noHBand="0" w:noVBand="1"/>
      </w:tblPr>
      <w:tblGrid>
        <w:gridCol w:w="1696"/>
        <w:gridCol w:w="7320"/>
      </w:tblGrid>
      <w:tr w:rsidR="007043B5" w:rsidRPr="00471ABD" w14:paraId="0E27DFB1" w14:textId="77777777" w:rsidTr="00290E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Pr>
          <w:p w14:paraId="7ADACA59" w14:textId="77777777" w:rsidR="007043B5" w:rsidRPr="00471ABD" w:rsidRDefault="007043B5" w:rsidP="004361E5">
            <w:pPr>
              <w:jc w:val="both"/>
              <w:rPr>
                <w:rFonts w:cstheme="minorHAnsi"/>
                <w:szCs w:val="20"/>
              </w:rPr>
            </w:pPr>
            <w:r w:rsidRPr="00471ABD">
              <w:rPr>
                <w:rFonts w:cstheme="minorHAnsi"/>
                <w:szCs w:val="20"/>
              </w:rPr>
              <w:t>Level of Evidence</w:t>
            </w:r>
          </w:p>
        </w:tc>
        <w:tc>
          <w:tcPr>
            <w:tcW w:w="7320" w:type="dxa"/>
          </w:tcPr>
          <w:p w14:paraId="3691B05E" w14:textId="77777777" w:rsidR="007043B5" w:rsidRPr="00471ABD" w:rsidRDefault="007043B5" w:rsidP="004361E5">
            <w:pPr>
              <w:jc w:val="both"/>
              <w:cnfStyle w:val="100000000000" w:firstRow="1" w:lastRow="0" w:firstColumn="0" w:lastColumn="0" w:oddVBand="0" w:evenVBand="0" w:oddHBand="0" w:evenHBand="0" w:firstRowFirstColumn="0" w:firstRowLastColumn="0" w:lastRowFirstColumn="0" w:lastRowLastColumn="0"/>
              <w:rPr>
                <w:rFonts w:cstheme="minorHAnsi"/>
                <w:szCs w:val="20"/>
              </w:rPr>
            </w:pPr>
            <w:r w:rsidRPr="00471ABD">
              <w:rPr>
                <w:rFonts w:cstheme="minorHAnsi"/>
                <w:szCs w:val="20"/>
              </w:rPr>
              <w:t xml:space="preserve">Intervention </w:t>
            </w:r>
            <w:r>
              <w:rPr>
                <w:rFonts w:cstheme="minorHAnsi"/>
                <w:szCs w:val="20"/>
              </w:rPr>
              <w:t xml:space="preserve">Research </w:t>
            </w:r>
            <w:r w:rsidRPr="00471ABD">
              <w:rPr>
                <w:rFonts w:cstheme="minorHAnsi"/>
                <w:szCs w:val="20"/>
              </w:rPr>
              <w:t>Question</w:t>
            </w:r>
          </w:p>
        </w:tc>
      </w:tr>
      <w:tr w:rsidR="007043B5" w:rsidRPr="00471ABD" w14:paraId="304802BB" w14:textId="77777777" w:rsidTr="00436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ABD3F1A" w14:textId="77777777" w:rsidR="007043B5" w:rsidRPr="00471ABD" w:rsidRDefault="007043B5" w:rsidP="004361E5">
            <w:pPr>
              <w:jc w:val="both"/>
              <w:rPr>
                <w:rFonts w:cstheme="minorHAnsi"/>
                <w:szCs w:val="20"/>
              </w:rPr>
            </w:pPr>
            <w:r w:rsidRPr="00471ABD">
              <w:rPr>
                <w:rFonts w:cstheme="minorHAnsi"/>
                <w:szCs w:val="20"/>
              </w:rPr>
              <w:t>I</w:t>
            </w:r>
          </w:p>
        </w:tc>
        <w:tc>
          <w:tcPr>
            <w:tcW w:w="7320" w:type="dxa"/>
          </w:tcPr>
          <w:p w14:paraId="392A8BF5" w14:textId="77777777" w:rsidR="007043B5" w:rsidRPr="00471ABD" w:rsidRDefault="007043B5" w:rsidP="004361E5">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cstheme="minorHAnsi"/>
                <w:szCs w:val="20"/>
              </w:rPr>
            </w:pPr>
            <w:r>
              <w:rPr>
                <w:rFonts w:eastAsia="ArialNarrow" w:cstheme="minorHAnsi"/>
                <w:szCs w:val="20"/>
              </w:rPr>
              <w:t>A systematic review of L</w:t>
            </w:r>
            <w:r w:rsidRPr="00471ABD">
              <w:rPr>
                <w:rFonts w:eastAsia="ArialNarrow" w:cstheme="minorHAnsi"/>
                <w:szCs w:val="20"/>
              </w:rPr>
              <w:t>evel II</w:t>
            </w:r>
            <w:r>
              <w:rPr>
                <w:rFonts w:eastAsia="ArialNarrow" w:cstheme="minorHAnsi"/>
                <w:szCs w:val="20"/>
              </w:rPr>
              <w:t xml:space="preserve"> </w:t>
            </w:r>
            <w:r w:rsidRPr="00471ABD">
              <w:rPr>
                <w:rFonts w:eastAsia="ArialNarrow" w:cstheme="minorHAnsi"/>
                <w:szCs w:val="20"/>
              </w:rPr>
              <w:t>studies</w:t>
            </w:r>
          </w:p>
        </w:tc>
      </w:tr>
      <w:tr w:rsidR="007043B5" w:rsidRPr="00471ABD" w14:paraId="01D37757" w14:textId="77777777" w:rsidTr="004361E5">
        <w:tc>
          <w:tcPr>
            <w:cnfStyle w:val="001000000000" w:firstRow="0" w:lastRow="0" w:firstColumn="1" w:lastColumn="0" w:oddVBand="0" w:evenVBand="0" w:oddHBand="0" w:evenHBand="0" w:firstRowFirstColumn="0" w:firstRowLastColumn="0" w:lastRowFirstColumn="0" w:lastRowLastColumn="0"/>
            <w:tcW w:w="1696" w:type="dxa"/>
          </w:tcPr>
          <w:p w14:paraId="559D99C6" w14:textId="77777777" w:rsidR="007043B5" w:rsidRPr="00471ABD" w:rsidRDefault="007043B5" w:rsidP="004361E5">
            <w:pPr>
              <w:jc w:val="both"/>
              <w:rPr>
                <w:rFonts w:cstheme="minorHAnsi"/>
                <w:szCs w:val="20"/>
              </w:rPr>
            </w:pPr>
            <w:r w:rsidRPr="00471ABD">
              <w:rPr>
                <w:rFonts w:cstheme="minorHAnsi"/>
                <w:szCs w:val="20"/>
              </w:rPr>
              <w:t>II</w:t>
            </w:r>
          </w:p>
        </w:tc>
        <w:tc>
          <w:tcPr>
            <w:tcW w:w="7320" w:type="dxa"/>
          </w:tcPr>
          <w:p w14:paraId="1A21129B" w14:textId="77777777" w:rsidR="007043B5" w:rsidRPr="00471ABD" w:rsidRDefault="007043B5" w:rsidP="004361E5">
            <w:pPr>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71ABD">
              <w:rPr>
                <w:rFonts w:eastAsia="ArialNarrow" w:cstheme="minorHAnsi"/>
                <w:szCs w:val="20"/>
              </w:rPr>
              <w:t>A randomised controlled trial</w:t>
            </w:r>
          </w:p>
        </w:tc>
      </w:tr>
      <w:tr w:rsidR="007043B5" w:rsidRPr="00471ABD" w14:paraId="27C4D050" w14:textId="77777777" w:rsidTr="00436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895EC78" w14:textId="77777777" w:rsidR="007043B5" w:rsidRPr="00471ABD" w:rsidRDefault="007043B5" w:rsidP="004361E5">
            <w:pPr>
              <w:jc w:val="both"/>
              <w:rPr>
                <w:rFonts w:cstheme="minorHAnsi"/>
                <w:szCs w:val="20"/>
              </w:rPr>
            </w:pPr>
            <w:r w:rsidRPr="00471ABD">
              <w:rPr>
                <w:rFonts w:cstheme="minorHAnsi"/>
                <w:szCs w:val="20"/>
              </w:rPr>
              <w:t>III-1</w:t>
            </w:r>
          </w:p>
        </w:tc>
        <w:tc>
          <w:tcPr>
            <w:tcW w:w="7320" w:type="dxa"/>
          </w:tcPr>
          <w:p w14:paraId="1A9D835A" w14:textId="77777777" w:rsidR="007043B5" w:rsidRPr="00471ABD" w:rsidRDefault="007043B5" w:rsidP="004361E5">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cstheme="minorHAnsi"/>
                <w:szCs w:val="20"/>
              </w:rPr>
            </w:pPr>
            <w:r w:rsidRPr="00471ABD">
              <w:rPr>
                <w:rFonts w:eastAsia="ArialNarrow" w:cstheme="minorHAnsi"/>
                <w:szCs w:val="20"/>
              </w:rPr>
              <w:t>A pseudorandomised controlled trial</w:t>
            </w:r>
            <w:r>
              <w:rPr>
                <w:rFonts w:eastAsia="ArialNarrow" w:cstheme="minorHAnsi"/>
                <w:szCs w:val="20"/>
              </w:rPr>
              <w:t xml:space="preserve"> </w:t>
            </w:r>
            <w:r w:rsidRPr="00471ABD">
              <w:rPr>
                <w:rFonts w:eastAsia="ArialNarrow" w:cstheme="minorHAnsi"/>
                <w:szCs w:val="20"/>
              </w:rPr>
              <w:t>(i.e.</w:t>
            </w:r>
            <w:r>
              <w:rPr>
                <w:rFonts w:eastAsia="ArialNarrow" w:cstheme="minorHAnsi"/>
                <w:szCs w:val="20"/>
              </w:rPr>
              <w:t>,</w:t>
            </w:r>
            <w:r w:rsidRPr="00471ABD">
              <w:rPr>
                <w:rFonts w:eastAsia="ArialNarrow" w:cstheme="minorHAnsi"/>
                <w:szCs w:val="20"/>
              </w:rPr>
              <w:t xml:space="preserve"> alternate allocation or some</w:t>
            </w:r>
            <w:r>
              <w:rPr>
                <w:rFonts w:eastAsia="ArialNarrow" w:cstheme="minorHAnsi"/>
                <w:szCs w:val="20"/>
              </w:rPr>
              <w:t xml:space="preserve"> </w:t>
            </w:r>
            <w:r w:rsidRPr="00471ABD">
              <w:rPr>
                <w:rFonts w:eastAsia="ArialNarrow" w:cstheme="minorHAnsi"/>
                <w:szCs w:val="20"/>
              </w:rPr>
              <w:t>other method)</w:t>
            </w:r>
          </w:p>
        </w:tc>
      </w:tr>
      <w:tr w:rsidR="007043B5" w:rsidRPr="00471ABD" w14:paraId="3E0380A2" w14:textId="77777777" w:rsidTr="004361E5">
        <w:tc>
          <w:tcPr>
            <w:cnfStyle w:val="001000000000" w:firstRow="0" w:lastRow="0" w:firstColumn="1" w:lastColumn="0" w:oddVBand="0" w:evenVBand="0" w:oddHBand="0" w:evenHBand="0" w:firstRowFirstColumn="0" w:firstRowLastColumn="0" w:lastRowFirstColumn="0" w:lastRowLastColumn="0"/>
            <w:tcW w:w="1696" w:type="dxa"/>
          </w:tcPr>
          <w:p w14:paraId="447864E1" w14:textId="77777777" w:rsidR="007043B5" w:rsidRPr="00471ABD" w:rsidRDefault="007043B5" w:rsidP="004361E5">
            <w:pPr>
              <w:jc w:val="both"/>
              <w:rPr>
                <w:rFonts w:cstheme="minorHAnsi"/>
                <w:szCs w:val="20"/>
              </w:rPr>
            </w:pPr>
            <w:r w:rsidRPr="00471ABD">
              <w:rPr>
                <w:rFonts w:cstheme="minorHAnsi"/>
                <w:szCs w:val="20"/>
              </w:rPr>
              <w:t>III-2</w:t>
            </w:r>
          </w:p>
        </w:tc>
        <w:tc>
          <w:tcPr>
            <w:tcW w:w="7320" w:type="dxa"/>
          </w:tcPr>
          <w:p w14:paraId="59C2E115" w14:textId="77777777" w:rsidR="007043B5" w:rsidRPr="00471ABD" w:rsidRDefault="007043B5" w:rsidP="004361E5">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eastAsia="ArialNarrow" w:cstheme="minorHAnsi"/>
                <w:szCs w:val="20"/>
              </w:rPr>
            </w:pPr>
            <w:r w:rsidRPr="00471ABD">
              <w:rPr>
                <w:rFonts w:eastAsia="ArialNarrow" w:cstheme="minorHAnsi"/>
                <w:szCs w:val="20"/>
              </w:rPr>
              <w:t>A comparative study with</w:t>
            </w:r>
            <w:r>
              <w:rPr>
                <w:rFonts w:eastAsia="ArialNarrow" w:cstheme="minorHAnsi"/>
                <w:szCs w:val="20"/>
              </w:rPr>
              <w:t xml:space="preserve"> </w:t>
            </w:r>
            <w:r w:rsidRPr="00471ABD">
              <w:rPr>
                <w:rFonts w:eastAsia="ArialNarrow" w:cstheme="minorHAnsi"/>
                <w:szCs w:val="20"/>
              </w:rPr>
              <w:t>concurrent controls:</w:t>
            </w:r>
          </w:p>
          <w:p w14:paraId="2441B833" w14:textId="77777777" w:rsidR="007043B5" w:rsidRDefault="007043B5" w:rsidP="007043B5">
            <w:pPr>
              <w:pStyle w:val="ListParagraph"/>
              <w:numPr>
                <w:ilvl w:val="0"/>
                <w:numId w:val="14"/>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ArialNarrow" w:cstheme="minorHAnsi"/>
                <w:szCs w:val="20"/>
              </w:rPr>
            </w:pPr>
            <w:r w:rsidRPr="00471ABD">
              <w:rPr>
                <w:rFonts w:eastAsia="ArialNarrow" w:cstheme="minorHAnsi"/>
                <w:szCs w:val="20"/>
              </w:rPr>
              <w:t>Non-randomised,</w:t>
            </w:r>
            <w:r>
              <w:rPr>
                <w:rFonts w:eastAsia="ArialNarrow" w:cstheme="minorHAnsi"/>
                <w:szCs w:val="20"/>
              </w:rPr>
              <w:t xml:space="preserve"> </w:t>
            </w:r>
            <w:r w:rsidRPr="00471ABD">
              <w:rPr>
                <w:rFonts w:eastAsia="ArialNarrow" w:cstheme="minorHAnsi"/>
                <w:szCs w:val="20"/>
              </w:rPr>
              <w:t>experimental trial</w:t>
            </w:r>
          </w:p>
          <w:p w14:paraId="084440A4" w14:textId="77777777" w:rsidR="007043B5" w:rsidRDefault="007043B5" w:rsidP="007043B5">
            <w:pPr>
              <w:pStyle w:val="ListParagraph"/>
              <w:numPr>
                <w:ilvl w:val="0"/>
                <w:numId w:val="14"/>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ArialNarrow" w:cstheme="minorHAnsi"/>
                <w:szCs w:val="20"/>
              </w:rPr>
            </w:pPr>
            <w:r w:rsidRPr="00471ABD">
              <w:rPr>
                <w:rFonts w:eastAsia="ArialNarrow" w:cstheme="minorHAnsi"/>
                <w:szCs w:val="20"/>
              </w:rPr>
              <w:t>Cohort study</w:t>
            </w:r>
          </w:p>
          <w:p w14:paraId="3D708B53" w14:textId="77777777" w:rsidR="007043B5" w:rsidRDefault="007043B5" w:rsidP="007043B5">
            <w:pPr>
              <w:pStyle w:val="ListParagraph"/>
              <w:numPr>
                <w:ilvl w:val="0"/>
                <w:numId w:val="14"/>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ArialNarrow" w:cstheme="minorHAnsi"/>
                <w:szCs w:val="20"/>
              </w:rPr>
            </w:pPr>
            <w:r w:rsidRPr="00471ABD">
              <w:rPr>
                <w:rFonts w:eastAsia="ArialNarrow" w:cstheme="minorHAnsi"/>
                <w:szCs w:val="20"/>
              </w:rPr>
              <w:t>Case-control study</w:t>
            </w:r>
          </w:p>
          <w:p w14:paraId="219DCE63" w14:textId="77777777" w:rsidR="007043B5" w:rsidRPr="00471ABD" w:rsidRDefault="007043B5" w:rsidP="007043B5">
            <w:pPr>
              <w:pStyle w:val="ListParagraph"/>
              <w:numPr>
                <w:ilvl w:val="0"/>
                <w:numId w:val="14"/>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71ABD">
              <w:rPr>
                <w:rFonts w:eastAsia="ArialNarrow" w:cstheme="minorHAnsi"/>
                <w:szCs w:val="20"/>
              </w:rPr>
              <w:t>Interrupted time series with a</w:t>
            </w:r>
            <w:r>
              <w:rPr>
                <w:rFonts w:eastAsia="ArialNarrow" w:cstheme="minorHAnsi"/>
                <w:szCs w:val="20"/>
              </w:rPr>
              <w:t xml:space="preserve"> </w:t>
            </w:r>
            <w:r w:rsidRPr="00471ABD">
              <w:rPr>
                <w:rFonts w:eastAsia="ArialNarrow" w:cstheme="minorHAnsi"/>
                <w:szCs w:val="20"/>
              </w:rPr>
              <w:t>control group</w:t>
            </w:r>
          </w:p>
        </w:tc>
      </w:tr>
      <w:tr w:rsidR="007043B5" w:rsidRPr="00471ABD" w14:paraId="1650AEB5" w14:textId="77777777" w:rsidTr="00436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76AAA6F" w14:textId="77777777" w:rsidR="007043B5" w:rsidRPr="00471ABD" w:rsidRDefault="007043B5" w:rsidP="004361E5">
            <w:pPr>
              <w:jc w:val="both"/>
              <w:rPr>
                <w:rFonts w:cstheme="minorHAnsi"/>
                <w:szCs w:val="20"/>
              </w:rPr>
            </w:pPr>
            <w:r w:rsidRPr="00471ABD">
              <w:rPr>
                <w:rFonts w:cstheme="minorHAnsi"/>
                <w:szCs w:val="20"/>
              </w:rPr>
              <w:t>III-3</w:t>
            </w:r>
          </w:p>
        </w:tc>
        <w:tc>
          <w:tcPr>
            <w:tcW w:w="7320" w:type="dxa"/>
          </w:tcPr>
          <w:p w14:paraId="42192729" w14:textId="77777777" w:rsidR="007043B5" w:rsidRPr="00471ABD" w:rsidRDefault="007043B5" w:rsidP="004361E5">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eastAsia="ArialNarrow" w:cstheme="minorHAnsi"/>
                <w:szCs w:val="20"/>
              </w:rPr>
            </w:pPr>
            <w:r w:rsidRPr="00471ABD">
              <w:rPr>
                <w:rFonts w:eastAsia="ArialNarrow" w:cstheme="minorHAnsi"/>
                <w:szCs w:val="20"/>
              </w:rPr>
              <w:t>A comparative study without</w:t>
            </w:r>
            <w:r>
              <w:rPr>
                <w:rFonts w:eastAsia="ArialNarrow" w:cstheme="minorHAnsi"/>
                <w:szCs w:val="20"/>
              </w:rPr>
              <w:t xml:space="preserve"> </w:t>
            </w:r>
            <w:r w:rsidRPr="00471ABD">
              <w:rPr>
                <w:rFonts w:eastAsia="ArialNarrow" w:cstheme="minorHAnsi"/>
                <w:szCs w:val="20"/>
              </w:rPr>
              <w:t>concurrent controls:</w:t>
            </w:r>
          </w:p>
          <w:p w14:paraId="5A002AA2" w14:textId="77777777" w:rsidR="007043B5" w:rsidRDefault="007043B5" w:rsidP="007043B5">
            <w:pPr>
              <w:pStyle w:val="ListParagraph"/>
              <w:numPr>
                <w:ilvl w:val="0"/>
                <w:numId w:val="15"/>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ArialNarrow" w:cstheme="minorHAnsi"/>
                <w:szCs w:val="20"/>
              </w:rPr>
            </w:pPr>
            <w:r w:rsidRPr="00471ABD">
              <w:rPr>
                <w:rFonts w:eastAsia="ArialNarrow" w:cstheme="minorHAnsi"/>
                <w:szCs w:val="20"/>
              </w:rPr>
              <w:t>Historical control study</w:t>
            </w:r>
          </w:p>
          <w:p w14:paraId="5370616A" w14:textId="77777777" w:rsidR="007043B5" w:rsidRDefault="007043B5" w:rsidP="007043B5">
            <w:pPr>
              <w:pStyle w:val="ListParagraph"/>
              <w:numPr>
                <w:ilvl w:val="0"/>
                <w:numId w:val="15"/>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ArialNarrow" w:cstheme="minorHAnsi"/>
                <w:szCs w:val="20"/>
              </w:rPr>
            </w:pPr>
            <w:r w:rsidRPr="00471ABD">
              <w:rPr>
                <w:rFonts w:eastAsia="ArialNarrow" w:cstheme="minorHAnsi"/>
                <w:szCs w:val="20"/>
              </w:rPr>
              <w:t>Two or more single arm</w:t>
            </w:r>
            <w:r>
              <w:rPr>
                <w:rFonts w:eastAsia="ArialNarrow" w:cstheme="minorHAnsi"/>
                <w:szCs w:val="20"/>
              </w:rPr>
              <w:t xml:space="preserve"> </w:t>
            </w:r>
            <w:r w:rsidRPr="00471ABD">
              <w:rPr>
                <w:rFonts w:eastAsia="ArialNarrow" w:cstheme="minorHAnsi"/>
                <w:szCs w:val="20"/>
              </w:rPr>
              <w:t>study</w:t>
            </w:r>
          </w:p>
          <w:p w14:paraId="1956142D" w14:textId="77777777" w:rsidR="007043B5" w:rsidRPr="00471ABD" w:rsidRDefault="007043B5" w:rsidP="007043B5">
            <w:pPr>
              <w:pStyle w:val="ListParagraph"/>
              <w:numPr>
                <w:ilvl w:val="0"/>
                <w:numId w:val="15"/>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Cs w:val="20"/>
              </w:rPr>
            </w:pPr>
            <w:r w:rsidRPr="00471ABD">
              <w:rPr>
                <w:rFonts w:eastAsia="ArialNarrow" w:cstheme="minorHAnsi"/>
                <w:szCs w:val="20"/>
              </w:rPr>
              <w:t>Interrupted time series without a</w:t>
            </w:r>
            <w:r>
              <w:rPr>
                <w:rFonts w:eastAsia="ArialNarrow" w:cstheme="minorHAnsi"/>
                <w:szCs w:val="20"/>
              </w:rPr>
              <w:t xml:space="preserve"> </w:t>
            </w:r>
            <w:r w:rsidRPr="00471ABD">
              <w:rPr>
                <w:rFonts w:eastAsia="ArialNarrow" w:cstheme="minorHAnsi"/>
                <w:szCs w:val="20"/>
              </w:rPr>
              <w:t>parallel control group</w:t>
            </w:r>
          </w:p>
        </w:tc>
      </w:tr>
      <w:tr w:rsidR="007043B5" w:rsidRPr="00471ABD" w14:paraId="5B64DD75" w14:textId="77777777" w:rsidTr="004361E5">
        <w:tc>
          <w:tcPr>
            <w:cnfStyle w:val="001000000000" w:firstRow="0" w:lastRow="0" w:firstColumn="1" w:lastColumn="0" w:oddVBand="0" w:evenVBand="0" w:oddHBand="0" w:evenHBand="0" w:firstRowFirstColumn="0" w:firstRowLastColumn="0" w:lastRowFirstColumn="0" w:lastRowLastColumn="0"/>
            <w:tcW w:w="1696" w:type="dxa"/>
          </w:tcPr>
          <w:p w14:paraId="304B1D9D" w14:textId="77777777" w:rsidR="007043B5" w:rsidRPr="00471ABD" w:rsidRDefault="007043B5" w:rsidP="004361E5">
            <w:pPr>
              <w:jc w:val="both"/>
              <w:rPr>
                <w:rFonts w:cstheme="minorHAnsi"/>
                <w:szCs w:val="20"/>
              </w:rPr>
            </w:pPr>
            <w:r w:rsidRPr="00471ABD">
              <w:rPr>
                <w:rFonts w:cstheme="minorHAnsi"/>
                <w:szCs w:val="20"/>
              </w:rPr>
              <w:t>IV</w:t>
            </w:r>
          </w:p>
        </w:tc>
        <w:tc>
          <w:tcPr>
            <w:tcW w:w="7320" w:type="dxa"/>
          </w:tcPr>
          <w:p w14:paraId="4CBBCAEE" w14:textId="77777777" w:rsidR="007043B5" w:rsidRPr="00471ABD" w:rsidRDefault="007043B5" w:rsidP="004361E5">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71ABD">
              <w:rPr>
                <w:rFonts w:eastAsia="ArialNarrow" w:cstheme="minorHAnsi"/>
                <w:szCs w:val="20"/>
              </w:rPr>
              <w:t>Case series with either post-test or</w:t>
            </w:r>
            <w:r>
              <w:rPr>
                <w:rFonts w:eastAsia="ArialNarrow" w:cstheme="minorHAnsi"/>
                <w:szCs w:val="20"/>
              </w:rPr>
              <w:t xml:space="preserve"> </w:t>
            </w:r>
            <w:r w:rsidRPr="00471ABD">
              <w:rPr>
                <w:rFonts w:eastAsia="ArialNarrow" w:cstheme="minorHAnsi"/>
                <w:szCs w:val="20"/>
              </w:rPr>
              <w:t>pre-test/post-test outcomes</w:t>
            </w:r>
          </w:p>
        </w:tc>
      </w:tr>
    </w:tbl>
    <w:p w14:paraId="4790B8E8" w14:textId="77777777" w:rsidR="007043B5" w:rsidRPr="005E71FC" w:rsidRDefault="007043B5" w:rsidP="007043B5">
      <w:pPr>
        <w:jc w:val="both"/>
        <w:rPr>
          <w:highlight w:val="yellow"/>
        </w:rPr>
      </w:pPr>
      <w:r w:rsidRPr="005E71FC">
        <w:t>Source: NHMRC (2009, p</w:t>
      </w:r>
      <w:r>
        <w:t xml:space="preserve">. </w:t>
      </w:r>
      <w:r w:rsidRPr="005E71FC">
        <w:t xml:space="preserve">15, Table 3); </w:t>
      </w:r>
      <w:r>
        <w:t xml:space="preserve">for explanatory notes </w:t>
      </w:r>
      <w:r w:rsidRPr="005E71FC">
        <w:t>see</w:t>
      </w:r>
      <w:r>
        <w:t>:</w:t>
      </w:r>
      <w:r w:rsidRPr="005E71FC">
        <w:t xml:space="preserve"> NHMRC (2009, p</w:t>
      </w:r>
      <w:r>
        <w:t xml:space="preserve">. </w:t>
      </w:r>
      <w:r w:rsidRPr="005E71FC">
        <w:t>16)</w:t>
      </w:r>
      <w:r>
        <w:t>.</w:t>
      </w:r>
    </w:p>
    <w:p w14:paraId="1612693C" w14:textId="77777777" w:rsidR="007043B5" w:rsidRPr="002266EC" w:rsidRDefault="007043B5" w:rsidP="007043B5">
      <w:pPr>
        <w:pStyle w:val="Heading2"/>
        <w:jc w:val="both"/>
      </w:pPr>
      <w:bookmarkStart w:id="156" w:name="_Toc121689296"/>
      <w:bookmarkStart w:id="157" w:name="_Toc151690808"/>
      <w:bookmarkStart w:id="158" w:name="_Toc165018193"/>
      <w:r>
        <w:t>Protocol</w:t>
      </w:r>
      <w:bookmarkEnd w:id="156"/>
      <w:bookmarkEnd w:id="157"/>
      <w:bookmarkEnd w:id="158"/>
    </w:p>
    <w:p w14:paraId="5B5BEB2D" w14:textId="77777777" w:rsidR="007043B5" w:rsidRPr="00E04238" w:rsidRDefault="007043B5" w:rsidP="007043B5">
      <w:pPr>
        <w:jc w:val="both"/>
      </w:pPr>
      <w:r w:rsidRPr="00E04238">
        <w:t xml:space="preserve">The </w:t>
      </w:r>
      <w:r>
        <w:t>REA</w:t>
      </w:r>
      <w:r w:rsidRPr="00E04238">
        <w:t xml:space="preserve"> employed the best-practice guidelines (see Appendix 1) recommended by the Cochrane Rapid Reviews Methods Group (RRMG; Garritty et al., 2020); with reference to the guidelines specified by the Department of Veterans’ Affairs (DVA; Varker et al., 2014). </w:t>
      </w:r>
      <w:r>
        <w:t>T</w:t>
      </w:r>
      <w:r w:rsidRPr="00E04238">
        <w:t xml:space="preserve">he REA protocol was submitted to the National Centre for Health Research (UK) – International prospective register of systematic reviews (PROSPERO; </w:t>
      </w:r>
      <w:r w:rsidRPr="00E04238">
        <w:rPr>
          <w:rFonts w:cstheme="minorHAnsi"/>
          <w:szCs w:val="20"/>
        </w:rPr>
        <w:t>National Institute for Health Research, n.d.</w:t>
      </w:r>
      <w:r w:rsidRPr="00E04238">
        <w:t>)</w:t>
      </w:r>
      <w:r>
        <w:t xml:space="preserve"> t</w:t>
      </w:r>
      <w:r w:rsidRPr="00E04238">
        <w:t xml:space="preserve">o provide evidence of the methodological rigour of the project, and the independence of the review findings. The REA protocol can be accessed using the following link:  </w:t>
      </w:r>
      <w:hyperlink r:id="rId32" w:history="1">
        <w:r w:rsidRPr="00E04238">
          <w:rPr>
            <w:rStyle w:val="Hyperlink"/>
          </w:rPr>
          <w:t>https://www.crd.york.ac.uk/prospero/display_record.php?ID=CRD42022307924</w:t>
        </w:r>
      </w:hyperlink>
      <w:r w:rsidRPr="00E04238">
        <w:t>.</w:t>
      </w:r>
    </w:p>
    <w:p w14:paraId="705A0904" w14:textId="77777777" w:rsidR="007043B5" w:rsidRPr="00DB0CF3" w:rsidRDefault="007043B5" w:rsidP="007043B5">
      <w:pPr>
        <w:pStyle w:val="Heading2"/>
        <w:jc w:val="both"/>
      </w:pPr>
      <w:bookmarkStart w:id="159" w:name="_Toc121689297"/>
      <w:bookmarkStart w:id="160" w:name="_Toc151690809"/>
      <w:bookmarkStart w:id="161" w:name="_Toc165018194"/>
      <w:r w:rsidRPr="00DB0CF3">
        <w:t>Conditions being studied</w:t>
      </w:r>
      <w:bookmarkEnd w:id="159"/>
      <w:bookmarkEnd w:id="160"/>
      <w:bookmarkEnd w:id="161"/>
    </w:p>
    <w:p w14:paraId="4918DF54" w14:textId="77777777" w:rsidR="007043B5" w:rsidRDefault="007043B5" w:rsidP="007043B5">
      <w:pPr>
        <w:jc w:val="both"/>
      </w:pPr>
      <w:r w:rsidRPr="00DB0CF3">
        <w:t>The REA examined four categories of mental health conditions: anxiety disorders, mood/depressive disorders, substance-related and addictive disorders, and trauma- and stressor-related disorders. There was a specific focus on PTSD. The selection of the four disorder categories corresponding to “common mental health conditions affecting veterans” was informed by data from the Mental Health Prevalence Study (Van Hooff et al., 2018) conducted as part of the Transition and Wellbeing Research Programme (Department of Veterans’ Affairs, 2020).</w:t>
      </w:r>
    </w:p>
    <w:p w14:paraId="5A3C838A" w14:textId="77777777" w:rsidR="007043B5" w:rsidRDefault="007043B5" w:rsidP="007043B5">
      <w:pPr>
        <w:pStyle w:val="Heading2"/>
        <w:jc w:val="both"/>
      </w:pPr>
      <w:bookmarkStart w:id="162" w:name="_Toc121689298"/>
      <w:bookmarkStart w:id="163" w:name="_Toc151690810"/>
      <w:bookmarkStart w:id="164" w:name="_Toc165018195"/>
      <w:r>
        <w:t>PICO framework</w:t>
      </w:r>
      <w:bookmarkEnd w:id="162"/>
      <w:bookmarkEnd w:id="163"/>
      <w:bookmarkEnd w:id="164"/>
    </w:p>
    <w:p w14:paraId="5E8F1FCB" w14:textId="77777777" w:rsidR="007043B5" w:rsidRDefault="007043B5" w:rsidP="007043B5">
      <w:pPr>
        <w:jc w:val="both"/>
      </w:pPr>
      <w:r>
        <w:t>The Population, Intervention, Comparator, Outcome (PICO) framework for the REA is presented in Appendix 2.</w:t>
      </w:r>
    </w:p>
    <w:p w14:paraId="33C3A6B5" w14:textId="77777777" w:rsidR="007043B5" w:rsidRDefault="007043B5" w:rsidP="007043B5">
      <w:pPr>
        <w:pStyle w:val="Heading2"/>
        <w:jc w:val="both"/>
      </w:pPr>
      <w:bookmarkStart w:id="165" w:name="_Toc121689299"/>
      <w:bookmarkStart w:id="166" w:name="_Toc151690811"/>
      <w:bookmarkStart w:id="167" w:name="_Toc165018196"/>
      <w:r w:rsidRPr="002266EC">
        <w:t>Databases</w:t>
      </w:r>
      <w:bookmarkEnd w:id="165"/>
      <w:bookmarkEnd w:id="166"/>
      <w:bookmarkEnd w:id="167"/>
    </w:p>
    <w:p w14:paraId="73DF402C" w14:textId="77777777" w:rsidR="007043B5" w:rsidRPr="001F2F68" w:rsidRDefault="007043B5" w:rsidP="007043B5">
      <w:pPr>
        <w:jc w:val="both"/>
      </w:pPr>
      <w:r>
        <w:t xml:space="preserve">The databases for the REA were selected in consultation with a </w:t>
      </w:r>
      <w:r w:rsidRPr="00F46018">
        <w:t>liaison librarian</w:t>
      </w:r>
      <w:r>
        <w:t xml:space="preserve"> (information specialist) with extensive experience developing search strategies for systematic reviews of health and medical research:</w:t>
      </w:r>
    </w:p>
    <w:p w14:paraId="56ADD0B1" w14:textId="77777777" w:rsidR="007043B5" w:rsidRPr="002266EC" w:rsidRDefault="007043B5" w:rsidP="007043B5">
      <w:pPr>
        <w:pStyle w:val="ListParagraph"/>
        <w:numPr>
          <w:ilvl w:val="0"/>
          <w:numId w:val="9"/>
        </w:numPr>
        <w:jc w:val="both"/>
      </w:pPr>
      <w:r w:rsidRPr="002266EC">
        <w:t>PubMed.</w:t>
      </w:r>
    </w:p>
    <w:p w14:paraId="652C081D" w14:textId="77777777" w:rsidR="007043B5" w:rsidRPr="002266EC" w:rsidRDefault="007043B5" w:rsidP="007043B5">
      <w:pPr>
        <w:pStyle w:val="ListParagraph"/>
        <w:numPr>
          <w:ilvl w:val="0"/>
          <w:numId w:val="9"/>
        </w:numPr>
        <w:jc w:val="both"/>
      </w:pPr>
      <w:r w:rsidRPr="002266EC">
        <w:t>APA PsycNet (all databases: APA PsycINFO, APA PsycArticles, APA PsycBooks).</w:t>
      </w:r>
    </w:p>
    <w:p w14:paraId="65403D5D" w14:textId="77777777" w:rsidR="007043B5" w:rsidRPr="002266EC" w:rsidRDefault="007043B5" w:rsidP="007043B5">
      <w:pPr>
        <w:pStyle w:val="ListParagraph"/>
        <w:numPr>
          <w:ilvl w:val="0"/>
          <w:numId w:val="9"/>
        </w:numPr>
        <w:jc w:val="both"/>
      </w:pPr>
      <w:r w:rsidRPr="002266EC">
        <w:t>The Cochrane Library</w:t>
      </w:r>
      <w:r>
        <w:t xml:space="preserve"> (all databases: </w:t>
      </w:r>
      <w:r w:rsidRPr="00CB5D03">
        <w:t>Cochrane Database of Systematic Reviews; Cochrane Central Register of Controlled Trials, CENTRAL; Cochrane Clinical Answers)</w:t>
      </w:r>
      <w:r w:rsidRPr="002266EC">
        <w:t>.</w:t>
      </w:r>
    </w:p>
    <w:p w14:paraId="6C7F0A26" w14:textId="77777777" w:rsidR="007043B5" w:rsidRPr="002266EC" w:rsidRDefault="007043B5" w:rsidP="007043B5">
      <w:pPr>
        <w:pStyle w:val="ListParagraph"/>
        <w:numPr>
          <w:ilvl w:val="0"/>
          <w:numId w:val="9"/>
        </w:numPr>
        <w:jc w:val="both"/>
      </w:pPr>
      <w:r w:rsidRPr="002266EC">
        <w:t>PTSDpubs Database (formerly PILOTS) – US Department of Veterans’ Affairs.</w:t>
      </w:r>
    </w:p>
    <w:p w14:paraId="60B54D30" w14:textId="77777777" w:rsidR="007043B5" w:rsidRDefault="007043B5" w:rsidP="007043B5">
      <w:pPr>
        <w:spacing w:after="160"/>
        <w:rPr>
          <w:rFonts w:asciiTheme="majorHAnsi" w:eastAsiaTheme="majorEastAsia" w:hAnsiTheme="majorHAnsi" w:cstheme="majorBidi"/>
          <w:color w:val="2E74B5" w:themeColor="accent1" w:themeShade="BF"/>
          <w:sz w:val="26"/>
          <w:szCs w:val="26"/>
        </w:rPr>
      </w:pPr>
      <w:r>
        <w:br w:type="page"/>
      </w:r>
    </w:p>
    <w:p w14:paraId="265F0E2B" w14:textId="77777777" w:rsidR="007043B5" w:rsidRDefault="007043B5" w:rsidP="007043B5">
      <w:pPr>
        <w:pStyle w:val="Heading2"/>
        <w:jc w:val="both"/>
      </w:pPr>
      <w:bookmarkStart w:id="168" w:name="_Toc121689300"/>
      <w:bookmarkStart w:id="169" w:name="_Toc151690812"/>
      <w:bookmarkStart w:id="170" w:name="_Toc165018197"/>
      <w:r>
        <w:lastRenderedPageBreak/>
        <w:t>Search strategy</w:t>
      </w:r>
      <w:bookmarkEnd w:id="168"/>
      <w:bookmarkEnd w:id="169"/>
      <w:bookmarkEnd w:id="170"/>
    </w:p>
    <w:p w14:paraId="27AF5865" w14:textId="77777777" w:rsidR="007043B5" w:rsidRDefault="007043B5" w:rsidP="007043B5">
      <w:pPr>
        <w:jc w:val="both"/>
      </w:pPr>
      <w:r w:rsidRPr="00EE0F15">
        <w:t xml:space="preserve">The search strategy was specified according to the </w:t>
      </w:r>
      <w:r>
        <w:t xml:space="preserve">best-practice </w:t>
      </w:r>
      <w:r w:rsidRPr="00923523">
        <w:t xml:space="preserve">guidelines </w:t>
      </w:r>
      <w:r>
        <w:t>(</w:t>
      </w:r>
      <w:r w:rsidRPr="00923523">
        <w:t>Rethlefsen et al., 2021</w:t>
      </w:r>
      <w:r>
        <w:t>)</w:t>
      </w:r>
      <w:r w:rsidRPr="00923523">
        <w:t>.</w:t>
      </w:r>
      <w:r w:rsidRPr="00EE0F15">
        <w:t xml:space="preserve"> </w:t>
      </w:r>
      <w:r>
        <w:t xml:space="preserve">A PubMed (open-access database) </w:t>
      </w:r>
      <w:r w:rsidRPr="00AB7D66">
        <w:t>search strategy was developed for the intervention of interest</w:t>
      </w:r>
      <w:r>
        <w:t xml:space="preserve"> (see Appendix 3). The search strategy was developed in consultation with </w:t>
      </w:r>
      <w:r w:rsidRPr="00EE0F15">
        <w:t xml:space="preserve">a </w:t>
      </w:r>
      <w:r w:rsidRPr="00F46018">
        <w:t>liaison librarian</w:t>
      </w:r>
      <w:r>
        <w:t xml:space="preserve"> (information specialist); and peer-reviewed by a s</w:t>
      </w:r>
      <w:r w:rsidRPr="00EE0F15">
        <w:t xml:space="preserve">enior </w:t>
      </w:r>
      <w:r w:rsidRPr="00F46018">
        <w:t>liaison librarian</w:t>
      </w:r>
      <w:r>
        <w:t xml:space="preserve"> as recommended by the best-practice guidelines (</w:t>
      </w:r>
      <w:r w:rsidRPr="00923523">
        <w:t>Garritty et al., 2020; Rethlefsen et al., 2021</w:t>
      </w:r>
      <w:r>
        <w:t>)</w:t>
      </w:r>
      <w:r w:rsidRPr="00923523">
        <w:t>. Both</w:t>
      </w:r>
      <w:r>
        <w:t xml:space="preserve"> liaison librarians had extensive experience developing search strategies for systematic reviews of health and medical research. The s</w:t>
      </w:r>
      <w:r w:rsidRPr="001B2B12">
        <w:rPr>
          <w:rFonts w:eastAsia="Times New Roman"/>
          <w:lang w:eastAsia="en-AU"/>
        </w:rPr>
        <w:t xml:space="preserve">earch strings exclude: </w:t>
      </w:r>
      <w:r>
        <w:rPr>
          <w:rFonts w:eastAsia="Times New Roman"/>
          <w:lang w:eastAsia="en-AU"/>
        </w:rPr>
        <w:t xml:space="preserve">(i) </w:t>
      </w:r>
      <w:r w:rsidRPr="001C590F">
        <w:rPr>
          <w:rFonts w:eastAsia="Times New Roman"/>
          <w:lang w:eastAsia="en-AU"/>
        </w:rPr>
        <w:t>street names for drugs (e.g., ecstasy</w:t>
      </w:r>
      <w:r>
        <w:rPr>
          <w:rFonts w:eastAsia="Times New Roman"/>
          <w:lang w:eastAsia="en-AU"/>
        </w:rPr>
        <w:t>) as these terms retrieved</w:t>
      </w:r>
      <w:r w:rsidRPr="001C590F">
        <w:rPr>
          <w:rFonts w:eastAsia="Times New Roman"/>
          <w:lang w:eastAsia="en-AU"/>
        </w:rPr>
        <w:t xml:space="preserve"> a significant amount of irrelevant literature examining illicit drug use and mental health conditions</w:t>
      </w:r>
      <w:r>
        <w:rPr>
          <w:rFonts w:eastAsia="Times New Roman"/>
          <w:lang w:eastAsia="en-AU"/>
        </w:rPr>
        <w:t>; and a</w:t>
      </w:r>
      <w:r w:rsidRPr="001C590F">
        <w:rPr>
          <w:rFonts w:eastAsia="Times New Roman"/>
          <w:lang w:eastAsia="en-AU"/>
        </w:rPr>
        <w:t xml:space="preserve">ll acronyms (except PTSD and rTMS) as </w:t>
      </w:r>
      <w:r>
        <w:rPr>
          <w:rFonts w:eastAsia="Times New Roman"/>
          <w:lang w:eastAsia="en-AU"/>
        </w:rPr>
        <w:t xml:space="preserve">the </w:t>
      </w:r>
      <w:r w:rsidRPr="001C590F">
        <w:rPr>
          <w:rFonts w:eastAsia="Times New Roman"/>
          <w:lang w:eastAsia="en-AU"/>
        </w:rPr>
        <w:t>non-spe</w:t>
      </w:r>
      <w:r>
        <w:rPr>
          <w:rFonts w:eastAsia="Times New Roman"/>
          <w:lang w:eastAsia="en-AU"/>
        </w:rPr>
        <w:t>cific use of certain acronyms retrieved a</w:t>
      </w:r>
      <w:r w:rsidRPr="001C590F">
        <w:rPr>
          <w:rFonts w:eastAsia="Times New Roman"/>
          <w:lang w:eastAsia="en-AU"/>
        </w:rPr>
        <w:t xml:space="preserve"> significant amount of irrelevant literature</w:t>
      </w:r>
      <w:r>
        <w:rPr>
          <w:rFonts w:eastAsia="Times New Roman"/>
          <w:lang w:eastAsia="en-AU"/>
        </w:rPr>
        <w:t xml:space="preserve"> during the development of the search strategy.</w:t>
      </w:r>
    </w:p>
    <w:p w14:paraId="0CDEED31" w14:textId="77777777" w:rsidR="007043B5" w:rsidRPr="002266EC" w:rsidRDefault="007043B5" w:rsidP="007043B5">
      <w:pPr>
        <w:pStyle w:val="Heading2"/>
        <w:jc w:val="both"/>
      </w:pPr>
      <w:bookmarkStart w:id="171" w:name="_Toc121689301"/>
      <w:bookmarkStart w:id="172" w:name="_Toc151690813"/>
      <w:bookmarkStart w:id="173" w:name="_Toc165018198"/>
      <w:r w:rsidRPr="002266EC">
        <w:t>Types of studies</w:t>
      </w:r>
      <w:bookmarkEnd w:id="171"/>
      <w:bookmarkEnd w:id="172"/>
      <w:bookmarkEnd w:id="173"/>
    </w:p>
    <w:p w14:paraId="5F3E23C0" w14:textId="77777777" w:rsidR="007043B5" w:rsidRPr="002266EC" w:rsidRDefault="007043B5" w:rsidP="007043B5">
      <w:pPr>
        <w:pStyle w:val="Heading3"/>
        <w:jc w:val="both"/>
      </w:pPr>
      <w:bookmarkStart w:id="174" w:name="_Toc121689302"/>
      <w:bookmarkStart w:id="175" w:name="_Toc151690814"/>
      <w:bookmarkStart w:id="176" w:name="_Toc165018199"/>
      <w:r w:rsidRPr="002266EC">
        <w:t>Inclusion criteria</w:t>
      </w:r>
      <w:bookmarkEnd w:id="174"/>
      <w:bookmarkEnd w:id="175"/>
      <w:bookmarkEnd w:id="176"/>
    </w:p>
    <w:p w14:paraId="6DEE6A5E" w14:textId="77777777" w:rsidR="007043B5" w:rsidRPr="002266EC" w:rsidRDefault="007043B5" w:rsidP="007043B5">
      <w:pPr>
        <w:pStyle w:val="ListParagraph"/>
        <w:numPr>
          <w:ilvl w:val="0"/>
          <w:numId w:val="11"/>
        </w:numPr>
        <w:jc w:val="both"/>
      </w:pPr>
      <w:r w:rsidRPr="002266EC">
        <w:t>Peer-reviewed, quantitative, or mixed-methods studies examining an intervention of interest.</w:t>
      </w:r>
    </w:p>
    <w:p w14:paraId="6E738E62" w14:textId="77777777" w:rsidR="007043B5" w:rsidRPr="002266EC" w:rsidRDefault="007043B5" w:rsidP="007043B5">
      <w:pPr>
        <w:pStyle w:val="ListParagraph"/>
        <w:numPr>
          <w:ilvl w:val="0"/>
          <w:numId w:val="11"/>
        </w:numPr>
        <w:jc w:val="both"/>
      </w:pPr>
      <w:r>
        <w:t>Study inclusion was</w:t>
      </w:r>
      <w:r w:rsidRPr="002266EC">
        <w:t xml:space="preserve"> restricted to systematic reviews (SRs), meta-analyses (Mas), and randomised control</w:t>
      </w:r>
      <w:r>
        <w:t>led</w:t>
      </w:r>
      <w:r w:rsidRPr="002266EC">
        <w:t xml:space="preserve"> trials (RCTs).</w:t>
      </w:r>
    </w:p>
    <w:p w14:paraId="622A37B7" w14:textId="77777777" w:rsidR="007043B5" w:rsidRPr="002266EC" w:rsidRDefault="007043B5" w:rsidP="007043B5">
      <w:pPr>
        <w:pStyle w:val="ListParagraph"/>
        <w:numPr>
          <w:ilvl w:val="0"/>
          <w:numId w:val="11"/>
        </w:numPr>
        <w:jc w:val="both"/>
      </w:pPr>
      <w:r w:rsidRPr="002266EC">
        <w:t>There was no restriction for study inclusion based on a concurrent treatment/s (i.e., a comparator) if the treatment includ</w:t>
      </w:r>
      <w:r>
        <w:t xml:space="preserve">ed </w:t>
      </w:r>
      <w:r w:rsidRPr="002266EC">
        <w:t>an intervention/s of interest (i.e., an adjunct treatment).</w:t>
      </w:r>
    </w:p>
    <w:p w14:paraId="08A859E6" w14:textId="77777777" w:rsidR="007043B5" w:rsidRPr="002266EC" w:rsidRDefault="007043B5" w:rsidP="007043B5">
      <w:pPr>
        <w:pStyle w:val="Heading3"/>
        <w:jc w:val="both"/>
      </w:pPr>
      <w:bookmarkStart w:id="177" w:name="_Toc121689303"/>
      <w:bookmarkStart w:id="178" w:name="_Toc151690815"/>
      <w:bookmarkStart w:id="179" w:name="_Toc165018200"/>
      <w:r w:rsidRPr="002266EC">
        <w:t>Exclusion criteria</w:t>
      </w:r>
      <w:bookmarkEnd w:id="177"/>
      <w:bookmarkEnd w:id="178"/>
      <w:bookmarkEnd w:id="179"/>
    </w:p>
    <w:p w14:paraId="3D8D8E0B" w14:textId="77777777" w:rsidR="007043B5" w:rsidRPr="002266EC" w:rsidRDefault="007043B5" w:rsidP="007043B5">
      <w:pPr>
        <w:pStyle w:val="ListParagraph"/>
        <w:numPr>
          <w:ilvl w:val="0"/>
          <w:numId w:val="12"/>
        </w:numPr>
        <w:jc w:val="both"/>
      </w:pPr>
      <w:r w:rsidRPr="002266EC">
        <w:t>Grey literature and certain publication types (e.g., comments, editorials, and letters).</w:t>
      </w:r>
    </w:p>
    <w:p w14:paraId="7A8F0C64" w14:textId="77777777" w:rsidR="007043B5" w:rsidRPr="002266EC" w:rsidRDefault="007043B5" w:rsidP="007043B5">
      <w:pPr>
        <w:pStyle w:val="ListParagraph"/>
        <w:numPr>
          <w:ilvl w:val="0"/>
          <w:numId w:val="12"/>
        </w:numPr>
        <w:jc w:val="both"/>
      </w:pPr>
      <w:r w:rsidRPr="002266EC">
        <w:t>Qualitative studies.</w:t>
      </w:r>
    </w:p>
    <w:p w14:paraId="5CDB54B5" w14:textId="77777777" w:rsidR="007043B5" w:rsidRDefault="007043B5" w:rsidP="007043B5">
      <w:pPr>
        <w:pStyle w:val="ListParagraph"/>
        <w:numPr>
          <w:ilvl w:val="0"/>
          <w:numId w:val="12"/>
        </w:numPr>
        <w:jc w:val="both"/>
      </w:pPr>
      <w:r w:rsidRPr="002266EC">
        <w:t>Epidemiological studies and observational studies</w:t>
      </w:r>
      <w:r>
        <w:t xml:space="preserve"> (e.g., cohort and case-control studies)</w:t>
      </w:r>
      <w:r w:rsidRPr="002266EC">
        <w:t>.</w:t>
      </w:r>
    </w:p>
    <w:p w14:paraId="654D91AC" w14:textId="77777777" w:rsidR="007043B5" w:rsidRDefault="007043B5" w:rsidP="007043B5">
      <w:pPr>
        <w:pStyle w:val="ListParagraph"/>
        <w:numPr>
          <w:ilvl w:val="0"/>
          <w:numId w:val="12"/>
        </w:numPr>
        <w:jc w:val="both"/>
      </w:pPr>
      <w:r>
        <w:t>Studies of human participants under 18 years of age.</w:t>
      </w:r>
    </w:p>
    <w:p w14:paraId="6BDA5F3B" w14:textId="77777777" w:rsidR="007043B5" w:rsidRPr="002266EC" w:rsidRDefault="007043B5" w:rsidP="007043B5">
      <w:pPr>
        <w:pStyle w:val="ListParagraph"/>
        <w:numPr>
          <w:ilvl w:val="0"/>
          <w:numId w:val="12"/>
        </w:numPr>
        <w:jc w:val="both"/>
      </w:pPr>
      <w:r>
        <w:t>Animal studies.</w:t>
      </w:r>
    </w:p>
    <w:p w14:paraId="33843BEB" w14:textId="77777777" w:rsidR="007043B5" w:rsidRPr="002266EC" w:rsidRDefault="007043B5" w:rsidP="007043B5">
      <w:pPr>
        <w:pStyle w:val="Heading2"/>
        <w:jc w:val="both"/>
      </w:pPr>
      <w:bookmarkStart w:id="180" w:name="_Toc121689304"/>
      <w:bookmarkStart w:id="181" w:name="_Toc151690816"/>
      <w:bookmarkStart w:id="182" w:name="_Toc165018201"/>
      <w:r w:rsidRPr="002266EC">
        <w:t>Search dates and restrictions</w:t>
      </w:r>
      <w:bookmarkEnd w:id="180"/>
      <w:bookmarkEnd w:id="181"/>
      <w:bookmarkEnd w:id="182"/>
    </w:p>
    <w:p w14:paraId="72FB65FC" w14:textId="77777777" w:rsidR="007043B5" w:rsidRPr="002266EC" w:rsidRDefault="007043B5" w:rsidP="007043B5">
      <w:pPr>
        <w:pStyle w:val="ListParagraph"/>
        <w:numPr>
          <w:ilvl w:val="0"/>
          <w:numId w:val="10"/>
        </w:numPr>
        <w:jc w:val="both"/>
      </w:pPr>
      <w:r w:rsidRPr="002266EC">
        <w:t xml:space="preserve">Publication date: </w:t>
      </w:r>
      <w:r>
        <w:t xml:space="preserve">1 January 2017 to 8 February </w:t>
      </w:r>
      <w:r w:rsidRPr="002266EC">
        <w:t>2022</w:t>
      </w:r>
      <w:r>
        <w:t xml:space="preserve"> (5-year period</w:t>
      </w:r>
      <w:r w:rsidRPr="002266EC">
        <w:t>).</w:t>
      </w:r>
    </w:p>
    <w:p w14:paraId="3184568E" w14:textId="77777777" w:rsidR="007043B5" w:rsidRPr="002266EC" w:rsidRDefault="007043B5" w:rsidP="007043B5">
      <w:pPr>
        <w:pStyle w:val="ListParagraph"/>
        <w:numPr>
          <w:ilvl w:val="0"/>
          <w:numId w:val="10"/>
        </w:numPr>
        <w:jc w:val="both"/>
      </w:pPr>
      <w:r w:rsidRPr="002266EC">
        <w:t>Language: English.</w:t>
      </w:r>
    </w:p>
    <w:p w14:paraId="3CF94F8A" w14:textId="77777777" w:rsidR="007043B5" w:rsidRPr="002266EC" w:rsidRDefault="007043B5" w:rsidP="007043B5">
      <w:pPr>
        <w:pStyle w:val="ListParagraph"/>
        <w:numPr>
          <w:ilvl w:val="0"/>
          <w:numId w:val="10"/>
        </w:numPr>
        <w:jc w:val="both"/>
      </w:pPr>
      <w:r w:rsidRPr="002266EC">
        <w:t>Full-text available.</w:t>
      </w:r>
    </w:p>
    <w:p w14:paraId="436D45B0" w14:textId="77777777" w:rsidR="007043B5" w:rsidRPr="002266EC" w:rsidRDefault="007043B5" w:rsidP="007043B5">
      <w:pPr>
        <w:pStyle w:val="ListParagraph"/>
        <w:numPr>
          <w:ilvl w:val="0"/>
          <w:numId w:val="10"/>
        </w:numPr>
        <w:jc w:val="both"/>
      </w:pPr>
      <w:r w:rsidRPr="002266EC">
        <w:t>Supplementary searching was limited to hand searching of systematic reviews (SRs) and meta-analyses (Mas) within the reference lists of extracted articles following full-text screening.</w:t>
      </w:r>
    </w:p>
    <w:p w14:paraId="521741A2" w14:textId="77777777" w:rsidR="007043B5" w:rsidRDefault="007043B5" w:rsidP="007043B5">
      <w:pPr>
        <w:pStyle w:val="Heading2"/>
        <w:jc w:val="both"/>
      </w:pPr>
      <w:bookmarkStart w:id="183" w:name="_Toc121689305"/>
      <w:bookmarkStart w:id="184" w:name="_Toc151690817"/>
      <w:bookmarkStart w:id="185" w:name="_Toc165018202"/>
      <w:r w:rsidRPr="002266EC">
        <w:t>Context</w:t>
      </w:r>
      <w:bookmarkEnd w:id="183"/>
      <w:bookmarkEnd w:id="184"/>
      <w:bookmarkEnd w:id="185"/>
    </w:p>
    <w:p w14:paraId="613DD5BE" w14:textId="77777777" w:rsidR="007043B5" w:rsidRPr="002266EC" w:rsidRDefault="007043B5" w:rsidP="007043B5">
      <w:pPr>
        <w:jc w:val="both"/>
      </w:pPr>
      <w:r w:rsidRPr="002266EC">
        <w:t>There was no restriction for study inclusion based on location (e.g., country) or setting (e.g., inpatient; outpatient; community).</w:t>
      </w:r>
    </w:p>
    <w:p w14:paraId="1C3DB776" w14:textId="77777777" w:rsidR="007043B5" w:rsidRDefault="007043B5" w:rsidP="007043B5">
      <w:pPr>
        <w:pStyle w:val="Heading2"/>
        <w:jc w:val="both"/>
      </w:pPr>
      <w:bookmarkStart w:id="186" w:name="_Toc121689306"/>
      <w:bookmarkStart w:id="187" w:name="_Toc151690818"/>
      <w:bookmarkStart w:id="188" w:name="_Toc165018203"/>
      <w:r>
        <w:t>Risk of bias assessments</w:t>
      </w:r>
      <w:bookmarkEnd w:id="186"/>
      <w:bookmarkEnd w:id="187"/>
      <w:bookmarkEnd w:id="188"/>
    </w:p>
    <w:p w14:paraId="06B3F0C1" w14:textId="77777777" w:rsidR="007043B5" w:rsidRDefault="007043B5" w:rsidP="007043B5">
      <w:pPr>
        <w:jc w:val="both"/>
      </w:pPr>
      <w:r>
        <w:t xml:space="preserve">The revised Cochrane risk-of-bias tool for randomised trials (RoB 2; Sterne et al., 2019) was employed to conduct the risk-of-bias assessments for the REA. For individually randomised trials, the tool is structured into five domains that are based on theoretical and empirical research (Sterne et al., 2019): </w:t>
      </w:r>
    </w:p>
    <w:p w14:paraId="4027C925" w14:textId="77777777" w:rsidR="007043B5" w:rsidRDefault="007043B5" w:rsidP="007043B5">
      <w:pPr>
        <w:pStyle w:val="ListParagraph"/>
        <w:numPr>
          <w:ilvl w:val="0"/>
          <w:numId w:val="8"/>
        </w:numPr>
        <w:jc w:val="both"/>
      </w:pPr>
      <w:r>
        <w:t>Bias arising from the randomisation process (D1);</w:t>
      </w:r>
    </w:p>
    <w:p w14:paraId="515C70A6" w14:textId="77777777" w:rsidR="007043B5" w:rsidRDefault="007043B5" w:rsidP="007043B5">
      <w:pPr>
        <w:pStyle w:val="ListParagraph"/>
        <w:numPr>
          <w:ilvl w:val="0"/>
          <w:numId w:val="8"/>
        </w:numPr>
        <w:jc w:val="both"/>
      </w:pPr>
      <w:r>
        <w:t>Bias due to deviations from intended interventions (D2);</w:t>
      </w:r>
    </w:p>
    <w:p w14:paraId="625A72D5" w14:textId="77777777" w:rsidR="007043B5" w:rsidRDefault="007043B5" w:rsidP="007043B5">
      <w:pPr>
        <w:pStyle w:val="ListParagraph"/>
        <w:numPr>
          <w:ilvl w:val="0"/>
          <w:numId w:val="8"/>
        </w:numPr>
        <w:jc w:val="both"/>
      </w:pPr>
      <w:r>
        <w:t>Bias due to missing outcome data (D3);</w:t>
      </w:r>
    </w:p>
    <w:p w14:paraId="42F4501D" w14:textId="77777777" w:rsidR="007043B5" w:rsidRDefault="007043B5" w:rsidP="007043B5">
      <w:pPr>
        <w:pStyle w:val="ListParagraph"/>
        <w:numPr>
          <w:ilvl w:val="0"/>
          <w:numId w:val="8"/>
        </w:numPr>
        <w:jc w:val="both"/>
      </w:pPr>
      <w:r>
        <w:t>Bias in measurement of the outcome (D4);</w:t>
      </w:r>
    </w:p>
    <w:p w14:paraId="31B2303E" w14:textId="77777777" w:rsidR="007043B5" w:rsidRDefault="007043B5" w:rsidP="007043B5">
      <w:pPr>
        <w:pStyle w:val="ListParagraph"/>
        <w:numPr>
          <w:ilvl w:val="0"/>
          <w:numId w:val="8"/>
        </w:numPr>
        <w:spacing w:after="120"/>
        <w:ind w:left="357" w:hanging="357"/>
        <w:jc w:val="both"/>
      </w:pPr>
      <w:r>
        <w:t>Bias in selection of the reported result (D5).</w:t>
      </w:r>
    </w:p>
    <w:p w14:paraId="1BF18DD9" w14:textId="77777777" w:rsidR="007043B5" w:rsidRDefault="007043B5" w:rsidP="007043B5">
      <w:pPr>
        <w:jc w:val="both"/>
      </w:pPr>
      <w:r>
        <w:t>The five risk-of-bias domains (D1 to D5) are mandatory; and encompass all types of bias that can affect the results from randomised trials. For crossover designs, an additional risk-of-bias domain (DS) is employed to assess bias arising from period and carryover effects. No additional domains are required to assign an overall risk-of-bias judgment to a given study. The three categories of overall risk-of-bias judgements for the RoB 2 tool are presented in Table 3.</w:t>
      </w:r>
    </w:p>
    <w:p w14:paraId="1CDB70B6" w14:textId="77777777" w:rsidR="007043B5" w:rsidRPr="000579F3" w:rsidRDefault="007043B5" w:rsidP="007043B5">
      <w:pPr>
        <w:spacing w:after="160"/>
        <w:rPr>
          <w:rFonts w:ascii="Calibri" w:eastAsiaTheme="minorEastAsia" w:hAnsi="Calibri"/>
          <w:bCs/>
          <w:color w:val="44546A" w:themeColor="text2"/>
          <w:sz w:val="18"/>
          <w:szCs w:val="18"/>
          <w:lang w:val="en-US" w:eastAsia="ja-JP"/>
        </w:rPr>
      </w:pPr>
    </w:p>
    <w:p w14:paraId="297FB668" w14:textId="2364750A" w:rsidR="007043B5" w:rsidRPr="004A32DE" w:rsidRDefault="007043B5" w:rsidP="007043B5">
      <w:pPr>
        <w:pStyle w:val="Caption"/>
        <w:keepNext/>
        <w:rPr>
          <w:b/>
          <w:bCs/>
          <w:i w:val="0"/>
          <w:iCs w:val="0"/>
          <w:color w:val="auto"/>
          <w:sz w:val="20"/>
          <w:szCs w:val="20"/>
        </w:rPr>
      </w:pPr>
      <w:bookmarkStart w:id="189" w:name="_Toc103931016"/>
      <w:bookmarkStart w:id="190" w:name="_Toc151691017"/>
      <w:bookmarkStart w:id="191" w:name="_Toc165018279"/>
      <w:r w:rsidRPr="004A32DE">
        <w:rPr>
          <w:b/>
          <w:bCs/>
          <w:i w:val="0"/>
          <w:iCs w:val="0"/>
          <w:color w:val="auto"/>
          <w:sz w:val="20"/>
          <w:szCs w:val="20"/>
        </w:rPr>
        <w:lastRenderedPageBreak/>
        <w:t xml:space="preserve">Table </w:t>
      </w:r>
      <w:r w:rsidRPr="004A32DE">
        <w:rPr>
          <w:b/>
          <w:bCs/>
          <w:i w:val="0"/>
          <w:iCs w:val="0"/>
          <w:color w:val="auto"/>
          <w:sz w:val="20"/>
          <w:szCs w:val="20"/>
        </w:rPr>
        <w:fldChar w:fldCharType="begin"/>
      </w:r>
      <w:r w:rsidRPr="004A32DE">
        <w:rPr>
          <w:b/>
          <w:bCs/>
          <w:i w:val="0"/>
          <w:iCs w:val="0"/>
          <w:color w:val="auto"/>
          <w:sz w:val="20"/>
          <w:szCs w:val="20"/>
        </w:rPr>
        <w:instrText xml:space="preserve"> SEQ Table \* ARABIC </w:instrText>
      </w:r>
      <w:r w:rsidRPr="004A32DE">
        <w:rPr>
          <w:b/>
          <w:bCs/>
          <w:i w:val="0"/>
          <w:iCs w:val="0"/>
          <w:color w:val="auto"/>
          <w:sz w:val="20"/>
          <w:szCs w:val="20"/>
        </w:rPr>
        <w:fldChar w:fldCharType="separate"/>
      </w:r>
      <w:r w:rsidR="005A78A1">
        <w:rPr>
          <w:b/>
          <w:bCs/>
          <w:i w:val="0"/>
          <w:iCs w:val="0"/>
          <w:noProof/>
          <w:color w:val="auto"/>
          <w:sz w:val="20"/>
          <w:szCs w:val="20"/>
        </w:rPr>
        <w:t>3</w:t>
      </w:r>
      <w:r w:rsidRPr="004A32DE">
        <w:rPr>
          <w:b/>
          <w:bCs/>
          <w:i w:val="0"/>
          <w:iCs w:val="0"/>
          <w:color w:val="auto"/>
          <w:sz w:val="20"/>
          <w:szCs w:val="20"/>
        </w:rPr>
        <w:fldChar w:fldCharType="end"/>
      </w:r>
      <w:r w:rsidRPr="004A32DE">
        <w:rPr>
          <w:b/>
          <w:bCs/>
          <w:i w:val="0"/>
          <w:iCs w:val="0"/>
          <w:color w:val="auto"/>
          <w:sz w:val="20"/>
          <w:szCs w:val="20"/>
        </w:rPr>
        <w:t>. Overall risk-of-bias judgements for the revised Cochrane risk-of-bias tool for randomised trials.</w:t>
      </w:r>
      <w:bookmarkEnd w:id="189"/>
      <w:bookmarkEnd w:id="190"/>
      <w:bookmarkEnd w:id="191"/>
    </w:p>
    <w:tbl>
      <w:tblPr>
        <w:tblStyle w:val="GridTable5Dark-Accent5"/>
        <w:tblW w:w="0" w:type="auto"/>
        <w:tblLook w:val="04A0" w:firstRow="1" w:lastRow="0" w:firstColumn="1" w:lastColumn="0" w:noHBand="0" w:noVBand="1"/>
      </w:tblPr>
      <w:tblGrid>
        <w:gridCol w:w="2830"/>
        <w:gridCol w:w="6186"/>
      </w:tblGrid>
      <w:tr w:rsidR="007043B5" w14:paraId="7E6BDE3D" w14:textId="77777777" w:rsidTr="00290E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tcPr>
          <w:p w14:paraId="238587C7" w14:textId="77777777" w:rsidR="007043B5" w:rsidRDefault="007043B5" w:rsidP="004361E5">
            <w:pPr>
              <w:jc w:val="both"/>
            </w:pPr>
            <w:r>
              <w:t>Overall risk-of-bias judgement</w:t>
            </w:r>
          </w:p>
        </w:tc>
        <w:tc>
          <w:tcPr>
            <w:tcW w:w="6186" w:type="dxa"/>
          </w:tcPr>
          <w:p w14:paraId="54B6A885" w14:textId="77777777" w:rsidR="007043B5" w:rsidRDefault="007043B5" w:rsidP="004361E5">
            <w:pPr>
              <w:jc w:val="both"/>
              <w:cnfStyle w:val="100000000000" w:firstRow="1" w:lastRow="0" w:firstColumn="0" w:lastColumn="0" w:oddVBand="0" w:evenVBand="0" w:oddHBand="0" w:evenHBand="0" w:firstRowFirstColumn="0" w:firstRowLastColumn="0" w:lastRowFirstColumn="0" w:lastRowLastColumn="0"/>
            </w:pPr>
            <w:r>
              <w:t>Criteria</w:t>
            </w:r>
          </w:p>
        </w:tc>
      </w:tr>
      <w:tr w:rsidR="007043B5" w14:paraId="65F0323E" w14:textId="77777777" w:rsidTr="00436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B39C7E5" w14:textId="77777777" w:rsidR="007043B5" w:rsidRDefault="007043B5" w:rsidP="004361E5">
            <w:pPr>
              <w:jc w:val="both"/>
            </w:pPr>
            <w:r>
              <w:t>Low risk of bias</w:t>
            </w:r>
          </w:p>
        </w:tc>
        <w:tc>
          <w:tcPr>
            <w:tcW w:w="6186" w:type="dxa"/>
          </w:tcPr>
          <w:p w14:paraId="42B647E0" w14:textId="77777777" w:rsidR="007043B5" w:rsidRPr="00F04853" w:rsidRDefault="007043B5" w:rsidP="004361E5">
            <w:pPr>
              <w:jc w:val="both"/>
              <w:cnfStyle w:val="000000100000" w:firstRow="0" w:lastRow="0" w:firstColumn="0" w:lastColumn="0" w:oddVBand="0" w:evenVBand="0" w:oddHBand="1" w:evenHBand="0" w:firstRowFirstColumn="0" w:firstRowLastColumn="0" w:lastRowFirstColumn="0" w:lastRowLastColumn="0"/>
            </w:pPr>
            <w:r w:rsidRPr="00F04853">
              <w:t xml:space="preserve">The study is judged to be at </w:t>
            </w:r>
            <w:r w:rsidRPr="006328E6">
              <w:t>low risk of bias for all domains</w:t>
            </w:r>
            <w:r w:rsidRPr="00F04853">
              <w:t>.</w:t>
            </w:r>
          </w:p>
        </w:tc>
      </w:tr>
      <w:tr w:rsidR="007043B5" w14:paraId="12C1A7EE" w14:textId="77777777" w:rsidTr="004361E5">
        <w:tc>
          <w:tcPr>
            <w:cnfStyle w:val="001000000000" w:firstRow="0" w:lastRow="0" w:firstColumn="1" w:lastColumn="0" w:oddVBand="0" w:evenVBand="0" w:oddHBand="0" w:evenHBand="0" w:firstRowFirstColumn="0" w:firstRowLastColumn="0" w:lastRowFirstColumn="0" w:lastRowLastColumn="0"/>
            <w:tcW w:w="2830" w:type="dxa"/>
          </w:tcPr>
          <w:p w14:paraId="4AC45482" w14:textId="77777777" w:rsidR="007043B5" w:rsidRDefault="007043B5" w:rsidP="004361E5">
            <w:pPr>
              <w:jc w:val="both"/>
            </w:pPr>
            <w:r>
              <w:t>Some concerns</w:t>
            </w:r>
          </w:p>
        </w:tc>
        <w:tc>
          <w:tcPr>
            <w:tcW w:w="6186" w:type="dxa"/>
          </w:tcPr>
          <w:p w14:paraId="68EACCDA" w14:textId="77777777" w:rsidR="007043B5" w:rsidRPr="00F04853" w:rsidRDefault="007043B5" w:rsidP="004361E5">
            <w:pPr>
              <w:jc w:val="both"/>
              <w:cnfStyle w:val="000000000000" w:firstRow="0" w:lastRow="0" w:firstColumn="0" w:lastColumn="0" w:oddVBand="0" w:evenVBand="0" w:oddHBand="0" w:evenHBand="0" w:firstRowFirstColumn="0" w:firstRowLastColumn="0" w:lastRowFirstColumn="0" w:lastRowLastColumn="0"/>
            </w:pPr>
            <w:r w:rsidRPr="00F04853">
              <w:t xml:space="preserve">The study is judged to raise </w:t>
            </w:r>
            <w:r w:rsidRPr="006328E6">
              <w:t>some concerns</w:t>
            </w:r>
            <w:r w:rsidRPr="00F04853">
              <w:t xml:space="preserve"> in at least one domain, but not to be at high risk of bias for any domain.</w:t>
            </w:r>
          </w:p>
        </w:tc>
      </w:tr>
      <w:tr w:rsidR="007043B5" w14:paraId="2EBEB1BB" w14:textId="77777777" w:rsidTr="00436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A541C0C" w14:textId="77777777" w:rsidR="007043B5" w:rsidRDefault="007043B5" w:rsidP="004361E5">
            <w:pPr>
              <w:jc w:val="both"/>
            </w:pPr>
            <w:r>
              <w:t>High risk of bias</w:t>
            </w:r>
          </w:p>
        </w:tc>
        <w:tc>
          <w:tcPr>
            <w:tcW w:w="6186" w:type="dxa"/>
          </w:tcPr>
          <w:p w14:paraId="77C4AFE1" w14:textId="77777777" w:rsidR="007043B5" w:rsidRPr="00F04853" w:rsidRDefault="007043B5" w:rsidP="004361E5">
            <w:pPr>
              <w:jc w:val="both"/>
              <w:cnfStyle w:val="000000100000" w:firstRow="0" w:lastRow="0" w:firstColumn="0" w:lastColumn="0" w:oddVBand="0" w:evenVBand="0" w:oddHBand="1" w:evenHBand="0" w:firstRowFirstColumn="0" w:firstRowLastColumn="0" w:lastRowFirstColumn="0" w:lastRowLastColumn="0"/>
            </w:pPr>
            <w:r w:rsidRPr="00F04853">
              <w:t xml:space="preserve">The study is judged to be at </w:t>
            </w:r>
            <w:r w:rsidRPr="006328E6">
              <w:t>high risk of bias</w:t>
            </w:r>
            <w:r w:rsidRPr="00F04853">
              <w:t xml:space="preserve"> in at least one domain.</w:t>
            </w:r>
          </w:p>
          <w:p w14:paraId="4F9C3B6E" w14:textId="77777777" w:rsidR="007043B5" w:rsidRPr="00F04853" w:rsidRDefault="007043B5" w:rsidP="004361E5">
            <w:pPr>
              <w:jc w:val="both"/>
              <w:cnfStyle w:val="000000100000" w:firstRow="0" w:lastRow="0" w:firstColumn="0" w:lastColumn="0" w:oddVBand="0" w:evenVBand="0" w:oddHBand="1" w:evenHBand="0" w:firstRowFirstColumn="0" w:firstRowLastColumn="0" w:lastRowFirstColumn="0" w:lastRowLastColumn="0"/>
            </w:pPr>
            <w:r w:rsidRPr="00F04853">
              <w:t>OR</w:t>
            </w:r>
          </w:p>
          <w:p w14:paraId="37A0CBFE" w14:textId="77777777" w:rsidR="007043B5" w:rsidRPr="00F04853" w:rsidRDefault="007043B5" w:rsidP="004361E5">
            <w:pPr>
              <w:jc w:val="both"/>
              <w:cnfStyle w:val="000000100000" w:firstRow="0" w:lastRow="0" w:firstColumn="0" w:lastColumn="0" w:oddVBand="0" w:evenVBand="0" w:oddHBand="1" w:evenHBand="0" w:firstRowFirstColumn="0" w:firstRowLastColumn="0" w:lastRowFirstColumn="0" w:lastRowLastColumn="0"/>
            </w:pPr>
            <w:r w:rsidRPr="00F04853">
              <w:t xml:space="preserve">The study is judged to have </w:t>
            </w:r>
            <w:r w:rsidRPr="006328E6">
              <w:t xml:space="preserve">some concerns </w:t>
            </w:r>
            <w:r w:rsidRPr="00F04853">
              <w:t>for</w:t>
            </w:r>
            <w:r w:rsidRPr="006328E6">
              <w:t xml:space="preserve"> multiple domains</w:t>
            </w:r>
            <w:r w:rsidRPr="00F04853">
              <w:t xml:space="preserve"> in a way that substantially lowers confidence in the result.</w:t>
            </w:r>
          </w:p>
        </w:tc>
      </w:tr>
    </w:tbl>
    <w:p w14:paraId="64B52055" w14:textId="77777777" w:rsidR="007043B5" w:rsidRPr="00E04238" w:rsidRDefault="007043B5" w:rsidP="007043B5">
      <w:pPr>
        <w:jc w:val="both"/>
      </w:pPr>
      <w:r>
        <w:t xml:space="preserve">Source: Adapted from Sterne et al. (2019, p. 5, Table 3). </w:t>
      </w:r>
    </w:p>
    <w:p w14:paraId="13A64F13" w14:textId="77777777" w:rsidR="007043B5" w:rsidRDefault="007043B5" w:rsidP="007043B5">
      <w:pPr>
        <w:pStyle w:val="Heading2"/>
        <w:jc w:val="both"/>
      </w:pPr>
      <w:bookmarkStart w:id="192" w:name="_Toc121689307"/>
      <w:bookmarkStart w:id="193" w:name="_Toc151690819"/>
      <w:bookmarkStart w:id="194" w:name="_Toc165018204"/>
      <w:r>
        <w:t>GRADE certainty of evidence assessments</w:t>
      </w:r>
      <w:bookmarkEnd w:id="192"/>
      <w:bookmarkEnd w:id="193"/>
      <w:bookmarkEnd w:id="194"/>
    </w:p>
    <w:p w14:paraId="6E34387B" w14:textId="30AF6DC5" w:rsidR="007043B5" w:rsidRDefault="007043B5" w:rsidP="007043B5">
      <w:pPr>
        <w:jc w:val="both"/>
      </w:pPr>
      <w:r>
        <w:t>The Grading of Recommendations Assessment, Development and Evaluation (GRADE) is a structured, best-practice approach to assessing the certainty of a body of evidence. It is used by international organisations that develop clinical guidelines (e.g., Cochrane; World Health Organization, WHO; UK National Institute for Health and Care Excellence, NICE; and the Australian National Health and Medical Research Council, NHMRC). A GRADE assessment considers five factors that may affect confidence in the synthesised findings of a body of evidence (</w:t>
      </w:r>
      <w:r w:rsidRPr="00E46495">
        <w:t>Guyatt et al., 2011; Murad et al., 2017</w:t>
      </w:r>
      <w:r>
        <w:t>). The five factors are as follows:</w:t>
      </w:r>
    </w:p>
    <w:p w14:paraId="6467C9CE" w14:textId="77777777" w:rsidR="007043B5" w:rsidRDefault="007043B5" w:rsidP="007043B5">
      <w:pPr>
        <w:pStyle w:val="ListParagraph"/>
        <w:numPr>
          <w:ilvl w:val="0"/>
          <w:numId w:val="13"/>
        </w:numPr>
        <w:jc w:val="both"/>
      </w:pPr>
      <w:r>
        <w:t>Risk of bias;</w:t>
      </w:r>
    </w:p>
    <w:p w14:paraId="7CB5DF3D" w14:textId="77777777" w:rsidR="007043B5" w:rsidRDefault="007043B5" w:rsidP="007043B5">
      <w:pPr>
        <w:pStyle w:val="ListParagraph"/>
        <w:numPr>
          <w:ilvl w:val="0"/>
          <w:numId w:val="13"/>
        </w:numPr>
        <w:jc w:val="both"/>
      </w:pPr>
      <w:r>
        <w:t>Precision of the effect estimates;</w:t>
      </w:r>
    </w:p>
    <w:p w14:paraId="68422D94" w14:textId="77777777" w:rsidR="007043B5" w:rsidRDefault="007043B5" w:rsidP="007043B5">
      <w:pPr>
        <w:pStyle w:val="ListParagraph"/>
        <w:numPr>
          <w:ilvl w:val="0"/>
          <w:numId w:val="13"/>
        </w:numPr>
        <w:jc w:val="both"/>
      </w:pPr>
      <w:r>
        <w:t>Consistency of the individual study results;</w:t>
      </w:r>
    </w:p>
    <w:p w14:paraId="4DDB81DF" w14:textId="77777777" w:rsidR="007043B5" w:rsidRDefault="007043B5" w:rsidP="007043B5">
      <w:pPr>
        <w:pStyle w:val="ListParagraph"/>
        <w:numPr>
          <w:ilvl w:val="0"/>
          <w:numId w:val="13"/>
        </w:numPr>
        <w:jc w:val="both"/>
      </w:pPr>
      <w:r>
        <w:t>How directly the evidence answers the research question of interest;</w:t>
      </w:r>
    </w:p>
    <w:p w14:paraId="7912328E" w14:textId="77777777" w:rsidR="007043B5" w:rsidRDefault="007043B5" w:rsidP="007043B5">
      <w:pPr>
        <w:pStyle w:val="ListParagraph"/>
        <w:numPr>
          <w:ilvl w:val="0"/>
          <w:numId w:val="13"/>
        </w:numPr>
        <w:spacing w:after="120"/>
        <w:jc w:val="both"/>
      </w:pPr>
      <w:r>
        <w:t>Risk of publication or reporting biases.</w:t>
      </w:r>
    </w:p>
    <w:p w14:paraId="4A2A7D07" w14:textId="77777777" w:rsidR="007043B5" w:rsidRDefault="007043B5" w:rsidP="007043B5">
      <w:pPr>
        <w:jc w:val="both"/>
      </w:pPr>
      <w:r w:rsidRPr="00544F6D">
        <w:t xml:space="preserve">These five factors are combined to provide an overall GRADE assessment for a body of evidence (see Table </w:t>
      </w:r>
      <w:r>
        <w:t>4</w:t>
      </w:r>
      <w:r w:rsidRPr="00544F6D">
        <w:t>).</w:t>
      </w:r>
      <w:r>
        <w:t xml:space="preserve"> The REA used the approach recommended by Murad et al. (2017) for grading narrative summaries of a body of evidence where individual studies measure or report different outcomes.</w:t>
      </w:r>
    </w:p>
    <w:p w14:paraId="5B0B50BB" w14:textId="3646ED2E" w:rsidR="007043B5" w:rsidRPr="00EC197A" w:rsidRDefault="007043B5" w:rsidP="007043B5">
      <w:pPr>
        <w:pStyle w:val="Caption"/>
        <w:keepNext/>
        <w:jc w:val="both"/>
        <w:rPr>
          <w:b/>
          <w:i w:val="0"/>
          <w:color w:val="auto"/>
          <w:sz w:val="20"/>
          <w:szCs w:val="20"/>
        </w:rPr>
      </w:pPr>
      <w:bookmarkStart w:id="195" w:name="_Toc103931017"/>
      <w:bookmarkStart w:id="196" w:name="_Toc151691018"/>
      <w:bookmarkStart w:id="197" w:name="_Toc165018280"/>
      <w:r w:rsidRPr="00EC197A">
        <w:rPr>
          <w:b/>
          <w:i w:val="0"/>
          <w:color w:val="auto"/>
          <w:sz w:val="20"/>
          <w:szCs w:val="20"/>
        </w:rPr>
        <w:t xml:space="preserve">Table </w:t>
      </w:r>
      <w:r w:rsidRPr="00EC197A">
        <w:rPr>
          <w:b/>
          <w:i w:val="0"/>
          <w:color w:val="auto"/>
          <w:sz w:val="20"/>
          <w:szCs w:val="20"/>
        </w:rPr>
        <w:fldChar w:fldCharType="begin"/>
      </w:r>
      <w:r w:rsidRPr="00EC197A">
        <w:rPr>
          <w:b/>
          <w:i w:val="0"/>
          <w:color w:val="auto"/>
          <w:sz w:val="20"/>
          <w:szCs w:val="20"/>
        </w:rPr>
        <w:instrText xml:space="preserve"> SEQ Table \* ARABIC </w:instrText>
      </w:r>
      <w:r w:rsidRPr="00EC197A">
        <w:rPr>
          <w:b/>
          <w:i w:val="0"/>
          <w:color w:val="auto"/>
          <w:sz w:val="20"/>
          <w:szCs w:val="20"/>
        </w:rPr>
        <w:fldChar w:fldCharType="separate"/>
      </w:r>
      <w:r w:rsidR="005A78A1">
        <w:rPr>
          <w:b/>
          <w:i w:val="0"/>
          <w:noProof/>
          <w:color w:val="auto"/>
          <w:sz w:val="20"/>
          <w:szCs w:val="20"/>
        </w:rPr>
        <w:t>4</w:t>
      </w:r>
      <w:r w:rsidRPr="00EC197A">
        <w:rPr>
          <w:b/>
          <w:i w:val="0"/>
          <w:color w:val="auto"/>
          <w:sz w:val="20"/>
          <w:szCs w:val="20"/>
        </w:rPr>
        <w:fldChar w:fldCharType="end"/>
      </w:r>
      <w:r w:rsidRPr="00EC197A">
        <w:rPr>
          <w:b/>
          <w:i w:val="0"/>
          <w:color w:val="auto"/>
          <w:sz w:val="20"/>
          <w:szCs w:val="20"/>
        </w:rPr>
        <w:t>. Interpretation of the four levels of evidence used in the GRADE profile.</w:t>
      </w:r>
      <w:bookmarkStart w:id="198" w:name="_Toc102143195"/>
      <w:bookmarkEnd w:id="195"/>
      <w:bookmarkEnd w:id="196"/>
      <w:bookmarkEnd w:id="197"/>
    </w:p>
    <w:tbl>
      <w:tblPr>
        <w:tblStyle w:val="GridTable5Dark-Accent5"/>
        <w:tblW w:w="5000" w:type="pct"/>
        <w:tblLook w:val="04A0" w:firstRow="1" w:lastRow="0" w:firstColumn="1" w:lastColumn="0" w:noHBand="0" w:noVBand="1"/>
      </w:tblPr>
      <w:tblGrid>
        <w:gridCol w:w="1048"/>
        <w:gridCol w:w="7968"/>
      </w:tblGrid>
      <w:tr w:rsidR="007043B5" w:rsidRPr="009B4D43" w14:paraId="348DFC2A" w14:textId="77777777" w:rsidTr="00290E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1" w:type="pct"/>
            <w:hideMark/>
          </w:tcPr>
          <w:p w14:paraId="5C24F1F2" w14:textId="77777777" w:rsidR="007043B5" w:rsidRPr="009B4D43" w:rsidRDefault="007043B5" w:rsidP="004361E5">
            <w:pPr>
              <w:jc w:val="both"/>
            </w:pPr>
            <w:r w:rsidRPr="009B4D43">
              <w:t>GRADE</w:t>
            </w:r>
          </w:p>
        </w:tc>
        <w:tc>
          <w:tcPr>
            <w:tcW w:w="4419" w:type="pct"/>
            <w:hideMark/>
          </w:tcPr>
          <w:p w14:paraId="1062ACDB" w14:textId="77777777" w:rsidR="007043B5" w:rsidRPr="009B4D43" w:rsidRDefault="007043B5" w:rsidP="004361E5">
            <w:pPr>
              <w:jc w:val="both"/>
              <w:cnfStyle w:val="100000000000" w:firstRow="1" w:lastRow="0" w:firstColumn="0" w:lastColumn="0" w:oddVBand="0" w:evenVBand="0" w:oddHBand="0" w:evenHBand="0" w:firstRowFirstColumn="0" w:firstRowLastColumn="0" w:lastRowFirstColumn="0" w:lastRowLastColumn="0"/>
            </w:pPr>
            <w:r w:rsidRPr="009B4D43">
              <w:t>Definition</w:t>
            </w:r>
          </w:p>
        </w:tc>
      </w:tr>
      <w:tr w:rsidR="007043B5" w:rsidRPr="009B4D43" w14:paraId="7977170F" w14:textId="77777777" w:rsidTr="00436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pct"/>
            <w:hideMark/>
          </w:tcPr>
          <w:p w14:paraId="460FB059" w14:textId="77777777" w:rsidR="007043B5" w:rsidRDefault="007043B5" w:rsidP="004361E5">
            <w:pPr>
              <w:jc w:val="both"/>
            </w:pPr>
            <w:r w:rsidRPr="009B4D43">
              <w:t>High</w:t>
            </w:r>
          </w:p>
          <w:p w14:paraId="62ED1F0C" w14:textId="77777777" w:rsidR="007043B5" w:rsidRPr="009B4D43" w:rsidRDefault="007043B5" w:rsidP="004361E5">
            <w:pPr>
              <w:jc w:val="both"/>
            </w:pPr>
            <w:r w:rsidRPr="009D24CF">
              <w:rPr>
                <w:rFonts w:ascii="Cambria Math" w:hAnsi="Cambria Math" w:cs="Cambria Math"/>
              </w:rPr>
              <w:t>⊕⊕⊕⊕</w:t>
            </w:r>
          </w:p>
        </w:tc>
        <w:tc>
          <w:tcPr>
            <w:tcW w:w="4419" w:type="pct"/>
            <w:hideMark/>
          </w:tcPr>
          <w:p w14:paraId="3DCCEB99" w14:textId="77777777" w:rsidR="007043B5" w:rsidRPr="009B4D43" w:rsidRDefault="007043B5" w:rsidP="004361E5">
            <w:pPr>
              <w:jc w:val="both"/>
              <w:cnfStyle w:val="000000100000" w:firstRow="0" w:lastRow="0" w:firstColumn="0" w:lastColumn="0" w:oddVBand="0" w:evenVBand="0" w:oddHBand="1" w:evenHBand="0" w:firstRowFirstColumn="0" w:firstRowLastColumn="0" w:lastRowFirstColumn="0" w:lastRowLastColumn="0"/>
            </w:pPr>
            <w:r>
              <w:t xml:space="preserve">High confidence in the effect estimate: the </w:t>
            </w:r>
            <w:r w:rsidRPr="009B4D43">
              <w:t xml:space="preserve">true effect </w:t>
            </w:r>
            <w:r>
              <w:t xml:space="preserve">is likely to be </w:t>
            </w:r>
            <w:r w:rsidRPr="009B4D43">
              <w:t xml:space="preserve">close to </w:t>
            </w:r>
            <w:r>
              <w:t>t</w:t>
            </w:r>
            <w:r w:rsidRPr="009B4D43">
              <w:t>he estimate of the effect.</w:t>
            </w:r>
          </w:p>
        </w:tc>
      </w:tr>
      <w:tr w:rsidR="007043B5" w:rsidRPr="009B4D43" w14:paraId="7E0A141D" w14:textId="77777777" w:rsidTr="004361E5">
        <w:tc>
          <w:tcPr>
            <w:cnfStyle w:val="001000000000" w:firstRow="0" w:lastRow="0" w:firstColumn="1" w:lastColumn="0" w:oddVBand="0" w:evenVBand="0" w:oddHBand="0" w:evenHBand="0" w:firstRowFirstColumn="0" w:firstRowLastColumn="0" w:lastRowFirstColumn="0" w:lastRowLastColumn="0"/>
            <w:tcW w:w="581" w:type="pct"/>
            <w:hideMark/>
          </w:tcPr>
          <w:p w14:paraId="68BC896A" w14:textId="77777777" w:rsidR="007043B5" w:rsidRDefault="007043B5" w:rsidP="004361E5">
            <w:pPr>
              <w:jc w:val="both"/>
            </w:pPr>
            <w:r w:rsidRPr="009B4D43">
              <w:t>Moderate</w:t>
            </w:r>
          </w:p>
          <w:p w14:paraId="23F0A829" w14:textId="77777777" w:rsidR="007043B5" w:rsidRPr="009B4D43" w:rsidRDefault="007043B5" w:rsidP="004361E5">
            <w:pPr>
              <w:jc w:val="both"/>
            </w:pPr>
            <w:r>
              <w:rPr>
                <w:rFonts w:ascii="Cambria Math" w:hAnsi="Cambria Math" w:cs="Cambria Math"/>
              </w:rPr>
              <w:t>⊕⊕⊕</w:t>
            </w:r>
          </w:p>
        </w:tc>
        <w:tc>
          <w:tcPr>
            <w:tcW w:w="4419" w:type="pct"/>
            <w:hideMark/>
          </w:tcPr>
          <w:p w14:paraId="62700203" w14:textId="77777777" w:rsidR="007043B5" w:rsidRPr="009B4D43" w:rsidRDefault="007043B5" w:rsidP="004361E5">
            <w:pPr>
              <w:jc w:val="both"/>
              <w:cnfStyle w:val="000000000000" w:firstRow="0" w:lastRow="0" w:firstColumn="0" w:lastColumn="0" w:oddVBand="0" w:evenVBand="0" w:oddHBand="0" w:evenHBand="0" w:firstRowFirstColumn="0" w:firstRowLastColumn="0" w:lastRowFirstColumn="0" w:lastRowLastColumn="0"/>
            </w:pPr>
            <w:r>
              <w:t>Moderate</w:t>
            </w:r>
            <w:r w:rsidRPr="009B4D43">
              <w:t xml:space="preserve"> confide</w:t>
            </w:r>
            <w:r>
              <w:t>nce</w:t>
            </w:r>
            <w:r w:rsidRPr="009B4D43">
              <w:t xml:space="preserve"> in the effect estimate: </w:t>
            </w:r>
            <w:r>
              <w:t xml:space="preserve">the true effect is likely to be </w:t>
            </w:r>
            <w:r w:rsidRPr="009B4D43">
              <w:t>close to the estimate of the effect, but there is a possibility that it is substantially different.</w:t>
            </w:r>
          </w:p>
        </w:tc>
      </w:tr>
      <w:tr w:rsidR="007043B5" w:rsidRPr="009B4D43" w14:paraId="1F2E9DBB" w14:textId="77777777" w:rsidTr="00436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pct"/>
            <w:hideMark/>
          </w:tcPr>
          <w:p w14:paraId="63B2935F" w14:textId="77777777" w:rsidR="007043B5" w:rsidRDefault="007043B5" w:rsidP="004361E5">
            <w:pPr>
              <w:jc w:val="both"/>
            </w:pPr>
            <w:r w:rsidRPr="009B4D43">
              <w:t>Low</w:t>
            </w:r>
          </w:p>
          <w:p w14:paraId="54CC80A6" w14:textId="77777777" w:rsidR="007043B5" w:rsidRPr="009B4D43" w:rsidRDefault="007043B5" w:rsidP="004361E5">
            <w:pPr>
              <w:jc w:val="both"/>
            </w:pPr>
            <w:r>
              <w:rPr>
                <w:rFonts w:ascii="Cambria Math" w:hAnsi="Cambria Math" w:cs="Cambria Math"/>
              </w:rPr>
              <w:t>⊕⊕</w:t>
            </w:r>
          </w:p>
        </w:tc>
        <w:tc>
          <w:tcPr>
            <w:tcW w:w="4419" w:type="pct"/>
            <w:hideMark/>
          </w:tcPr>
          <w:p w14:paraId="447031AD" w14:textId="77777777" w:rsidR="007043B5" w:rsidRPr="009B4D43" w:rsidRDefault="007043B5" w:rsidP="004361E5">
            <w:pPr>
              <w:jc w:val="both"/>
              <w:cnfStyle w:val="000000100000" w:firstRow="0" w:lastRow="0" w:firstColumn="0" w:lastColumn="0" w:oddVBand="0" w:evenVBand="0" w:oddHBand="1" w:evenHBand="0" w:firstRowFirstColumn="0" w:firstRowLastColumn="0" w:lastRowFirstColumn="0" w:lastRowLastColumn="0"/>
            </w:pPr>
            <w:r>
              <w:t>Limited c</w:t>
            </w:r>
            <w:r w:rsidRPr="009B4D43">
              <w:t>onfidence in the effect estimate: the true effect may be substantially different from the estimate of the effect.</w:t>
            </w:r>
          </w:p>
        </w:tc>
      </w:tr>
      <w:tr w:rsidR="007043B5" w:rsidRPr="009B4D43" w14:paraId="18F76CD5" w14:textId="77777777" w:rsidTr="004361E5">
        <w:tc>
          <w:tcPr>
            <w:cnfStyle w:val="001000000000" w:firstRow="0" w:lastRow="0" w:firstColumn="1" w:lastColumn="0" w:oddVBand="0" w:evenVBand="0" w:oddHBand="0" w:evenHBand="0" w:firstRowFirstColumn="0" w:firstRowLastColumn="0" w:lastRowFirstColumn="0" w:lastRowLastColumn="0"/>
            <w:tcW w:w="581" w:type="pct"/>
            <w:hideMark/>
          </w:tcPr>
          <w:p w14:paraId="5A65C747" w14:textId="77777777" w:rsidR="007043B5" w:rsidRDefault="007043B5" w:rsidP="004361E5">
            <w:pPr>
              <w:jc w:val="both"/>
            </w:pPr>
            <w:r w:rsidRPr="009B4D43">
              <w:t>Very Low</w:t>
            </w:r>
          </w:p>
          <w:p w14:paraId="0D9ADF6A" w14:textId="77777777" w:rsidR="007043B5" w:rsidRPr="009B4D43" w:rsidRDefault="007043B5" w:rsidP="004361E5">
            <w:pPr>
              <w:jc w:val="both"/>
            </w:pPr>
            <w:r>
              <w:rPr>
                <w:rFonts w:ascii="Cambria Math" w:hAnsi="Cambria Math" w:cs="Cambria Math"/>
              </w:rPr>
              <w:t>⊕</w:t>
            </w:r>
          </w:p>
        </w:tc>
        <w:tc>
          <w:tcPr>
            <w:tcW w:w="4419" w:type="pct"/>
            <w:hideMark/>
          </w:tcPr>
          <w:p w14:paraId="09799936" w14:textId="77777777" w:rsidR="007043B5" w:rsidRPr="009B4D43" w:rsidRDefault="007043B5" w:rsidP="004361E5">
            <w:pPr>
              <w:jc w:val="both"/>
              <w:cnfStyle w:val="000000000000" w:firstRow="0" w:lastRow="0" w:firstColumn="0" w:lastColumn="0" w:oddVBand="0" w:evenVBand="0" w:oddHBand="0" w:evenHBand="0" w:firstRowFirstColumn="0" w:firstRowLastColumn="0" w:lastRowFirstColumn="0" w:lastRowLastColumn="0"/>
            </w:pPr>
            <w:r>
              <w:t>Very l</w:t>
            </w:r>
            <w:r w:rsidRPr="009B4D43">
              <w:t>ittle confidence in the effect estimate: the true effect is likely to be substantially different from the estimate of effect.</w:t>
            </w:r>
          </w:p>
        </w:tc>
      </w:tr>
    </w:tbl>
    <w:p w14:paraId="6716F467" w14:textId="77777777" w:rsidR="007043B5" w:rsidRPr="009B4D43" w:rsidRDefault="007043B5" w:rsidP="007043B5">
      <w:pPr>
        <w:jc w:val="both"/>
      </w:pPr>
      <w:r w:rsidRPr="009B4D43">
        <w:t xml:space="preserve">Source: </w:t>
      </w:r>
      <w:r>
        <w:t xml:space="preserve">Adapted from </w:t>
      </w:r>
      <w:r w:rsidRPr="009B4D43">
        <w:t>NHMRC (2019).</w:t>
      </w:r>
    </w:p>
    <w:p w14:paraId="76AB0921" w14:textId="77777777" w:rsidR="007043B5" w:rsidRPr="002266EC" w:rsidRDefault="007043B5" w:rsidP="007043B5">
      <w:pPr>
        <w:pStyle w:val="Heading2"/>
        <w:jc w:val="both"/>
      </w:pPr>
      <w:bookmarkStart w:id="199" w:name="_Toc121689308"/>
      <w:bookmarkStart w:id="200" w:name="_Toc151690820"/>
      <w:bookmarkStart w:id="201" w:name="_Toc165018205"/>
      <w:r w:rsidRPr="002266EC">
        <w:t xml:space="preserve">Data </w:t>
      </w:r>
      <w:r>
        <w:t>e</w:t>
      </w:r>
      <w:r w:rsidRPr="002266EC">
        <w:t>xtraction</w:t>
      </w:r>
      <w:r>
        <w:t xml:space="preserve"> (selection and coding)</w:t>
      </w:r>
      <w:bookmarkEnd w:id="199"/>
      <w:bookmarkEnd w:id="200"/>
      <w:bookmarkEnd w:id="201"/>
    </w:p>
    <w:p w14:paraId="1A8A1E8B" w14:textId="77777777" w:rsidR="007043B5" w:rsidRPr="002266EC" w:rsidRDefault="007043B5" w:rsidP="007043B5">
      <w:pPr>
        <w:jc w:val="both"/>
      </w:pPr>
      <w:r w:rsidRPr="002266EC">
        <w:t xml:space="preserve">The </w:t>
      </w:r>
      <w:r>
        <w:t>study selection and coding</w:t>
      </w:r>
      <w:r w:rsidRPr="002266EC">
        <w:t xml:space="preserve"> process involved the following </w:t>
      </w:r>
      <w:r>
        <w:t xml:space="preserve">six </w:t>
      </w:r>
      <w:r w:rsidRPr="002266EC">
        <w:t>phases:</w:t>
      </w:r>
    </w:p>
    <w:p w14:paraId="3FC26F2C" w14:textId="77777777" w:rsidR="007043B5" w:rsidRPr="002A62F1" w:rsidRDefault="007043B5" w:rsidP="007043B5">
      <w:pPr>
        <w:pStyle w:val="ListParagraph"/>
        <w:numPr>
          <w:ilvl w:val="0"/>
          <w:numId w:val="6"/>
        </w:numPr>
        <w:jc w:val="both"/>
      </w:pPr>
      <w:r>
        <w:t>The liaison librarian translated the PubMed search strategies for the other three databases;</w:t>
      </w:r>
      <w:r w:rsidRPr="005079C6">
        <w:t xml:space="preserve"> conducted the literature searches</w:t>
      </w:r>
      <w:r>
        <w:t>;</w:t>
      </w:r>
      <w:r w:rsidRPr="005079C6">
        <w:t xml:space="preserve"> generated the Endnote libraries</w:t>
      </w:r>
      <w:r>
        <w:t>;</w:t>
      </w:r>
      <w:r w:rsidRPr="005079C6">
        <w:t xml:space="preserve"> de-duplicated the</w:t>
      </w:r>
      <w:r>
        <w:t xml:space="preserve"> retrieved citations in Endnote;</w:t>
      </w:r>
      <w:r w:rsidRPr="005079C6">
        <w:t xml:space="preserve"> and uploaded the citations to </w:t>
      </w:r>
      <w:r>
        <w:t>Covidence for screening</w:t>
      </w:r>
      <w:r w:rsidRPr="005079C6">
        <w:t>.</w:t>
      </w:r>
    </w:p>
    <w:p w14:paraId="212FB910" w14:textId="77777777" w:rsidR="007043B5" w:rsidRPr="002266EC" w:rsidRDefault="007043B5" w:rsidP="007043B5">
      <w:pPr>
        <w:pStyle w:val="ListParagraph"/>
        <w:numPr>
          <w:ilvl w:val="0"/>
          <w:numId w:val="6"/>
        </w:numPr>
        <w:jc w:val="both"/>
      </w:pPr>
      <w:r>
        <w:lastRenderedPageBreak/>
        <w:t>A standardis</w:t>
      </w:r>
      <w:r w:rsidRPr="002266EC">
        <w:t>ed title and abstract form was developed by three reviewers, and tria</w:t>
      </w:r>
      <w:r>
        <w:t>l</w:t>
      </w:r>
      <w:r w:rsidRPr="002266EC">
        <w:t>led by two reviewers,</w:t>
      </w:r>
      <w:r>
        <w:t xml:space="preserve"> on the same </w:t>
      </w:r>
      <w:r w:rsidRPr="002266EC">
        <w:t xml:space="preserve">50 abstracts to calibrate and test the review form. Two reviewers independently screened </w:t>
      </w:r>
      <w:r>
        <w:t>all</w:t>
      </w:r>
      <w:r w:rsidRPr="002266EC">
        <w:t xml:space="preserve"> titles and abstracts, and a third reviewer resolved any conflicts. </w:t>
      </w:r>
    </w:p>
    <w:p w14:paraId="3EDB58A1" w14:textId="77777777" w:rsidR="007043B5" w:rsidRPr="002266EC" w:rsidRDefault="007043B5" w:rsidP="007043B5">
      <w:pPr>
        <w:pStyle w:val="ListParagraph"/>
        <w:numPr>
          <w:ilvl w:val="0"/>
          <w:numId w:val="6"/>
        </w:numPr>
        <w:jc w:val="both"/>
      </w:pPr>
      <w:r w:rsidRPr="002266EC">
        <w:t>A standardi</w:t>
      </w:r>
      <w:r>
        <w:t>s</w:t>
      </w:r>
      <w:r w:rsidRPr="002266EC">
        <w:t>ed full-text form was developed by three reviewers, and trialled by two reviewers</w:t>
      </w:r>
      <w:r>
        <w:t xml:space="preserve">, on the same </w:t>
      </w:r>
      <w:r w:rsidRPr="002266EC">
        <w:t>10 full-text articles to calibrate and test the review form. One reviewer screened all included full-text articles</w:t>
      </w:r>
      <w:r>
        <w:t xml:space="preserve">. Excluded full-text articles were screened by </w:t>
      </w:r>
      <w:r w:rsidRPr="002266EC">
        <w:t>a second reviewe</w:t>
      </w:r>
      <w:r>
        <w:t xml:space="preserve">r and any conflicts were resolved by a </w:t>
      </w:r>
      <w:r w:rsidRPr="002266EC">
        <w:t>third reviewer.</w:t>
      </w:r>
    </w:p>
    <w:p w14:paraId="7FE3ECB4" w14:textId="77777777" w:rsidR="007043B5" w:rsidRDefault="007043B5" w:rsidP="007043B5">
      <w:pPr>
        <w:pStyle w:val="ListParagraph"/>
        <w:numPr>
          <w:ilvl w:val="0"/>
          <w:numId w:val="6"/>
        </w:numPr>
        <w:jc w:val="both"/>
      </w:pPr>
      <w:r w:rsidRPr="002266EC">
        <w:t>One reviewer extracted data from the studies using a piloted form with a set of required data items (e.g., study characteristics, participant characteristics, main findings, and conclusions). A second reviewer checked the accuracy and completeness of the extracted data.</w:t>
      </w:r>
    </w:p>
    <w:p w14:paraId="65FCBBE3" w14:textId="77777777" w:rsidR="007043B5" w:rsidRDefault="007043B5" w:rsidP="007043B5">
      <w:pPr>
        <w:pStyle w:val="ListParagraph"/>
        <w:numPr>
          <w:ilvl w:val="0"/>
          <w:numId w:val="6"/>
        </w:numPr>
        <w:jc w:val="both"/>
      </w:pPr>
      <w:r w:rsidRPr="008C053B">
        <w:t>One reviewer performed the risk of bias appraisal. A second reviewer verified all judgements and support statements; a third reviewer resolved any conflicts.</w:t>
      </w:r>
    </w:p>
    <w:p w14:paraId="2BC0CF1B" w14:textId="77777777" w:rsidR="007043B5" w:rsidRDefault="007043B5" w:rsidP="007043B5">
      <w:pPr>
        <w:pStyle w:val="ListParagraph"/>
        <w:numPr>
          <w:ilvl w:val="0"/>
          <w:numId w:val="6"/>
        </w:numPr>
        <w:jc w:val="both"/>
      </w:pPr>
      <w:r>
        <w:t xml:space="preserve">One reviewer performed the GRADE certainty of evidence assessments. </w:t>
      </w:r>
      <w:r w:rsidRPr="008C053B">
        <w:t>A second reviewer verified all judgements and support statements; a third reviewer resolved any conflicts.</w:t>
      </w:r>
    </w:p>
    <w:p w14:paraId="1ED5F7E8" w14:textId="77777777" w:rsidR="007043B5" w:rsidRDefault="007043B5" w:rsidP="007043B5">
      <w:pPr>
        <w:pStyle w:val="Heading2"/>
        <w:jc w:val="both"/>
      </w:pPr>
      <w:bookmarkStart w:id="202" w:name="_Toc121689309"/>
      <w:bookmarkStart w:id="203" w:name="_Toc151690821"/>
      <w:bookmarkStart w:id="204" w:name="_Toc165018206"/>
      <w:r>
        <w:t>Data synthesis</w:t>
      </w:r>
      <w:bookmarkEnd w:id="202"/>
      <w:bookmarkEnd w:id="203"/>
      <w:bookmarkEnd w:id="204"/>
    </w:p>
    <w:p w14:paraId="1194427F" w14:textId="77777777" w:rsidR="007043B5" w:rsidRPr="009B4D43" w:rsidRDefault="007043B5" w:rsidP="007043B5">
      <w:pPr>
        <w:jc w:val="both"/>
      </w:pPr>
      <w:r w:rsidRPr="009B4D43">
        <w:t xml:space="preserve">The review team </w:t>
      </w:r>
      <w:r>
        <w:t>synthesis</w:t>
      </w:r>
      <w:r w:rsidRPr="009B4D43">
        <w:t>ed and collated the data</w:t>
      </w:r>
      <w:r>
        <w:t xml:space="preserve">; and </w:t>
      </w:r>
      <w:r w:rsidRPr="009B4D43">
        <w:t>drafted, reviewed, and edited the draft report. The GMRF Expert Advisory Panel and the DVA Emerging Treatments Project Team reviewed the draft report. The report provides:</w:t>
      </w:r>
    </w:p>
    <w:p w14:paraId="7FC7B2FD" w14:textId="77777777" w:rsidR="007043B5" w:rsidRPr="009B4D43" w:rsidRDefault="007043B5" w:rsidP="007043B5">
      <w:pPr>
        <w:pStyle w:val="ListParagraph"/>
        <w:numPr>
          <w:ilvl w:val="0"/>
          <w:numId w:val="7"/>
        </w:numPr>
        <w:jc w:val="both"/>
      </w:pPr>
      <w:r w:rsidRPr="009B4D43">
        <w:t xml:space="preserve">A PRISMA diagram (Results section). </w:t>
      </w:r>
    </w:p>
    <w:p w14:paraId="2B2A7E3C" w14:textId="77777777" w:rsidR="007043B5" w:rsidRPr="009B4D43" w:rsidRDefault="007043B5" w:rsidP="007043B5">
      <w:pPr>
        <w:pStyle w:val="ListParagraph"/>
        <w:numPr>
          <w:ilvl w:val="0"/>
          <w:numId w:val="7"/>
        </w:numPr>
        <w:jc w:val="both"/>
      </w:pPr>
      <w:r w:rsidRPr="009B4D43">
        <w:t>A narrative synthesis of the findings (</w:t>
      </w:r>
      <w:r>
        <w:t xml:space="preserve">Summary of the Evidence </w:t>
      </w:r>
      <w:r w:rsidRPr="009B4D43">
        <w:t xml:space="preserve">section). </w:t>
      </w:r>
    </w:p>
    <w:p w14:paraId="1839940C" w14:textId="77777777" w:rsidR="007043B5" w:rsidRPr="009B4D43" w:rsidRDefault="007043B5" w:rsidP="007043B5">
      <w:pPr>
        <w:pStyle w:val="ListParagraph"/>
        <w:numPr>
          <w:ilvl w:val="0"/>
          <w:numId w:val="7"/>
        </w:numPr>
        <w:jc w:val="both"/>
      </w:pPr>
      <w:r w:rsidRPr="009B4D43">
        <w:t>A list of the studies excluded during the full-text screening phase (Appendix 4: List of Excluded Studies).</w:t>
      </w:r>
    </w:p>
    <w:p w14:paraId="73F15870" w14:textId="77777777" w:rsidR="007043B5" w:rsidRPr="009B4D43" w:rsidRDefault="007043B5" w:rsidP="007043B5">
      <w:pPr>
        <w:pStyle w:val="ListParagraph"/>
        <w:numPr>
          <w:ilvl w:val="0"/>
          <w:numId w:val="7"/>
        </w:numPr>
        <w:jc w:val="both"/>
      </w:pPr>
      <w:r w:rsidRPr="009B4D43">
        <w:t>A list of the included studies (Appendix 5: List of Included Studies).</w:t>
      </w:r>
    </w:p>
    <w:p w14:paraId="0CDAB6DA" w14:textId="77777777" w:rsidR="007043B5" w:rsidRPr="009B4D43" w:rsidRDefault="007043B5" w:rsidP="007043B5">
      <w:pPr>
        <w:pStyle w:val="ListParagraph"/>
        <w:numPr>
          <w:ilvl w:val="0"/>
          <w:numId w:val="7"/>
        </w:numPr>
        <w:jc w:val="both"/>
      </w:pPr>
      <w:r w:rsidRPr="009B4D43">
        <w:t>A matrix of the included studies broken down by intervention type and disorder category (Appendix 6: Matrix of Included Studies).</w:t>
      </w:r>
    </w:p>
    <w:p w14:paraId="3DA58DE8" w14:textId="77777777" w:rsidR="007043B5" w:rsidRPr="009B4D43" w:rsidRDefault="007043B5" w:rsidP="007043B5">
      <w:pPr>
        <w:pStyle w:val="ListParagraph"/>
        <w:numPr>
          <w:ilvl w:val="0"/>
          <w:numId w:val="7"/>
        </w:numPr>
        <w:jc w:val="both"/>
      </w:pPr>
      <w:r w:rsidRPr="009B4D43">
        <w:t xml:space="preserve">Evidence summaries of the included studies (Appendix 7: </w:t>
      </w:r>
      <w:r>
        <w:t>Summary of Findings</w:t>
      </w:r>
      <w:r w:rsidRPr="009B4D43">
        <w:t>)</w:t>
      </w:r>
    </w:p>
    <w:p w14:paraId="1341C66A" w14:textId="77777777" w:rsidR="007043B5" w:rsidRPr="009B4D43" w:rsidRDefault="007043B5" w:rsidP="007043B5">
      <w:pPr>
        <w:pStyle w:val="ListParagraph"/>
        <w:numPr>
          <w:ilvl w:val="0"/>
          <w:numId w:val="7"/>
        </w:numPr>
        <w:jc w:val="both"/>
      </w:pPr>
      <w:r w:rsidRPr="009B4D43">
        <w:t>Risk of bias assessments (Appendix 8: Risk of Bias Assessments</w:t>
      </w:r>
      <w:r>
        <w:t>, RoB2</w:t>
      </w:r>
      <w:r w:rsidRPr="009B4D43">
        <w:t>).</w:t>
      </w:r>
    </w:p>
    <w:p w14:paraId="5D658EC6" w14:textId="77777777" w:rsidR="007043B5" w:rsidRPr="009B4D43" w:rsidRDefault="007043B5" w:rsidP="007043B5">
      <w:pPr>
        <w:pStyle w:val="ListParagraph"/>
        <w:numPr>
          <w:ilvl w:val="0"/>
          <w:numId w:val="7"/>
        </w:numPr>
        <w:jc w:val="both"/>
      </w:pPr>
      <w:r w:rsidRPr="009B4D43">
        <w:t xml:space="preserve">GRADE certainty of evidence summaries (Appendix 9: GRADE </w:t>
      </w:r>
      <w:r>
        <w:t xml:space="preserve">Certainty of Evidence </w:t>
      </w:r>
      <w:r w:rsidRPr="009B4D43">
        <w:t xml:space="preserve">Summaries). </w:t>
      </w:r>
    </w:p>
    <w:p w14:paraId="1C231999" w14:textId="77777777" w:rsidR="007043B5" w:rsidRPr="002266EC" w:rsidRDefault="007043B5" w:rsidP="007043B5">
      <w:pPr>
        <w:pStyle w:val="Heading2"/>
        <w:jc w:val="both"/>
      </w:pPr>
      <w:bookmarkStart w:id="205" w:name="_Toc121689310"/>
      <w:bookmarkStart w:id="206" w:name="_Toc151690822"/>
      <w:bookmarkStart w:id="207" w:name="_Toc165018207"/>
      <w:r w:rsidRPr="002266EC">
        <w:t xml:space="preserve">Review </w:t>
      </w:r>
      <w:r>
        <w:t>s</w:t>
      </w:r>
      <w:r w:rsidRPr="002266EC">
        <w:t>oftware</w:t>
      </w:r>
      <w:bookmarkEnd w:id="205"/>
      <w:bookmarkEnd w:id="206"/>
      <w:bookmarkEnd w:id="207"/>
    </w:p>
    <w:p w14:paraId="2B512B7D" w14:textId="7A2CB169" w:rsidR="00CA7365" w:rsidRPr="002266EC" w:rsidRDefault="007043B5" w:rsidP="00CA7365">
      <w:pPr>
        <w:jc w:val="both"/>
      </w:pPr>
      <w:r w:rsidRPr="002266EC">
        <w:t xml:space="preserve">Software was used to facilitate review management and ensure a fully transparent review process. Specifically, EndNote </w:t>
      </w:r>
      <w:r>
        <w:t>X9/</w:t>
      </w:r>
      <w:r w:rsidRPr="00360BF3">
        <w:t xml:space="preserve">20 </w:t>
      </w:r>
      <w:r>
        <w:t>(</w:t>
      </w:r>
      <w:r w:rsidRPr="00CE4672">
        <w:t>Clarivate, 2022</w:t>
      </w:r>
      <w:r w:rsidRPr="001D0F76">
        <w:t>) was used for citation management, Covidence (</w:t>
      </w:r>
      <w:r>
        <w:t xml:space="preserve">Veritas Health Innovation, </w:t>
      </w:r>
      <w:r w:rsidRPr="00CE4672">
        <w:rPr>
          <w:rFonts w:cstheme="minorHAnsi"/>
          <w:szCs w:val="20"/>
        </w:rPr>
        <w:t>n.d</w:t>
      </w:r>
      <w:r w:rsidRPr="001D0F76">
        <w:rPr>
          <w:rFonts w:cstheme="minorHAnsi"/>
          <w:szCs w:val="20"/>
        </w:rPr>
        <w:t>.</w:t>
      </w:r>
      <w:r w:rsidRPr="001D0F76">
        <w:t>) was used for title/abstract and full-text screening, and Microsoft Excel 2016 (</w:t>
      </w:r>
      <w:r w:rsidRPr="00CE4672">
        <w:t>Microsoft Corporation, 2022</w:t>
      </w:r>
      <w:r w:rsidRPr="001D0F76">
        <w:t>)</w:t>
      </w:r>
      <w:r w:rsidRPr="005671F6">
        <w:t xml:space="preserve"> wa</w:t>
      </w:r>
      <w:r w:rsidRPr="002266EC">
        <w:t>s used for data extraction</w:t>
      </w:r>
      <w:r>
        <w:t>, the risk of bias assessments (RoB 2), and for grading the certainty of the evidence (GRADE)</w:t>
      </w:r>
      <w:r w:rsidRPr="002266EC">
        <w:t>.</w:t>
      </w:r>
      <w:bookmarkEnd w:id="198"/>
    </w:p>
    <w:p w14:paraId="73872B7F" w14:textId="47614D3E" w:rsidR="00DE675F" w:rsidRPr="009B4D43" w:rsidRDefault="00DE675F" w:rsidP="00DE675F">
      <w:pPr>
        <w:pStyle w:val="Heading1"/>
      </w:pPr>
      <w:bookmarkStart w:id="208" w:name="_Toc165018208"/>
      <w:r w:rsidRPr="007F215F">
        <w:t>Results: Medicinal Cannabis</w:t>
      </w:r>
      <w:r w:rsidR="00161A38">
        <w:t xml:space="preserve"> Interventions</w:t>
      </w:r>
      <w:bookmarkEnd w:id="208"/>
    </w:p>
    <w:p w14:paraId="239CA40B" w14:textId="77777777" w:rsidR="00DE675F" w:rsidRPr="009B4D43" w:rsidRDefault="00DE675F" w:rsidP="005C7310">
      <w:pPr>
        <w:jc w:val="both"/>
      </w:pPr>
      <w:r w:rsidRPr="009B4D43">
        <w:t xml:space="preserve">Figure 1 presents the number of records that were considered at each stage of the REA (i.e., identification, screening, eligibility, and included). The citations for the full-text articles that were excluded during the eligibility assessment are presented in Appendix 4 (based on the reason for exclusion). </w:t>
      </w:r>
    </w:p>
    <w:p w14:paraId="05F685F9" w14:textId="3364DE5A" w:rsidR="003E0A8B" w:rsidRDefault="00DE675F" w:rsidP="005C7310">
      <w:pPr>
        <w:jc w:val="both"/>
      </w:pPr>
      <w:r w:rsidRPr="00E8314D">
        <w:t xml:space="preserve">From the four databases that were searched, </w:t>
      </w:r>
      <w:r w:rsidR="002631B0" w:rsidRPr="00E8314D">
        <w:t>4</w:t>
      </w:r>
      <w:r w:rsidR="002631B0">
        <w:t>2</w:t>
      </w:r>
      <w:r w:rsidR="002631B0" w:rsidRPr="00E8314D">
        <w:t xml:space="preserve"> </w:t>
      </w:r>
      <w:r w:rsidRPr="00E8314D">
        <w:t>studies met the in</w:t>
      </w:r>
      <w:r w:rsidR="00126F8B">
        <w:t>clusion criteria,</w:t>
      </w:r>
      <w:r w:rsidR="00DA71BD">
        <w:t xml:space="preserve"> including </w:t>
      </w:r>
      <w:r w:rsidR="00851216">
        <w:t>35</w:t>
      </w:r>
      <w:r w:rsidR="00851216" w:rsidRPr="00E8314D">
        <w:t xml:space="preserve"> </w:t>
      </w:r>
      <w:r w:rsidRPr="00E8314D">
        <w:t>secondary sour</w:t>
      </w:r>
      <w:r w:rsidR="00ED2ABE" w:rsidRPr="00E8314D">
        <w:t xml:space="preserve">ces: </w:t>
      </w:r>
      <w:r w:rsidR="001E41AD">
        <w:t>32</w:t>
      </w:r>
      <w:r w:rsidR="001E41AD" w:rsidRPr="00E8314D">
        <w:t xml:space="preserve"> </w:t>
      </w:r>
      <w:r w:rsidRPr="00E8314D">
        <w:t xml:space="preserve">systematic reviews (SRs) and </w:t>
      </w:r>
      <w:r w:rsidR="00ED2ABE" w:rsidRPr="00E8314D">
        <w:t>3</w:t>
      </w:r>
      <w:r w:rsidRPr="00E8314D">
        <w:t xml:space="preserve"> SRs with accompanying </w:t>
      </w:r>
      <w:r w:rsidR="00951732" w:rsidRPr="00E8314D">
        <w:t>meta-analyses (MAs)</w:t>
      </w:r>
      <w:r w:rsidRPr="00E8314D">
        <w:t>. The studies within these secondary sources (i.e., t</w:t>
      </w:r>
      <w:r w:rsidR="00161A38">
        <w:t>hose contained within SRs and</w:t>
      </w:r>
      <w:r w:rsidRPr="00E8314D">
        <w:t xml:space="preserve"> MAs) were extracted to a database containing the primary sources (i.e., randomised controlled trials, RCTs). From this collated set of </w:t>
      </w:r>
      <w:r w:rsidR="00DA71BD">
        <w:t>articles (</w:t>
      </w:r>
      <w:r w:rsidR="009506F9">
        <w:t>3</w:t>
      </w:r>
      <w:r w:rsidR="006F1413">
        <w:t>20</w:t>
      </w:r>
      <w:r w:rsidRPr="00E8314D">
        <w:t xml:space="preserve"> </w:t>
      </w:r>
      <w:r w:rsidR="00DA71BD">
        <w:t xml:space="preserve">in </w:t>
      </w:r>
      <w:r w:rsidRPr="00E8314D">
        <w:t>total), all studies that did not meet the inclusion criteria were excluded</w:t>
      </w:r>
      <w:r w:rsidR="00F74F62">
        <w:t xml:space="preserve"> (e.g., </w:t>
      </w:r>
      <w:r w:rsidR="00AF4C01">
        <w:t>cohort and case-control studies</w:t>
      </w:r>
      <w:r w:rsidR="00F74F62">
        <w:t>)</w:t>
      </w:r>
      <w:r w:rsidRPr="00E8314D">
        <w:t>, and all duplicate studies were removed (i.e., often the same RCT would appear in multiple SRs and MAs; as well as being directly retrieved by the search strategy).</w:t>
      </w:r>
      <w:r w:rsidRPr="009B4D43">
        <w:t xml:space="preserve"> </w:t>
      </w:r>
    </w:p>
    <w:p w14:paraId="4B4E0C0B" w14:textId="265B52AE" w:rsidR="00DE675F" w:rsidRDefault="00DE675F" w:rsidP="005C7310">
      <w:pPr>
        <w:jc w:val="both"/>
      </w:pPr>
      <w:r w:rsidRPr="009B4D43">
        <w:t xml:space="preserve">The final set of articles included </w:t>
      </w:r>
      <w:r w:rsidR="000A321B" w:rsidRPr="009B4D43">
        <w:t>1</w:t>
      </w:r>
      <w:r w:rsidR="000A321B">
        <w:t>2</w:t>
      </w:r>
      <w:r w:rsidR="000A321B" w:rsidRPr="009B4D43">
        <w:t xml:space="preserve"> </w:t>
      </w:r>
      <w:r w:rsidRPr="009B4D43">
        <w:t>RCTs</w:t>
      </w:r>
      <w:r w:rsidR="007E579F">
        <w:t xml:space="preserve"> (see </w:t>
      </w:r>
      <w:r w:rsidR="00B4415D" w:rsidRPr="00E04238">
        <w:t>Appendix 5</w:t>
      </w:r>
      <w:r w:rsidR="007E579F">
        <w:t>).</w:t>
      </w:r>
      <w:r w:rsidR="003E0A8B">
        <w:t xml:space="preserve"> </w:t>
      </w:r>
      <w:r w:rsidR="003E0A8B" w:rsidRPr="00117B1C">
        <w:t xml:space="preserve">The findings from these studies were narratively synthesised, and risk of bias assessments were conducted for each </w:t>
      </w:r>
      <w:r w:rsidR="003E0A8B">
        <w:t>RCT</w:t>
      </w:r>
      <w:r w:rsidR="003E0A8B" w:rsidRPr="00117B1C">
        <w:t>.</w:t>
      </w:r>
    </w:p>
    <w:p w14:paraId="798D99F2" w14:textId="77777777" w:rsidR="00126F8B" w:rsidRPr="009B4D43" w:rsidRDefault="00126F8B" w:rsidP="005C7310">
      <w:pPr>
        <w:jc w:val="both"/>
      </w:pPr>
    </w:p>
    <w:p w14:paraId="3EE156C2" w14:textId="77777777" w:rsidR="00DE675F" w:rsidRPr="009B4D43" w:rsidRDefault="00DE675F" w:rsidP="00BB0D21"/>
    <w:p w14:paraId="45243BB2" w14:textId="77777777" w:rsidR="00BF24C3" w:rsidRDefault="0046712D" w:rsidP="00180ECE">
      <w:pPr>
        <w:rPr>
          <w:rStyle w:val="Heading2Char"/>
        </w:rPr>
      </w:pPr>
      <w:bookmarkStart w:id="209" w:name="_Toc99653050"/>
      <w:bookmarkStart w:id="210" w:name="_Toc101536663"/>
      <w:bookmarkStart w:id="211" w:name="_Toc103944892"/>
      <w:bookmarkStart w:id="212" w:name="_Toc121096101"/>
      <w:bookmarkStart w:id="213" w:name="_Toc165018209"/>
      <w:r w:rsidRPr="00180ECE">
        <w:rPr>
          <w:rStyle w:val="Heading2Char"/>
        </w:rPr>
        <w:lastRenderedPageBreak/>
        <w:t xml:space="preserve">Medicinal Cannabis: </w:t>
      </w:r>
      <w:r w:rsidR="00E131BF">
        <w:rPr>
          <w:rStyle w:val="Heading2Char"/>
        </w:rPr>
        <w:t>Standalone</w:t>
      </w:r>
      <w:r w:rsidRPr="00180ECE">
        <w:rPr>
          <w:rStyle w:val="Heading2Char"/>
        </w:rPr>
        <w:t xml:space="preserve"> and combined interventions</w:t>
      </w:r>
      <w:bookmarkEnd w:id="209"/>
      <w:bookmarkEnd w:id="210"/>
      <w:bookmarkEnd w:id="211"/>
      <w:bookmarkEnd w:id="212"/>
      <w:bookmarkEnd w:id="213"/>
    </w:p>
    <w:p w14:paraId="7E5EE99B" w14:textId="623277A1" w:rsidR="002D7371" w:rsidRDefault="00B1050C" w:rsidP="00180ECE">
      <w:r>
        <w:rPr>
          <w:noProof/>
          <w:lang w:eastAsia="en-AU"/>
        </w:rPr>
        <w:drawing>
          <wp:inline distT="0" distB="0" distL="0" distR="0" wp14:anchorId="07A832D2" wp14:editId="6A935EC6">
            <wp:extent cx="5744145" cy="6651601"/>
            <wp:effectExtent l="0" t="0" r="9525" b="0"/>
            <wp:docPr id="5" name="Picture 5" descr="Identification via databases. Identification, Records identified n= 601. Duplicates excluded n=140. Screening, Unique records screened n =461. Records excluded n=386. Full text articles assessed n=75. Full text articles excluded n=33, reasons for exclusion. Ineligible intervention n=4. Ineligibe outcomes n=2. Ineligible population n=1. Eligibility. Eligible articles n=42. Unique RCTs identified n=7. Identification via mapping of secondary sources. Secondary sources mapped n=35 containing 320 primary sources. Unique RCTs identified n=5. Included Unique RCTs included in review n=12." title="PRISMA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0367" cy="6658806"/>
                    </a:xfrm>
                    <a:prstGeom prst="rect">
                      <a:avLst/>
                    </a:prstGeom>
                    <a:noFill/>
                  </pic:spPr>
                </pic:pic>
              </a:graphicData>
            </a:graphic>
          </wp:inline>
        </w:drawing>
      </w:r>
      <w:bookmarkStart w:id="214" w:name="_Toc103945106"/>
    </w:p>
    <w:p w14:paraId="0E393DFA" w14:textId="4806ACEF" w:rsidR="0046712D" w:rsidRPr="008E5116" w:rsidRDefault="008E5116" w:rsidP="008E5116">
      <w:pPr>
        <w:pStyle w:val="Caption"/>
        <w:rPr>
          <w:b/>
          <w:i w:val="0"/>
          <w:color w:val="auto"/>
          <w:sz w:val="20"/>
          <w:szCs w:val="20"/>
        </w:rPr>
      </w:pPr>
      <w:r w:rsidRPr="008E5116">
        <w:rPr>
          <w:b/>
          <w:i w:val="0"/>
          <w:color w:val="auto"/>
          <w:sz w:val="20"/>
          <w:szCs w:val="20"/>
        </w:rPr>
        <w:t xml:space="preserve">Figure </w:t>
      </w:r>
      <w:r w:rsidRPr="008E5116">
        <w:rPr>
          <w:b/>
          <w:i w:val="0"/>
          <w:color w:val="auto"/>
          <w:sz w:val="20"/>
          <w:szCs w:val="20"/>
        </w:rPr>
        <w:fldChar w:fldCharType="begin"/>
      </w:r>
      <w:r w:rsidRPr="008E5116">
        <w:rPr>
          <w:b/>
          <w:i w:val="0"/>
          <w:color w:val="auto"/>
          <w:sz w:val="20"/>
          <w:szCs w:val="20"/>
        </w:rPr>
        <w:instrText xml:space="preserve"> SEQ Figure \* ARABIC </w:instrText>
      </w:r>
      <w:r w:rsidRPr="008E5116">
        <w:rPr>
          <w:b/>
          <w:i w:val="0"/>
          <w:color w:val="auto"/>
          <w:sz w:val="20"/>
          <w:szCs w:val="20"/>
        </w:rPr>
        <w:fldChar w:fldCharType="separate"/>
      </w:r>
      <w:r w:rsidR="005A78A1">
        <w:rPr>
          <w:b/>
          <w:i w:val="0"/>
          <w:noProof/>
          <w:color w:val="auto"/>
          <w:sz w:val="20"/>
          <w:szCs w:val="20"/>
        </w:rPr>
        <w:t>1</w:t>
      </w:r>
      <w:r w:rsidRPr="008E5116">
        <w:rPr>
          <w:b/>
          <w:i w:val="0"/>
          <w:color w:val="auto"/>
          <w:sz w:val="20"/>
          <w:szCs w:val="20"/>
        </w:rPr>
        <w:fldChar w:fldCharType="end"/>
      </w:r>
      <w:r w:rsidR="0046712D" w:rsidRPr="008E5116">
        <w:rPr>
          <w:b/>
          <w:i w:val="0"/>
          <w:color w:val="auto"/>
          <w:sz w:val="20"/>
          <w:szCs w:val="20"/>
        </w:rPr>
        <w:t>. PRISMA diagram detailing the number of records under consideration at each stage of the REA</w:t>
      </w:r>
      <w:r w:rsidR="00CE4321" w:rsidRPr="008E5116">
        <w:rPr>
          <w:b/>
          <w:i w:val="0"/>
          <w:color w:val="auto"/>
          <w:sz w:val="20"/>
          <w:szCs w:val="20"/>
        </w:rPr>
        <w:t xml:space="preserve"> for the medicinal cannabis interventions.</w:t>
      </w:r>
      <w:bookmarkEnd w:id="214"/>
    </w:p>
    <w:p w14:paraId="0879259D" w14:textId="77777777" w:rsidR="00D45C43" w:rsidRPr="009B4D43" w:rsidRDefault="00D45C43">
      <w:pPr>
        <w:spacing w:after="160"/>
        <w:rPr>
          <w:rFonts w:asciiTheme="majorHAnsi" w:eastAsiaTheme="majorEastAsia" w:hAnsiTheme="majorHAnsi" w:cstheme="majorBidi"/>
          <w:color w:val="2E74B5" w:themeColor="accent1" w:themeShade="BF"/>
          <w:sz w:val="32"/>
          <w:szCs w:val="32"/>
        </w:rPr>
      </w:pPr>
      <w:r w:rsidRPr="009B4D43">
        <w:br w:type="page"/>
      </w:r>
    </w:p>
    <w:p w14:paraId="1407B6B9" w14:textId="382975F9" w:rsidR="00BB0D21" w:rsidRPr="009B4D43" w:rsidRDefault="00BB0D21" w:rsidP="00BB0D21">
      <w:pPr>
        <w:pStyle w:val="Heading1"/>
      </w:pPr>
      <w:bookmarkStart w:id="215" w:name="_Toc165018210"/>
      <w:r w:rsidRPr="005D6E23">
        <w:lastRenderedPageBreak/>
        <w:t xml:space="preserve">Summary of the Evidence: </w:t>
      </w:r>
      <w:r w:rsidR="00DE675F" w:rsidRPr="005D6E23">
        <w:t>Medicinal Cannabis</w:t>
      </w:r>
      <w:r w:rsidR="003E49EC">
        <w:t xml:space="preserve"> Interventions</w:t>
      </w:r>
      <w:bookmarkEnd w:id="215"/>
    </w:p>
    <w:p w14:paraId="40B1BFBA" w14:textId="2B829DF1" w:rsidR="003E1DB1" w:rsidRPr="009B4D43" w:rsidRDefault="003E1DB1" w:rsidP="003E1DB1">
      <w:pPr>
        <w:jc w:val="both"/>
      </w:pPr>
      <w:bookmarkStart w:id="216" w:name="_Toc99653053"/>
      <w:r w:rsidRPr="009B4D43">
        <w:t>This section of the report summarises the evidence relevant to the use of medicinal cannabis interventions for four categorie</w:t>
      </w:r>
      <w:r w:rsidR="00E31D64">
        <w:t>s of mental health conditions: anxiety disorders, mood/depressive disorders, s</w:t>
      </w:r>
      <w:r w:rsidRPr="009B4D43">
        <w:t>ubstance</w:t>
      </w:r>
      <w:r w:rsidR="00E31D64">
        <w:t>-related and addictive disorders, and trauma- and stressor-related d</w:t>
      </w:r>
      <w:r w:rsidRPr="009B4D43">
        <w:t xml:space="preserve">isorders. </w:t>
      </w:r>
    </w:p>
    <w:p w14:paraId="7E150B52" w14:textId="30E087FB" w:rsidR="003E1DB1" w:rsidRPr="00404AD8" w:rsidRDefault="000874A6" w:rsidP="003E1DB1">
      <w:pPr>
        <w:jc w:val="both"/>
      </w:pPr>
      <w:r>
        <w:t xml:space="preserve">Twelve </w:t>
      </w:r>
      <w:r w:rsidR="003E1DB1">
        <w:t>(1</w:t>
      </w:r>
      <w:r>
        <w:t>2</w:t>
      </w:r>
      <w:r w:rsidR="003E1DB1">
        <w:t>) studies of medicinal cannabis interventions met the inclusion criteria for the REA.</w:t>
      </w:r>
      <w:r w:rsidR="003E1DB1" w:rsidRPr="005D6E23">
        <w:t xml:space="preserve"> </w:t>
      </w:r>
      <w:r w:rsidR="00616ECD">
        <w:t>Six</w:t>
      </w:r>
      <w:r w:rsidR="00616ECD" w:rsidRPr="005D6E23">
        <w:t xml:space="preserve"> </w:t>
      </w:r>
      <w:r w:rsidR="003E1DB1">
        <w:t>(</w:t>
      </w:r>
      <w:r w:rsidR="00616ECD">
        <w:t>6</w:t>
      </w:r>
      <w:r w:rsidR="003E1DB1">
        <w:t xml:space="preserve">) </w:t>
      </w:r>
      <w:r w:rsidR="003E1DB1" w:rsidRPr="005D6E23">
        <w:t>studies exa</w:t>
      </w:r>
      <w:r w:rsidR="003E1DB1">
        <w:t xml:space="preserve">mined </w:t>
      </w:r>
      <w:r w:rsidR="00E131BF">
        <w:t>standalone</w:t>
      </w:r>
      <w:r w:rsidR="003E1DB1">
        <w:t xml:space="preserve"> interventions,</w:t>
      </w:r>
      <w:r w:rsidR="003E1DB1" w:rsidRPr="005D6E23">
        <w:t xml:space="preserve"> where the study focused on the effect of a medicinal cannabis intervention on the outcome/s of interest (e.g., improvements in mental health symptoms; safety/adverse effects). Six </w:t>
      </w:r>
      <w:r w:rsidR="003E1DB1">
        <w:t xml:space="preserve">(6) </w:t>
      </w:r>
      <w:r w:rsidR="003E1DB1" w:rsidRPr="005D6E23">
        <w:t>studies examined combined inter</w:t>
      </w:r>
      <w:r w:rsidR="003E1DB1">
        <w:t xml:space="preserve">ventions, </w:t>
      </w:r>
      <w:r w:rsidR="003E1DB1" w:rsidRPr="005D6E23">
        <w:t>where a medicinal cannabis intervention was used in conjunction with a psychothera</w:t>
      </w:r>
      <w:r w:rsidR="00C24C08">
        <w:t xml:space="preserve">peutic intervention (e.g., </w:t>
      </w:r>
      <w:r w:rsidR="00B405C4">
        <w:t>cognitive behavioural therapy</w:t>
      </w:r>
      <w:r w:rsidR="00C24C08">
        <w:t xml:space="preserve"> or </w:t>
      </w:r>
      <w:r w:rsidR="003E1DB1" w:rsidRPr="005D6E23">
        <w:t>motivational enhancement).</w:t>
      </w:r>
      <w:r w:rsidR="003E1DB1" w:rsidRPr="004316B6">
        <w:t xml:space="preserve"> </w:t>
      </w:r>
    </w:p>
    <w:p w14:paraId="0860574E" w14:textId="30CD6F5E" w:rsidR="003E1DB1" w:rsidRPr="009B4D43" w:rsidRDefault="003E1DB1" w:rsidP="003E1DB1">
      <w:pPr>
        <w:jc w:val="both"/>
      </w:pPr>
      <w:r w:rsidRPr="009B4D43">
        <w:t>Appendix 6 pr</w:t>
      </w:r>
      <w:r>
        <w:t>ovides</w:t>
      </w:r>
      <w:r w:rsidRPr="009B4D43">
        <w:t xml:space="preserve"> a matrix of </w:t>
      </w:r>
      <w:r w:rsidR="00E131BF">
        <w:t>standalone</w:t>
      </w:r>
      <w:r w:rsidRPr="009B4D43">
        <w:t xml:space="preserve"> and </w:t>
      </w:r>
      <w:r w:rsidRPr="005D6E23">
        <w:t xml:space="preserve">combined </w:t>
      </w:r>
      <w:r w:rsidR="00986C89">
        <w:t xml:space="preserve">medicinal cannabis </w:t>
      </w:r>
      <w:r w:rsidRPr="005D6E23">
        <w:t xml:space="preserve">interventions for the </w:t>
      </w:r>
      <w:r w:rsidR="00616ECD" w:rsidRPr="005D6E23">
        <w:t>1</w:t>
      </w:r>
      <w:r w:rsidR="00616ECD">
        <w:t xml:space="preserve">2 </w:t>
      </w:r>
      <w:r w:rsidR="008D05B1">
        <w:t>studies</w:t>
      </w:r>
      <w:r w:rsidR="008B517E">
        <w:t>,</w:t>
      </w:r>
      <w:r w:rsidR="008D05B1">
        <w:t xml:space="preserve"> </w:t>
      </w:r>
      <w:r w:rsidRPr="005D6E23">
        <w:t>broken down by the disorder categories</w:t>
      </w:r>
      <w:r>
        <w:t xml:space="preserve"> of interest. Appendix 7 provide</w:t>
      </w:r>
      <w:r w:rsidRPr="005D6E23">
        <w:t xml:space="preserve">s a detailed summary of the evidence from each of the </w:t>
      </w:r>
      <w:r w:rsidR="00474B09" w:rsidRPr="005D6E23">
        <w:t>1</w:t>
      </w:r>
      <w:r w:rsidR="00474B09">
        <w:t xml:space="preserve">2 </w:t>
      </w:r>
      <w:r w:rsidRPr="005D6E23">
        <w:t xml:space="preserve">studies. </w:t>
      </w:r>
      <w:r w:rsidR="006B57BB">
        <w:t>T</w:t>
      </w:r>
      <w:r w:rsidRPr="005D6E23">
        <w:t xml:space="preserve">he </w:t>
      </w:r>
      <w:r w:rsidR="009739D3">
        <w:t>risk-of-bias</w:t>
      </w:r>
      <w:r w:rsidRPr="005D6E23">
        <w:t xml:space="preserve"> assessments (Appendix </w:t>
      </w:r>
      <w:r w:rsidR="00711EFC" w:rsidRPr="005D6E23">
        <w:t>8)</w:t>
      </w:r>
      <w:r w:rsidRPr="005D6E23">
        <w:t xml:space="preserve"> and the GRADE (certainty of evidence) summaries (Appendix 9) provide additional information that is relevant to the evidence summarised in this section of the report.</w:t>
      </w:r>
      <w:r w:rsidRPr="009B4D43">
        <w:t xml:space="preserve"> </w:t>
      </w:r>
    </w:p>
    <w:p w14:paraId="73021164" w14:textId="0D559747" w:rsidR="003E1DB1" w:rsidRDefault="00245013" w:rsidP="00313961">
      <w:pPr>
        <w:pStyle w:val="Heading2"/>
      </w:pPr>
      <w:bookmarkStart w:id="217" w:name="_Toc99653054"/>
      <w:bookmarkStart w:id="218" w:name="_Toc101536665"/>
      <w:bookmarkStart w:id="219" w:name="_Toc103944894"/>
      <w:bookmarkStart w:id="220" w:name="_Toc121096103"/>
      <w:bookmarkStart w:id="221" w:name="_Toc165018211"/>
      <w:bookmarkEnd w:id="216"/>
      <w:r>
        <w:t>Anxiety d</w:t>
      </w:r>
      <w:r w:rsidR="003E1DB1" w:rsidRPr="009B4D43">
        <w:t xml:space="preserve">isorders: </w:t>
      </w:r>
      <w:r w:rsidR="00E131BF">
        <w:t>Standalone</w:t>
      </w:r>
      <w:r w:rsidR="003E1DB1" w:rsidRPr="009B4D43">
        <w:t xml:space="preserve"> interventions</w:t>
      </w:r>
      <w:bookmarkStart w:id="222" w:name="_Toc99653055"/>
      <w:bookmarkEnd w:id="217"/>
      <w:bookmarkEnd w:id="218"/>
      <w:bookmarkEnd w:id="219"/>
      <w:bookmarkEnd w:id="220"/>
      <w:bookmarkEnd w:id="221"/>
    </w:p>
    <w:p w14:paraId="3162232A" w14:textId="586AAAC4" w:rsidR="003E1DB1" w:rsidRDefault="003E1DB1" w:rsidP="00180ECE">
      <w:pPr>
        <w:jc w:val="both"/>
        <w:rPr>
          <w:rFonts w:cstheme="minorHAnsi"/>
          <w:bCs/>
          <w:szCs w:val="20"/>
        </w:rPr>
      </w:pPr>
      <w:r>
        <w:rPr>
          <w:rFonts w:eastAsia="Times New Roman" w:cstheme="minorHAnsi"/>
          <w:szCs w:val="20"/>
          <w:lang w:eastAsia="en-AU"/>
        </w:rPr>
        <w:t xml:space="preserve">Two studies examined </w:t>
      </w:r>
      <w:r w:rsidR="004F0AD8">
        <w:rPr>
          <w:rFonts w:eastAsia="Times New Roman" w:cstheme="minorHAnsi"/>
          <w:szCs w:val="20"/>
          <w:lang w:eastAsia="en-AU"/>
        </w:rPr>
        <w:t xml:space="preserve">a </w:t>
      </w:r>
      <w:r w:rsidR="00E131BF">
        <w:rPr>
          <w:rFonts w:eastAsia="Times New Roman" w:cstheme="minorHAnsi"/>
          <w:szCs w:val="20"/>
          <w:lang w:eastAsia="en-AU"/>
        </w:rPr>
        <w:t>standalone</w:t>
      </w:r>
      <w:r>
        <w:rPr>
          <w:rFonts w:eastAsia="Times New Roman" w:cstheme="minorHAnsi"/>
          <w:szCs w:val="20"/>
          <w:lang w:eastAsia="en-AU"/>
        </w:rPr>
        <w:t xml:space="preserve"> medicinal cannabis intervention</w:t>
      </w:r>
      <w:r w:rsidR="00B31C4A">
        <w:rPr>
          <w:rFonts w:eastAsia="Times New Roman" w:cstheme="minorHAnsi"/>
          <w:szCs w:val="20"/>
          <w:lang w:eastAsia="en-AU"/>
        </w:rPr>
        <w:t xml:space="preserve"> in participants with</w:t>
      </w:r>
      <w:r>
        <w:rPr>
          <w:rFonts w:eastAsia="Times New Roman" w:cstheme="minorHAnsi"/>
          <w:szCs w:val="20"/>
          <w:lang w:eastAsia="en-AU"/>
        </w:rPr>
        <w:t xml:space="preserve"> anxiety disorder</w:t>
      </w:r>
      <w:r w:rsidR="00B31C4A">
        <w:rPr>
          <w:rFonts w:eastAsia="Times New Roman" w:cstheme="minorHAnsi"/>
          <w:szCs w:val="20"/>
          <w:lang w:eastAsia="en-AU"/>
        </w:rPr>
        <w:t>s (</w:t>
      </w:r>
      <w:r>
        <w:rPr>
          <w:rFonts w:eastAsia="Times New Roman" w:cstheme="minorHAnsi"/>
          <w:szCs w:val="20"/>
          <w:lang w:eastAsia="en-AU"/>
        </w:rPr>
        <w:t>M</w:t>
      </w:r>
      <w:r w:rsidRPr="00A22A69">
        <w:rPr>
          <w:rFonts w:cstheme="minorHAnsi"/>
          <w:bCs/>
          <w:szCs w:val="20"/>
        </w:rPr>
        <w:t>asataka</w:t>
      </w:r>
      <w:r>
        <w:rPr>
          <w:rFonts w:cstheme="minorHAnsi"/>
          <w:bCs/>
          <w:szCs w:val="20"/>
        </w:rPr>
        <w:t xml:space="preserve"> </w:t>
      </w:r>
      <w:r w:rsidRPr="00A22A69">
        <w:rPr>
          <w:rFonts w:cstheme="minorHAnsi"/>
          <w:bCs/>
          <w:szCs w:val="20"/>
        </w:rPr>
        <w:t>2019</w:t>
      </w:r>
      <w:r w:rsidR="00B31C4A">
        <w:rPr>
          <w:rFonts w:cstheme="minorHAnsi"/>
          <w:bCs/>
          <w:szCs w:val="20"/>
        </w:rPr>
        <w:t xml:space="preserve">; Kayser et al., </w:t>
      </w:r>
      <w:r w:rsidRPr="00F139AE">
        <w:rPr>
          <w:rFonts w:cstheme="minorHAnsi"/>
          <w:bCs/>
          <w:szCs w:val="20"/>
        </w:rPr>
        <w:t>2020)</w:t>
      </w:r>
      <w:r>
        <w:rPr>
          <w:rFonts w:cstheme="minorHAnsi"/>
          <w:bCs/>
          <w:szCs w:val="20"/>
        </w:rPr>
        <w:t xml:space="preserve">. </w:t>
      </w:r>
    </w:p>
    <w:p w14:paraId="1BAD27B1" w14:textId="3365B012" w:rsidR="003E1DB1" w:rsidRDefault="003E1DB1" w:rsidP="00122181">
      <w:pPr>
        <w:jc w:val="both"/>
        <w:rPr>
          <w:color w:val="000000"/>
        </w:rPr>
      </w:pPr>
      <w:r w:rsidRPr="7F2F8ECC">
        <w:t xml:space="preserve">Masataka </w:t>
      </w:r>
      <w:r w:rsidR="00B31C4A" w:rsidRPr="7F2F8ECC">
        <w:t xml:space="preserve">(2019; </w:t>
      </w:r>
      <w:r w:rsidR="00B31C4A" w:rsidRPr="7F2F8ECC">
        <w:rPr>
          <w:i/>
          <w:iCs/>
        </w:rPr>
        <w:t>n</w:t>
      </w:r>
      <w:r w:rsidR="00B31C4A" w:rsidRPr="7F2F8ECC">
        <w:t xml:space="preserve"> = </w:t>
      </w:r>
      <w:r w:rsidR="00281FA1">
        <w:t>40</w:t>
      </w:r>
      <w:r w:rsidR="00B31C4A" w:rsidRPr="7F2F8ECC">
        <w:t xml:space="preserve">) recruited young </w:t>
      </w:r>
      <w:r w:rsidRPr="7F2F8ECC">
        <w:rPr>
          <w:rFonts w:ascii="Calibri" w:hAnsi="Calibri" w:cs="Calibri"/>
        </w:rPr>
        <w:t xml:space="preserve">adults </w:t>
      </w:r>
      <w:r w:rsidR="00347761">
        <w:rPr>
          <w:rFonts w:ascii="Calibri" w:hAnsi="Calibri" w:cs="Calibri"/>
        </w:rPr>
        <w:t xml:space="preserve">(18 </w:t>
      </w:r>
      <w:r w:rsidR="009342CD">
        <w:rPr>
          <w:rFonts w:ascii="Calibri" w:hAnsi="Calibri" w:cs="Calibri"/>
        </w:rPr>
        <w:t>to</w:t>
      </w:r>
      <w:r w:rsidR="00347761">
        <w:rPr>
          <w:rFonts w:ascii="Calibri" w:hAnsi="Calibri" w:cs="Calibri"/>
        </w:rPr>
        <w:t xml:space="preserve"> 19 years of age) </w:t>
      </w:r>
      <w:r w:rsidRPr="7F2F8ECC">
        <w:rPr>
          <w:rFonts w:ascii="Calibri" w:hAnsi="Calibri" w:cs="Calibri"/>
        </w:rPr>
        <w:t xml:space="preserve">with </w:t>
      </w:r>
      <w:r w:rsidR="00CD3CE2" w:rsidRPr="7F2F8ECC">
        <w:rPr>
          <w:rFonts w:ascii="Calibri" w:hAnsi="Calibri" w:cs="Calibri"/>
        </w:rPr>
        <w:t>a social anxiety disorder (</w:t>
      </w:r>
      <w:r w:rsidRPr="7F2F8ECC">
        <w:rPr>
          <w:rFonts w:ascii="Calibri" w:hAnsi="Calibri" w:cs="Calibri"/>
        </w:rPr>
        <w:t>SAD</w:t>
      </w:r>
      <w:r w:rsidR="00CD3CE2" w:rsidRPr="7F2F8ECC">
        <w:rPr>
          <w:rFonts w:ascii="Calibri" w:hAnsi="Calibri" w:cs="Calibri"/>
        </w:rPr>
        <w:t xml:space="preserve">) </w:t>
      </w:r>
      <w:r w:rsidRPr="7F2F8ECC">
        <w:rPr>
          <w:rFonts w:ascii="Calibri" w:hAnsi="Calibri" w:cs="Calibri"/>
        </w:rPr>
        <w:t xml:space="preserve">and </w:t>
      </w:r>
      <w:r w:rsidR="007608B8">
        <w:rPr>
          <w:rFonts w:ascii="Calibri" w:hAnsi="Calibri" w:cs="Calibri"/>
        </w:rPr>
        <w:t xml:space="preserve">a comorbid diagnosis of </w:t>
      </w:r>
      <w:r w:rsidRPr="7F2F8ECC">
        <w:rPr>
          <w:rFonts w:ascii="Calibri" w:hAnsi="Calibri" w:cs="Calibri"/>
        </w:rPr>
        <w:t>avoidant personality disorder</w:t>
      </w:r>
      <w:r w:rsidR="00CD3CE2" w:rsidRPr="7F2F8ECC">
        <w:rPr>
          <w:rFonts w:ascii="Calibri" w:hAnsi="Calibri" w:cs="Calibri"/>
        </w:rPr>
        <w:t xml:space="preserve"> (</w:t>
      </w:r>
      <w:r w:rsidR="00C47123" w:rsidRPr="00A57C92">
        <w:rPr>
          <w:rFonts w:ascii="Calibri" w:hAnsi="Calibri" w:cs="Calibri"/>
        </w:rPr>
        <w:t>DSM</w:t>
      </w:r>
      <w:r w:rsidR="332B258B" w:rsidRPr="00A57C92">
        <w:rPr>
          <w:rFonts w:ascii="Calibri" w:hAnsi="Calibri" w:cs="Calibri"/>
        </w:rPr>
        <w:t>-IV</w:t>
      </w:r>
      <w:r w:rsidR="00C47123" w:rsidRPr="00A57C92">
        <w:rPr>
          <w:rFonts w:ascii="Calibri" w:hAnsi="Calibri" w:cs="Calibri"/>
        </w:rPr>
        <w:t xml:space="preserve"> </w:t>
      </w:r>
      <w:r w:rsidR="00CD3CE2" w:rsidRPr="00A57C92">
        <w:rPr>
          <w:rFonts w:ascii="Calibri" w:hAnsi="Calibri" w:cs="Calibri"/>
        </w:rPr>
        <w:t>criteria</w:t>
      </w:r>
      <w:r w:rsidR="00CD3CE2" w:rsidRPr="7F2F8ECC">
        <w:rPr>
          <w:rFonts w:ascii="Calibri" w:hAnsi="Calibri" w:cs="Calibri"/>
        </w:rPr>
        <w:t>)</w:t>
      </w:r>
      <w:r w:rsidR="00B31C4A" w:rsidRPr="7F2F8ECC">
        <w:rPr>
          <w:rFonts w:ascii="Calibri" w:hAnsi="Calibri" w:cs="Calibri"/>
        </w:rPr>
        <w:t>. Participants were randomised to receive</w:t>
      </w:r>
      <w:r w:rsidR="00C24C08">
        <w:rPr>
          <w:rFonts w:ascii="Calibri" w:hAnsi="Calibri" w:cs="Calibri"/>
        </w:rPr>
        <w:t xml:space="preserve"> </w:t>
      </w:r>
      <w:r w:rsidR="007567C5">
        <w:rPr>
          <w:rFonts w:ascii="Calibri" w:hAnsi="Calibri" w:cs="Calibri"/>
        </w:rPr>
        <w:t xml:space="preserve">an oral solution </w:t>
      </w:r>
      <w:r w:rsidR="00954C25">
        <w:rPr>
          <w:rFonts w:ascii="Calibri" w:hAnsi="Calibri" w:cs="Calibri"/>
        </w:rPr>
        <w:t>containing</w:t>
      </w:r>
      <w:r w:rsidR="007567C5">
        <w:rPr>
          <w:rFonts w:ascii="Calibri" w:hAnsi="Calibri" w:cs="Calibri"/>
        </w:rPr>
        <w:t xml:space="preserve"> </w:t>
      </w:r>
      <w:r w:rsidR="00B31C4A" w:rsidRPr="7F2F8ECC">
        <w:rPr>
          <w:rFonts w:ascii="Calibri" w:hAnsi="Calibri" w:cs="Calibri"/>
        </w:rPr>
        <w:t>either</w:t>
      </w:r>
      <w:r w:rsidRPr="7F2F8ECC">
        <w:rPr>
          <w:rFonts w:ascii="Calibri" w:hAnsi="Calibri" w:cs="Calibri"/>
        </w:rPr>
        <w:t xml:space="preserve"> </w:t>
      </w:r>
      <w:r w:rsidR="00935043" w:rsidRPr="7F2F8ECC">
        <w:rPr>
          <w:rFonts w:ascii="Calibri" w:hAnsi="Calibri" w:cs="Calibri"/>
        </w:rPr>
        <w:t>c</w:t>
      </w:r>
      <w:r w:rsidR="00C47123" w:rsidRPr="7F2F8ECC">
        <w:rPr>
          <w:rFonts w:ascii="Calibri" w:hAnsi="Calibri" w:cs="Calibri"/>
        </w:rPr>
        <w:t>annabidiol (CBD)</w:t>
      </w:r>
      <w:r w:rsidR="00B31C4A" w:rsidRPr="7F2F8ECC">
        <w:rPr>
          <w:rFonts w:ascii="Calibri" w:hAnsi="Calibri" w:cs="Calibri"/>
        </w:rPr>
        <w:t xml:space="preserve"> oil</w:t>
      </w:r>
      <w:r w:rsidRPr="7F2F8ECC">
        <w:rPr>
          <w:rFonts w:ascii="Calibri" w:hAnsi="Calibri" w:cs="Calibri"/>
        </w:rPr>
        <w:t xml:space="preserve"> </w:t>
      </w:r>
      <w:r w:rsidR="00B31C4A" w:rsidRPr="7F2F8ECC">
        <w:rPr>
          <w:rFonts w:ascii="Calibri" w:hAnsi="Calibri" w:cs="Calibri"/>
        </w:rPr>
        <w:t>(300</w:t>
      </w:r>
      <w:r w:rsidR="009D01FE">
        <w:rPr>
          <w:rFonts w:ascii="Calibri" w:hAnsi="Calibri" w:cs="Calibri"/>
        </w:rPr>
        <w:t xml:space="preserve"> mg</w:t>
      </w:r>
      <w:r w:rsidR="00B31C4A" w:rsidRPr="7F2F8ECC">
        <w:rPr>
          <w:rFonts w:ascii="Calibri" w:hAnsi="Calibri" w:cs="Calibri"/>
        </w:rPr>
        <w:t xml:space="preserve">; </w:t>
      </w:r>
      <w:r w:rsidR="00B31C4A" w:rsidRPr="7F2F8ECC">
        <w:rPr>
          <w:rFonts w:ascii="Calibri" w:hAnsi="Calibri" w:cs="Calibri"/>
          <w:i/>
          <w:iCs/>
        </w:rPr>
        <w:t>n</w:t>
      </w:r>
      <w:r w:rsidR="00B31C4A" w:rsidRPr="7F2F8ECC">
        <w:rPr>
          <w:rFonts w:ascii="Calibri" w:hAnsi="Calibri" w:cs="Calibri"/>
        </w:rPr>
        <w:t xml:space="preserve"> = </w:t>
      </w:r>
      <w:r w:rsidR="0034239F">
        <w:rPr>
          <w:rFonts w:ascii="Calibri" w:hAnsi="Calibri" w:cs="Calibri"/>
        </w:rPr>
        <w:t>20</w:t>
      </w:r>
      <w:r w:rsidR="00B31C4A" w:rsidRPr="7F2F8ECC">
        <w:rPr>
          <w:rFonts w:ascii="Calibri" w:hAnsi="Calibri" w:cs="Calibri"/>
        </w:rPr>
        <w:t xml:space="preserve">) </w:t>
      </w:r>
      <w:r w:rsidRPr="7F2F8ECC">
        <w:rPr>
          <w:rFonts w:ascii="Calibri" w:hAnsi="Calibri" w:cs="Calibri"/>
        </w:rPr>
        <w:t xml:space="preserve">or </w:t>
      </w:r>
      <w:r w:rsidR="00F416D3" w:rsidRPr="7F2F8ECC">
        <w:rPr>
          <w:rFonts w:ascii="Calibri" w:hAnsi="Calibri" w:cs="Calibri"/>
        </w:rPr>
        <w:t>olive oil (</w:t>
      </w:r>
      <w:r w:rsidRPr="7F2F8ECC">
        <w:rPr>
          <w:rFonts w:ascii="Calibri" w:hAnsi="Calibri" w:cs="Calibri"/>
        </w:rPr>
        <w:t>placebo</w:t>
      </w:r>
      <w:r w:rsidR="00F416D3" w:rsidRPr="7F2F8ECC">
        <w:rPr>
          <w:rFonts w:ascii="Calibri" w:hAnsi="Calibri" w:cs="Calibri"/>
        </w:rPr>
        <w:t xml:space="preserve">; </w:t>
      </w:r>
      <w:r w:rsidRPr="7F2F8ECC">
        <w:rPr>
          <w:rFonts w:ascii="Calibri" w:hAnsi="Calibri" w:cs="Calibri"/>
          <w:i/>
          <w:iCs/>
        </w:rPr>
        <w:t>n</w:t>
      </w:r>
      <w:r w:rsidR="00C24C08">
        <w:rPr>
          <w:rFonts w:ascii="Calibri" w:hAnsi="Calibri" w:cs="Calibri"/>
        </w:rPr>
        <w:t xml:space="preserve"> = 20)</w:t>
      </w:r>
      <w:r w:rsidR="00136F13">
        <w:rPr>
          <w:color w:val="000000" w:themeColor="text1"/>
        </w:rPr>
        <w:t xml:space="preserve"> </w:t>
      </w:r>
      <w:r w:rsidR="003878F2" w:rsidRPr="7F2F8ECC">
        <w:rPr>
          <w:color w:val="000000" w:themeColor="text1"/>
        </w:rPr>
        <w:t xml:space="preserve">once </w:t>
      </w:r>
      <w:r w:rsidR="00347761">
        <w:rPr>
          <w:color w:val="000000" w:themeColor="text1"/>
        </w:rPr>
        <w:t xml:space="preserve">per day </w:t>
      </w:r>
      <w:r w:rsidR="00F416D3" w:rsidRPr="7F2F8ECC">
        <w:rPr>
          <w:rFonts w:ascii="Calibri" w:hAnsi="Calibri" w:cs="Calibri"/>
        </w:rPr>
        <w:t>for</w:t>
      </w:r>
      <w:r w:rsidRPr="7F2F8ECC">
        <w:rPr>
          <w:rFonts w:ascii="Calibri" w:hAnsi="Calibri" w:cs="Calibri"/>
        </w:rPr>
        <w:t xml:space="preserve"> </w:t>
      </w:r>
      <w:r w:rsidR="00B31C4A" w:rsidRPr="7F2F8ECC">
        <w:rPr>
          <w:rFonts w:ascii="Calibri" w:hAnsi="Calibri" w:cs="Calibri"/>
        </w:rPr>
        <w:t>four (</w:t>
      </w:r>
      <w:r w:rsidRPr="7F2F8ECC">
        <w:rPr>
          <w:rFonts w:ascii="Calibri" w:hAnsi="Calibri" w:cs="Calibri"/>
        </w:rPr>
        <w:t>4</w:t>
      </w:r>
      <w:r w:rsidR="00B31C4A" w:rsidRPr="7F2F8ECC">
        <w:rPr>
          <w:rFonts w:ascii="Calibri" w:hAnsi="Calibri" w:cs="Calibri"/>
        </w:rPr>
        <w:t>)</w:t>
      </w:r>
      <w:r w:rsidRPr="7F2F8ECC">
        <w:rPr>
          <w:rFonts w:ascii="Calibri" w:hAnsi="Calibri" w:cs="Calibri"/>
        </w:rPr>
        <w:t xml:space="preserve"> </w:t>
      </w:r>
      <w:r w:rsidR="00F416D3" w:rsidRPr="7F2F8ECC">
        <w:rPr>
          <w:rFonts w:ascii="Calibri" w:hAnsi="Calibri" w:cs="Calibri"/>
        </w:rPr>
        <w:t>wee</w:t>
      </w:r>
      <w:r w:rsidRPr="7F2F8ECC">
        <w:rPr>
          <w:rFonts w:ascii="Calibri" w:hAnsi="Calibri" w:cs="Calibri"/>
        </w:rPr>
        <w:t xml:space="preserve">ks. </w:t>
      </w:r>
      <w:r w:rsidR="007F3BF4" w:rsidRPr="7F2F8ECC">
        <w:rPr>
          <w:rFonts w:ascii="Calibri" w:hAnsi="Calibri" w:cs="Calibri"/>
        </w:rPr>
        <w:t>T</w:t>
      </w:r>
      <w:r w:rsidR="00CD3CE2" w:rsidRPr="7F2F8ECC">
        <w:rPr>
          <w:rFonts w:ascii="Calibri" w:hAnsi="Calibri" w:cs="Calibri"/>
        </w:rPr>
        <w:t xml:space="preserve">he outcome measures were </w:t>
      </w:r>
      <w:r w:rsidR="00347761">
        <w:rPr>
          <w:rFonts w:ascii="Calibri" w:hAnsi="Calibri" w:cs="Calibri"/>
        </w:rPr>
        <w:t>the</w:t>
      </w:r>
      <w:r w:rsidR="00347761" w:rsidRPr="00347761">
        <w:rPr>
          <w:rFonts w:ascii="Calibri" w:hAnsi="Calibri" w:cs="Calibri"/>
        </w:rPr>
        <w:t xml:space="preserve"> </w:t>
      </w:r>
      <w:r w:rsidRPr="7F2F8ECC">
        <w:rPr>
          <w:color w:val="000000" w:themeColor="text1"/>
        </w:rPr>
        <w:t xml:space="preserve">Fear of Negative Evaluation Questionnaire (FNE) and </w:t>
      </w:r>
      <w:r w:rsidR="007F3BF4" w:rsidRPr="7F2F8ECC">
        <w:rPr>
          <w:color w:val="000000" w:themeColor="text1"/>
        </w:rPr>
        <w:t xml:space="preserve">the </w:t>
      </w:r>
      <w:r w:rsidRPr="7F2F8ECC">
        <w:rPr>
          <w:color w:val="000000" w:themeColor="text1"/>
        </w:rPr>
        <w:t xml:space="preserve">Liebowitz Social Anxiety Scale (LSAS). </w:t>
      </w:r>
      <w:r w:rsidR="00C410E3">
        <w:rPr>
          <w:color w:val="000000" w:themeColor="text1"/>
        </w:rPr>
        <w:t xml:space="preserve">Individuals were included in the study if their </w:t>
      </w:r>
      <w:r w:rsidR="46106B30" w:rsidRPr="7F2F8ECC">
        <w:rPr>
          <w:color w:val="000000" w:themeColor="text1"/>
        </w:rPr>
        <w:t xml:space="preserve">FNE scores </w:t>
      </w:r>
      <w:r w:rsidR="00C410E3">
        <w:rPr>
          <w:color w:val="000000" w:themeColor="text1"/>
        </w:rPr>
        <w:t xml:space="preserve">were stable </w:t>
      </w:r>
      <w:r w:rsidR="46106B30" w:rsidRPr="7F2F8ECC">
        <w:rPr>
          <w:color w:val="000000" w:themeColor="text1"/>
        </w:rPr>
        <w:t xml:space="preserve">for a minimum of three (3) weeks prior to </w:t>
      </w:r>
      <w:r w:rsidR="00C410E3">
        <w:rPr>
          <w:color w:val="000000" w:themeColor="text1"/>
        </w:rPr>
        <w:t>study entry</w:t>
      </w:r>
      <w:r w:rsidR="46106B30" w:rsidRPr="7F2F8ECC">
        <w:rPr>
          <w:color w:val="000000" w:themeColor="text1"/>
        </w:rPr>
        <w:t xml:space="preserve">. </w:t>
      </w:r>
      <w:r w:rsidR="00CD3CE2" w:rsidRPr="00A57C92">
        <w:rPr>
          <w:color w:val="000000" w:themeColor="text1"/>
        </w:rPr>
        <w:t xml:space="preserve">Assessments were conducted at </w:t>
      </w:r>
      <w:r w:rsidR="003878F2" w:rsidRPr="00A57C92">
        <w:rPr>
          <w:color w:val="000000" w:themeColor="text1"/>
        </w:rPr>
        <w:t xml:space="preserve">multiple </w:t>
      </w:r>
      <w:r w:rsidR="00CD3CE2" w:rsidRPr="00A57C92">
        <w:rPr>
          <w:color w:val="000000" w:themeColor="text1"/>
        </w:rPr>
        <w:t>time</w:t>
      </w:r>
      <w:r w:rsidR="003878F2" w:rsidRPr="00A57C92">
        <w:rPr>
          <w:color w:val="000000" w:themeColor="text1"/>
        </w:rPr>
        <w:t>-</w:t>
      </w:r>
      <w:r w:rsidR="00CD3CE2" w:rsidRPr="00A57C92">
        <w:rPr>
          <w:color w:val="000000" w:themeColor="text1"/>
        </w:rPr>
        <w:t>points</w:t>
      </w:r>
      <w:r w:rsidR="003878F2" w:rsidRPr="00A57C92">
        <w:rPr>
          <w:color w:val="000000" w:themeColor="text1"/>
        </w:rPr>
        <w:t xml:space="preserve">: </w:t>
      </w:r>
      <w:r w:rsidR="003E188E" w:rsidRPr="003E188E">
        <w:rPr>
          <w:color w:val="000000" w:themeColor="text1"/>
        </w:rPr>
        <w:t>baseline (minimum of 3 weeks showing stable FNE scores) and post-treatment (end of the four-week intervention period)</w:t>
      </w:r>
      <w:r w:rsidR="00CD3CE2" w:rsidRPr="00A57C92">
        <w:rPr>
          <w:color w:val="000000" w:themeColor="text1"/>
        </w:rPr>
        <w:t>.</w:t>
      </w:r>
      <w:r w:rsidR="00CD3CE2" w:rsidRPr="7F2F8ECC">
        <w:rPr>
          <w:color w:val="000000" w:themeColor="text1"/>
        </w:rPr>
        <w:t xml:space="preserve"> </w:t>
      </w:r>
      <w:r w:rsidR="705F846F" w:rsidRPr="7F2F8ECC">
        <w:rPr>
          <w:color w:val="000000" w:themeColor="text1"/>
        </w:rPr>
        <w:t xml:space="preserve">Clinical treatment response was not defined in the study. </w:t>
      </w:r>
      <w:r w:rsidR="00CD3CE2" w:rsidRPr="7F2F8ECC">
        <w:rPr>
          <w:color w:val="000000" w:themeColor="text1"/>
        </w:rPr>
        <w:t>At p</w:t>
      </w:r>
      <w:r w:rsidR="007F3BF4" w:rsidRPr="7F2F8ECC">
        <w:rPr>
          <w:color w:val="000000" w:themeColor="text1"/>
        </w:rPr>
        <w:t>ost-</w:t>
      </w:r>
      <w:r w:rsidR="00A57C92">
        <w:rPr>
          <w:color w:val="000000" w:themeColor="text1"/>
        </w:rPr>
        <w:t>treatment,</w:t>
      </w:r>
      <w:r w:rsidR="007F3BF4" w:rsidRPr="7F2F8ECC">
        <w:rPr>
          <w:color w:val="000000" w:themeColor="text1"/>
        </w:rPr>
        <w:t xml:space="preserve"> </w:t>
      </w:r>
      <w:r w:rsidR="007801C7">
        <w:rPr>
          <w:color w:val="000000" w:themeColor="text1"/>
        </w:rPr>
        <w:t xml:space="preserve">self-reported </w:t>
      </w:r>
      <w:r w:rsidR="00C47123" w:rsidRPr="7F2F8ECC">
        <w:rPr>
          <w:color w:val="000000" w:themeColor="text1"/>
        </w:rPr>
        <w:t xml:space="preserve">social anxiety symptoms (as measured by the </w:t>
      </w:r>
      <w:r w:rsidRPr="7F2F8ECC">
        <w:rPr>
          <w:color w:val="000000" w:themeColor="text1"/>
        </w:rPr>
        <w:t>FNE and LSAS</w:t>
      </w:r>
      <w:r w:rsidR="007F3BF4" w:rsidRPr="7F2F8ECC">
        <w:rPr>
          <w:color w:val="000000" w:themeColor="text1"/>
        </w:rPr>
        <w:t xml:space="preserve">) were significantly lower </w:t>
      </w:r>
      <w:r w:rsidR="00CD3CE2" w:rsidRPr="7F2F8ECC">
        <w:rPr>
          <w:color w:val="000000" w:themeColor="text1"/>
        </w:rPr>
        <w:t>for the CBD group compared with</w:t>
      </w:r>
      <w:r w:rsidRPr="7F2F8ECC">
        <w:rPr>
          <w:color w:val="000000" w:themeColor="text1"/>
        </w:rPr>
        <w:t xml:space="preserve"> the placebo group (</w:t>
      </w:r>
      <w:r w:rsidR="00C47123" w:rsidRPr="7F2F8ECC">
        <w:rPr>
          <w:color w:val="000000" w:themeColor="text1"/>
        </w:rPr>
        <w:t xml:space="preserve">FNE: </w:t>
      </w:r>
      <w:r w:rsidRPr="7F2F8ECC">
        <w:rPr>
          <w:i/>
          <w:iCs/>
          <w:color w:val="000000" w:themeColor="text1"/>
        </w:rPr>
        <w:t>p</w:t>
      </w:r>
      <w:r w:rsidRPr="7F2F8ECC">
        <w:rPr>
          <w:color w:val="000000" w:themeColor="text1"/>
        </w:rPr>
        <w:t xml:space="preserve"> = 0.0002</w:t>
      </w:r>
      <w:r w:rsidR="00C47123" w:rsidRPr="7F2F8ECC">
        <w:rPr>
          <w:color w:val="000000" w:themeColor="text1"/>
        </w:rPr>
        <w:t xml:space="preserve">; LSAS: </w:t>
      </w:r>
      <w:r w:rsidRPr="7F2F8ECC">
        <w:rPr>
          <w:i/>
          <w:iCs/>
          <w:color w:val="000000" w:themeColor="text1"/>
        </w:rPr>
        <w:t>p</w:t>
      </w:r>
      <w:r w:rsidRPr="7F2F8ECC">
        <w:rPr>
          <w:color w:val="000000" w:themeColor="text1"/>
        </w:rPr>
        <w:t xml:space="preserve"> = 0.0018</w:t>
      </w:r>
      <w:r w:rsidR="00C47123" w:rsidRPr="7F2F8ECC">
        <w:rPr>
          <w:color w:val="000000" w:themeColor="text1"/>
        </w:rPr>
        <w:t>)</w:t>
      </w:r>
      <w:r w:rsidR="00377DBC">
        <w:rPr>
          <w:color w:val="000000" w:themeColor="text1"/>
        </w:rPr>
        <w:t xml:space="preserve">, but did not significantly differ </w:t>
      </w:r>
      <w:r w:rsidR="00871F6F">
        <w:rPr>
          <w:color w:val="000000" w:themeColor="text1"/>
        </w:rPr>
        <w:t xml:space="preserve">between </w:t>
      </w:r>
      <w:r w:rsidR="00377DBC">
        <w:rPr>
          <w:color w:val="000000" w:themeColor="text1"/>
        </w:rPr>
        <w:t xml:space="preserve">the two groups at baseline (FNE: </w:t>
      </w:r>
      <w:r w:rsidR="00377DBC" w:rsidRPr="00F62917">
        <w:rPr>
          <w:i/>
          <w:iCs/>
          <w:color w:val="000000" w:themeColor="text1"/>
        </w:rPr>
        <w:t>p</w:t>
      </w:r>
      <w:r w:rsidR="00377DBC">
        <w:rPr>
          <w:color w:val="000000" w:themeColor="text1"/>
        </w:rPr>
        <w:t xml:space="preserve"> = 0.71; LSAS: </w:t>
      </w:r>
      <w:r w:rsidR="00377DBC" w:rsidRPr="00F62917">
        <w:rPr>
          <w:i/>
          <w:iCs/>
          <w:color w:val="000000" w:themeColor="text1"/>
        </w:rPr>
        <w:t>p</w:t>
      </w:r>
      <w:r w:rsidR="00377DBC">
        <w:rPr>
          <w:color w:val="000000" w:themeColor="text1"/>
        </w:rPr>
        <w:t xml:space="preserve"> = 0.66)</w:t>
      </w:r>
      <w:r w:rsidRPr="7F2F8ECC">
        <w:rPr>
          <w:color w:val="000000" w:themeColor="text1"/>
        </w:rPr>
        <w:t>. Th</w:t>
      </w:r>
      <w:r w:rsidR="00CD3CE2" w:rsidRPr="7F2F8ECC">
        <w:rPr>
          <w:color w:val="000000" w:themeColor="text1"/>
        </w:rPr>
        <w:t>is</w:t>
      </w:r>
      <w:r w:rsidR="007F3BF4" w:rsidRPr="7F2F8ECC">
        <w:rPr>
          <w:color w:val="000000" w:themeColor="text1"/>
        </w:rPr>
        <w:t xml:space="preserve"> study was judged to have </w:t>
      </w:r>
      <w:r w:rsidR="007F3BF4" w:rsidRPr="00F1030B">
        <w:rPr>
          <w:color w:val="000000" w:themeColor="text1"/>
        </w:rPr>
        <w:t>a high risk of bias</w:t>
      </w:r>
      <w:r w:rsidRPr="7F2F8ECC">
        <w:rPr>
          <w:color w:val="000000" w:themeColor="text1"/>
        </w:rPr>
        <w:t>.</w:t>
      </w:r>
      <w:r w:rsidR="00386788">
        <w:rPr>
          <w:color w:val="000000" w:themeColor="text1"/>
        </w:rPr>
        <w:t xml:space="preserve"> </w:t>
      </w:r>
      <w:r w:rsidR="00215FAE">
        <w:rPr>
          <w:color w:val="000000" w:themeColor="text1"/>
        </w:rPr>
        <w:t>No i</w:t>
      </w:r>
      <w:r w:rsidR="00703E5F" w:rsidRPr="00703E5F">
        <w:rPr>
          <w:color w:val="000000" w:themeColor="text1"/>
        </w:rPr>
        <w:t>nformation on the method of randomisation was available</w:t>
      </w:r>
      <w:r w:rsidR="00215FAE">
        <w:rPr>
          <w:color w:val="000000" w:themeColor="text1"/>
        </w:rPr>
        <w:t xml:space="preserve">; </w:t>
      </w:r>
      <w:r w:rsidR="00186AFF">
        <w:rPr>
          <w:color w:val="000000" w:themeColor="text1"/>
        </w:rPr>
        <w:t xml:space="preserve">and </w:t>
      </w:r>
      <w:r w:rsidR="00D36E46">
        <w:rPr>
          <w:color w:val="000000" w:themeColor="text1"/>
        </w:rPr>
        <w:t xml:space="preserve">(except for gender) </w:t>
      </w:r>
      <w:r w:rsidR="00186AFF">
        <w:rPr>
          <w:color w:val="000000" w:themeColor="text1"/>
        </w:rPr>
        <w:t>baseline data was not reported</w:t>
      </w:r>
      <w:r w:rsidR="00703E5F" w:rsidRPr="00703E5F">
        <w:rPr>
          <w:color w:val="000000" w:themeColor="text1"/>
        </w:rPr>
        <w:t>.</w:t>
      </w:r>
      <w:r w:rsidR="00703E5F">
        <w:rPr>
          <w:color w:val="000000" w:themeColor="text1"/>
        </w:rPr>
        <w:t xml:space="preserve"> </w:t>
      </w:r>
      <w:r w:rsidR="00C47123" w:rsidRPr="7F2F8ECC">
        <w:rPr>
          <w:color w:val="000000" w:themeColor="text1"/>
        </w:rPr>
        <w:t xml:space="preserve">The </w:t>
      </w:r>
      <w:r w:rsidR="00386788">
        <w:rPr>
          <w:color w:val="000000" w:themeColor="text1"/>
        </w:rPr>
        <w:t xml:space="preserve">study </w:t>
      </w:r>
      <w:r w:rsidR="00C47123" w:rsidRPr="7F2F8ECC">
        <w:rPr>
          <w:color w:val="000000" w:themeColor="text1"/>
        </w:rPr>
        <w:t>employed p</w:t>
      </w:r>
      <w:r w:rsidRPr="7F2F8ECC">
        <w:rPr>
          <w:color w:val="000000" w:themeColor="text1"/>
        </w:rPr>
        <w:t xml:space="preserve">er-protocol analysis </w:t>
      </w:r>
      <w:r w:rsidR="00C47123" w:rsidRPr="7F2F8ECC">
        <w:rPr>
          <w:color w:val="000000" w:themeColor="text1"/>
        </w:rPr>
        <w:t>(rather than intention-to-treat analysis)</w:t>
      </w:r>
      <w:r w:rsidR="001F0357">
        <w:rPr>
          <w:color w:val="000000" w:themeColor="text1"/>
        </w:rPr>
        <w:t>;</w:t>
      </w:r>
      <w:r w:rsidRPr="7F2F8ECC">
        <w:rPr>
          <w:color w:val="000000" w:themeColor="text1"/>
        </w:rPr>
        <w:t xml:space="preserve"> exclud</w:t>
      </w:r>
      <w:r w:rsidR="00C64CE6">
        <w:rPr>
          <w:color w:val="000000" w:themeColor="text1"/>
        </w:rPr>
        <w:t>ing</w:t>
      </w:r>
      <w:r w:rsidRPr="7F2F8ECC">
        <w:rPr>
          <w:color w:val="000000" w:themeColor="text1"/>
        </w:rPr>
        <w:t xml:space="preserve"> three</w:t>
      </w:r>
      <w:r w:rsidR="007F7E7F">
        <w:rPr>
          <w:color w:val="000000" w:themeColor="text1"/>
        </w:rPr>
        <w:t xml:space="preserve"> </w:t>
      </w:r>
      <w:r w:rsidRPr="7F2F8ECC">
        <w:rPr>
          <w:color w:val="000000" w:themeColor="text1"/>
        </w:rPr>
        <w:t xml:space="preserve">participants </w:t>
      </w:r>
      <w:r w:rsidR="00767B90">
        <w:rPr>
          <w:color w:val="000000" w:themeColor="text1"/>
        </w:rPr>
        <w:t xml:space="preserve">who dropped out of the CBD group </w:t>
      </w:r>
      <w:r w:rsidR="005B6F91">
        <w:rPr>
          <w:color w:val="000000" w:themeColor="text1"/>
        </w:rPr>
        <w:t>following randomisation</w:t>
      </w:r>
      <w:r w:rsidR="00AF0652">
        <w:rPr>
          <w:color w:val="000000" w:themeColor="text1"/>
        </w:rPr>
        <w:t xml:space="preserve"> (</w:t>
      </w:r>
      <w:r w:rsidR="00AF0652" w:rsidRPr="003821CB">
        <w:rPr>
          <w:i/>
          <w:iCs/>
          <w:color w:val="000000" w:themeColor="text1"/>
        </w:rPr>
        <w:t>n</w:t>
      </w:r>
      <w:r w:rsidR="00AF0652">
        <w:rPr>
          <w:color w:val="000000" w:themeColor="text1"/>
        </w:rPr>
        <w:t xml:space="preserve"> = 3/20; 15%)</w:t>
      </w:r>
      <w:r w:rsidR="00157BAD">
        <w:rPr>
          <w:color w:val="000000" w:themeColor="text1"/>
        </w:rPr>
        <w:t>. The</w:t>
      </w:r>
      <w:r w:rsidR="00B951B4">
        <w:rPr>
          <w:color w:val="000000" w:themeColor="text1"/>
        </w:rPr>
        <w:t>se</w:t>
      </w:r>
      <w:r w:rsidR="00451CC8">
        <w:rPr>
          <w:color w:val="000000" w:themeColor="text1"/>
        </w:rPr>
        <w:t xml:space="preserve"> </w:t>
      </w:r>
      <w:r w:rsidRPr="00386788">
        <w:rPr>
          <w:color w:val="000000" w:themeColor="text1"/>
        </w:rPr>
        <w:t>participants</w:t>
      </w:r>
      <w:r w:rsidR="00157BAD">
        <w:rPr>
          <w:color w:val="000000" w:themeColor="text1"/>
        </w:rPr>
        <w:t xml:space="preserve"> </w:t>
      </w:r>
      <w:r w:rsidRPr="00386788">
        <w:rPr>
          <w:color w:val="000000" w:themeColor="text1"/>
        </w:rPr>
        <w:t xml:space="preserve">reportedly disliked the smell and taste of the </w:t>
      </w:r>
      <w:r w:rsidR="00C47123" w:rsidRPr="00386788">
        <w:rPr>
          <w:color w:val="000000" w:themeColor="text1"/>
        </w:rPr>
        <w:t xml:space="preserve">CBD </w:t>
      </w:r>
      <w:r w:rsidRPr="00386788">
        <w:rPr>
          <w:color w:val="000000" w:themeColor="text1"/>
        </w:rPr>
        <w:t xml:space="preserve">oil, </w:t>
      </w:r>
      <w:r w:rsidR="00776CA1" w:rsidRPr="00386788">
        <w:rPr>
          <w:color w:val="000000" w:themeColor="text1"/>
        </w:rPr>
        <w:t>i</w:t>
      </w:r>
      <w:r w:rsidR="00E91112" w:rsidRPr="00386788">
        <w:rPr>
          <w:color w:val="000000" w:themeColor="text1"/>
        </w:rPr>
        <w:t>ndicating</w:t>
      </w:r>
      <w:r w:rsidR="00386788" w:rsidRPr="00386788">
        <w:rPr>
          <w:color w:val="000000" w:themeColor="text1"/>
        </w:rPr>
        <w:t xml:space="preserve"> </w:t>
      </w:r>
      <w:r w:rsidR="00157BAD">
        <w:rPr>
          <w:color w:val="000000" w:themeColor="text1"/>
        </w:rPr>
        <w:t>a</w:t>
      </w:r>
      <w:r w:rsidR="001F0357">
        <w:rPr>
          <w:color w:val="000000" w:themeColor="text1"/>
        </w:rPr>
        <w:t xml:space="preserve"> potential </w:t>
      </w:r>
      <w:r w:rsidR="00E91112" w:rsidRPr="00386788">
        <w:rPr>
          <w:color w:val="000000" w:themeColor="text1"/>
        </w:rPr>
        <w:t xml:space="preserve">failure of the </w:t>
      </w:r>
      <w:r w:rsidR="00935043" w:rsidRPr="00386788">
        <w:rPr>
          <w:color w:val="000000" w:themeColor="text1"/>
        </w:rPr>
        <w:t>study blind</w:t>
      </w:r>
      <w:r w:rsidR="00E23682">
        <w:rPr>
          <w:color w:val="000000" w:themeColor="text1"/>
        </w:rPr>
        <w:t>, which</w:t>
      </w:r>
      <w:r w:rsidR="004B4DA6">
        <w:rPr>
          <w:color w:val="000000" w:themeColor="text1"/>
        </w:rPr>
        <w:t xml:space="preserve"> may have influenced responses to the self-reported outcome measures</w:t>
      </w:r>
      <w:r w:rsidR="003878F2" w:rsidRPr="00386788">
        <w:rPr>
          <w:color w:val="000000" w:themeColor="text1"/>
        </w:rPr>
        <w:t>. This is</w:t>
      </w:r>
      <w:r w:rsidR="00397336" w:rsidRPr="00386788">
        <w:rPr>
          <w:color w:val="000000" w:themeColor="text1"/>
        </w:rPr>
        <w:t xml:space="preserve"> con</w:t>
      </w:r>
      <w:r w:rsidR="00935043" w:rsidRPr="00386788">
        <w:rPr>
          <w:color w:val="000000" w:themeColor="text1"/>
        </w:rPr>
        <w:t xml:space="preserve">trary to the data reported for </w:t>
      </w:r>
      <w:r w:rsidR="00397336" w:rsidRPr="00386788">
        <w:rPr>
          <w:color w:val="000000" w:themeColor="text1"/>
        </w:rPr>
        <w:t xml:space="preserve">the </w:t>
      </w:r>
      <w:r w:rsidRPr="00386788">
        <w:rPr>
          <w:color w:val="000000" w:themeColor="text1"/>
        </w:rPr>
        <w:t>post-intervention interview</w:t>
      </w:r>
      <w:r w:rsidR="00386788" w:rsidRPr="00386788">
        <w:rPr>
          <w:color w:val="000000" w:themeColor="text1"/>
        </w:rPr>
        <w:t>, which stated</w:t>
      </w:r>
      <w:r w:rsidR="003878F2" w:rsidRPr="00386788">
        <w:rPr>
          <w:color w:val="000000" w:themeColor="text1"/>
        </w:rPr>
        <w:t xml:space="preserve"> that the</w:t>
      </w:r>
      <w:r w:rsidR="00703E5F">
        <w:rPr>
          <w:color w:val="000000" w:themeColor="text1"/>
        </w:rPr>
        <w:t xml:space="preserve"> both the</w:t>
      </w:r>
      <w:r w:rsidR="003878F2" w:rsidRPr="00386788">
        <w:rPr>
          <w:color w:val="000000" w:themeColor="text1"/>
        </w:rPr>
        <w:t xml:space="preserve"> participants </w:t>
      </w:r>
      <w:r w:rsidR="00703E5F">
        <w:rPr>
          <w:color w:val="000000" w:themeColor="text1"/>
        </w:rPr>
        <w:t xml:space="preserve">and psychologists involved in the study </w:t>
      </w:r>
      <w:r w:rsidR="003878F2" w:rsidRPr="00386788">
        <w:rPr>
          <w:color w:val="000000" w:themeColor="text1"/>
        </w:rPr>
        <w:t xml:space="preserve">were not aware of the </w:t>
      </w:r>
      <w:r w:rsidR="001F0357">
        <w:rPr>
          <w:color w:val="000000" w:themeColor="text1"/>
        </w:rPr>
        <w:t xml:space="preserve">allocation to </w:t>
      </w:r>
      <w:r w:rsidR="00386788" w:rsidRPr="00386788">
        <w:rPr>
          <w:color w:val="000000" w:themeColor="text1"/>
        </w:rPr>
        <w:t>s</w:t>
      </w:r>
      <w:r w:rsidR="00D77FC5" w:rsidRPr="00386788">
        <w:rPr>
          <w:color w:val="000000" w:themeColor="text1"/>
        </w:rPr>
        <w:t>tudy condition</w:t>
      </w:r>
      <w:r w:rsidR="00386788" w:rsidRPr="00386788">
        <w:rPr>
          <w:color w:val="000000" w:themeColor="text1"/>
        </w:rPr>
        <w:t>s</w:t>
      </w:r>
      <w:r w:rsidRPr="00386788">
        <w:rPr>
          <w:color w:val="000000" w:themeColor="text1"/>
        </w:rPr>
        <w:t>.</w:t>
      </w:r>
      <w:r w:rsidR="00A56370">
        <w:rPr>
          <w:color w:val="000000" w:themeColor="text1"/>
        </w:rPr>
        <w:t xml:space="preserve"> Finally, the funding, ethics approval, and clinical trial record for the study could not be verified</w:t>
      </w:r>
      <w:r w:rsidR="00A56370" w:rsidRPr="29FF63D4">
        <w:rPr>
          <w:color w:val="000000" w:themeColor="text1"/>
        </w:rPr>
        <w:t>.</w:t>
      </w:r>
      <w:r w:rsidR="00A56370" w:rsidRPr="69A048E6">
        <w:rPr>
          <w:color w:val="000000" w:themeColor="text1"/>
        </w:rPr>
        <w:t xml:space="preserve"> </w:t>
      </w:r>
      <w:r w:rsidR="00A56370" w:rsidRPr="00386788">
        <w:rPr>
          <w:color w:val="000000" w:themeColor="text1"/>
        </w:rPr>
        <w:t>Thus, the planned outcome measures and statistical analyses could not be compared with those reported in the published article.</w:t>
      </w:r>
    </w:p>
    <w:p w14:paraId="7179BF99" w14:textId="73C74BA5" w:rsidR="003E1DB1" w:rsidRDefault="0052431B" w:rsidP="7F2F8ECC">
      <w:pPr>
        <w:spacing w:after="0"/>
        <w:jc w:val="both"/>
        <w:rPr>
          <w:color w:val="000000"/>
        </w:rPr>
      </w:pPr>
      <w:r w:rsidRPr="7F2F8ECC">
        <w:rPr>
          <w:color w:val="000000" w:themeColor="text1"/>
        </w:rPr>
        <w:t xml:space="preserve">Kayser and colleagues (2020; </w:t>
      </w:r>
      <w:r w:rsidRPr="00324BC3">
        <w:rPr>
          <w:i/>
          <w:iCs/>
          <w:color w:val="000000" w:themeColor="text1"/>
        </w:rPr>
        <w:t>n =</w:t>
      </w:r>
      <w:r w:rsidRPr="7F2F8ECC">
        <w:rPr>
          <w:color w:val="000000" w:themeColor="text1"/>
        </w:rPr>
        <w:t xml:space="preserve"> 1</w:t>
      </w:r>
      <w:r w:rsidR="00EC387A">
        <w:rPr>
          <w:color w:val="000000" w:themeColor="text1"/>
        </w:rPr>
        <w:t>4</w:t>
      </w:r>
      <w:r w:rsidRPr="7F2F8ECC">
        <w:rPr>
          <w:color w:val="000000" w:themeColor="text1"/>
        </w:rPr>
        <w:t>) recruited participants with a primary diagnosis of</w:t>
      </w:r>
      <w:r w:rsidR="006A540C">
        <w:rPr>
          <w:color w:val="000000" w:themeColor="text1"/>
        </w:rPr>
        <w:t xml:space="preserve"> obsessive </w:t>
      </w:r>
      <w:r w:rsidR="003F794D" w:rsidRPr="7F2F8ECC">
        <w:rPr>
          <w:color w:val="000000" w:themeColor="text1"/>
        </w:rPr>
        <w:t>compulsive disorder (</w:t>
      </w:r>
      <w:r w:rsidR="001F0357">
        <w:rPr>
          <w:color w:val="000000" w:themeColor="text1"/>
        </w:rPr>
        <w:t xml:space="preserve">OCD; </w:t>
      </w:r>
      <w:r w:rsidRPr="7F2F8ECC">
        <w:rPr>
          <w:color w:val="000000" w:themeColor="text1"/>
        </w:rPr>
        <w:t xml:space="preserve">DSM-5 criteria) from the community (via flyers and online advertisements). </w:t>
      </w:r>
      <w:r w:rsidR="00BE434D">
        <w:rPr>
          <w:color w:val="000000" w:themeColor="text1"/>
        </w:rPr>
        <w:t>All p</w:t>
      </w:r>
      <w:r w:rsidRPr="7F2F8ECC">
        <w:rPr>
          <w:color w:val="000000" w:themeColor="text1"/>
        </w:rPr>
        <w:t>articipants receive</w:t>
      </w:r>
      <w:r w:rsidR="00BE434D">
        <w:rPr>
          <w:color w:val="000000" w:themeColor="text1"/>
        </w:rPr>
        <w:t>d</w:t>
      </w:r>
      <w:r w:rsidRPr="7F2F8ECC">
        <w:rPr>
          <w:color w:val="000000" w:themeColor="text1"/>
        </w:rPr>
        <w:t xml:space="preserve"> three</w:t>
      </w:r>
      <w:r w:rsidR="00D8468C">
        <w:rPr>
          <w:color w:val="000000" w:themeColor="text1"/>
        </w:rPr>
        <w:t xml:space="preserve"> </w:t>
      </w:r>
      <w:r w:rsidR="00C42720">
        <w:rPr>
          <w:color w:val="000000" w:themeColor="text1"/>
        </w:rPr>
        <w:t xml:space="preserve">(smoked) </w:t>
      </w:r>
      <w:r w:rsidR="00D8468C">
        <w:rPr>
          <w:color w:val="000000" w:themeColor="text1"/>
        </w:rPr>
        <w:t xml:space="preserve">cannabis </w:t>
      </w:r>
      <w:r w:rsidR="006360AB">
        <w:rPr>
          <w:color w:val="000000" w:themeColor="text1"/>
        </w:rPr>
        <w:t>cigarette</w:t>
      </w:r>
      <w:r w:rsidR="00846B0B">
        <w:rPr>
          <w:color w:val="000000" w:themeColor="text1"/>
        </w:rPr>
        <w:t>s</w:t>
      </w:r>
      <w:r w:rsidR="00C42720">
        <w:rPr>
          <w:color w:val="000000" w:themeColor="text1"/>
        </w:rPr>
        <w:t xml:space="preserve"> </w:t>
      </w:r>
      <w:r w:rsidRPr="7F2F8ECC">
        <w:rPr>
          <w:color w:val="000000" w:themeColor="text1"/>
        </w:rPr>
        <w:t>in a crossover design: (</w:t>
      </w:r>
      <w:r w:rsidR="006A540C">
        <w:rPr>
          <w:color w:val="000000" w:themeColor="text1"/>
        </w:rPr>
        <w:t>i</w:t>
      </w:r>
      <w:r w:rsidRPr="7F2F8ECC">
        <w:rPr>
          <w:color w:val="000000" w:themeColor="text1"/>
        </w:rPr>
        <w:t>) a cannabis cigarette high in THC conte</w:t>
      </w:r>
      <w:r w:rsidR="006A540C">
        <w:rPr>
          <w:color w:val="000000" w:themeColor="text1"/>
        </w:rPr>
        <w:t>nt (7.0% THC; 0.18% CBD); (ii</w:t>
      </w:r>
      <w:r w:rsidRPr="7F2F8ECC">
        <w:rPr>
          <w:color w:val="000000" w:themeColor="text1"/>
        </w:rPr>
        <w:t>) a cannabis cigarette high in CBD content (0.4% THC; 10.4% CBD)</w:t>
      </w:r>
      <w:r w:rsidR="001F0357">
        <w:rPr>
          <w:color w:val="000000" w:themeColor="text1"/>
        </w:rPr>
        <w:t xml:space="preserve">; and </w:t>
      </w:r>
      <w:r w:rsidR="001F0357" w:rsidRPr="7F2F8ECC">
        <w:rPr>
          <w:color w:val="000000" w:themeColor="text1"/>
        </w:rPr>
        <w:t>(</w:t>
      </w:r>
      <w:r w:rsidR="001F0357">
        <w:rPr>
          <w:color w:val="000000" w:themeColor="text1"/>
        </w:rPr>
        <w:t>iii</w:t>
      </w:r>
      <w:r w:rsidR="001F0357" w:rsidRPr="7F2F8ECC">
        <w:rPr>
          <w:color w:val="000000" w:themeColor="text1"/>
        </w:rPr>
        <w:t>) a pla</w:t>
      </w:r>
      <w:r w:rsidR="001F0357">
        <w:rPr>
          <w:color w:val="000000" w:themeColor="text1"/>
        </w:rPr>
        <w:t xml:space="preserve">cebo cannabis cigarette (0% THC; 0% </w:t>
      </w:r>
      <w:r w:rsidR="001F0357" w:rsidRPr="7F2F8ECC">
        <w:rPr>
          <w:color w:val="000000" w:themeColor="text1"/>
        </w:rPr>
        <w:t>CBD)</w:t>
      </w:r>
      <w:r w:rsidRPr="7F2F8ECC">
        <w:rPr>
          <w:color w:val="000000" w:themeColor="text1"/>
        </w:rPr>
        <w:t xml:space="preserve">. </w:t>
      </w:r>
      <w:r w:rsidR="00080FD0">
        <w:rPr>
          <w:color w:val="000000" w:themeColor="text1"/>
        </w:rPr>
        <w:t>The dose order was randomised across participants and there was a washout period between conditions</w:t>
      </w:r>
      <w:r w:rsidR="000105C4">
        <w:rPr>
          <w:color w:val="000000" w:themeColor="text1"/>
        </w:rPr>
        <w:t xml:space="preserve"> (p</w:t>
      </w:r>
      <w:r w:rsidR="00EF295C" w:rsidRPr="00D37733">
        <w:rPr>
          <w:rFonts w:ascii="Calibri" w:hAnsi="Calibri" w:cs="Calibri"/>
          <w:bCs/>
          <w:color w:val="000000"/>
          <w:kern w:val="2"/>
          <w:szCs w:val="20"/>
          <w14:ligatures w14:val="standardContextual"/>
        </w:rPr>
        <w:t xml:space="preserve">articipants completed no more than one session per calendar week to </w:t>
      </w:r>
      <w:r w:rsidR="00EF295C">
        <w:rPr>
          <w:rFonts w:ascii="Calibri" w:hAnsi="Calibri" w:cs="Calibri"/>
          <w:bCs/>
          <w:color w:val="000000"/>
          <w:szCs w:val="20"/>
        </w:rPr>
        <w:t xml:space="preserve">control for </w:t>
      </w:r>
      <w:r w:rsidR="00EF295C" w:rsidRPr="00D37733">
        <w:rPr>
          <w:rFonts w:ascii="Calibri" w:hAnsi="Calibri" w:cs="Calibri"/>
          <w:bCs/>
          <w:color w:val="000000"/>
          <w:kern w:val="2"/>
          <w:szCs w:val="20"/>
          <w14:ligatures w14:val="standardContextual"/>
        </w:rPr>
        <w:t>potential carryover effects</w:t>
      </w:r>
      <w:r w:rsidR="000105C4">
        <w:rPr>
          <w:rFonts w:ascii="Calibri" w:hAnsi="Calibri" w:cs="Calibri"/>
          <w:bCs/>
          <w:color w:val="000000"/>
          <w:kern w:val="2"/>
          <w:szCs w:val="20"/>
          <w14:ligatures w14:val="standardContextual"/>
        </w:rPr>
        <w:t>)</w:t>
      </w:r>
      <w:r w:rsidR="003B47BB">
        <w:rPr>
          <w:rFonts w:ascii="Calibri" w:hAnsi="Calibri" w:cs="Calibri"/>
          <w:bCs/>
          <w:color w:val="000000"/>
          <w:szCs w:val="20"/>
        </w:rPr>
        <w:t xml:space="preserve">. </w:t>
      </w:r>
      <w:r w:rsidRPr="7F2F8ECC">
        <w:rPr>
          <w:color w:val="000000" w:themeColor="text1"/>
        </w:rPr>
        <w:t>All participants had severe, near‐constant</w:t>
      </w:r>
      <w:r w:rsidR="002F49B5" w:rsidRPr="7F2F8ECC">
        <w:rPr>
          <w:color w:val="000000" w:themeColor="text1"/>
        </w:rPr>
        <w:t>,</w:t>
      </w:r>
      <w:r w:rsidR="006A540C">
        <w:rPr>
          <w:color w:val="000000" w:themeColor="text1"/>
        </w:rPr>
        <w:t xml:space="preserve"> OCD symptoms (</w:t>
      </w:r>
      <w:r w:rsidRPr="7F2F8ECC">
        <w:rPr>
          <w:color w:val="000000" w:themeColor="text1"/>
        </w:rPr>
        <w:t xml:space="preserve">with specific </w:t>
      </w:r>
      <w:r w:rsidR="006360AB">
        <w:rPr>
          <w:color w:val="000000" w:themeColor="text1"/>
        </w:rPr>
        <w:t xml:space="preserve">OCD </w:t>
      </w:r>
      <w:r w:rsidRPr="7F2F8ECC">
        <w:rPr>
          <w:color w:val="000000" w:themeColor="text1"/>
        </w:rPr>
        <w:t>symptoms covering all DSM‐5 domains</w:t>
      </w:r>
      <w:r w:rsidR="006A540C">
        <w:rPr>
          <w:color w:val="000000" w:themeColor="text1"/>
        </w:rPr>
        <w:t xml:space="preserve">: </w:t>
      </w:r>
      <w:r w:rsidRPr="7F2F8ECC">
        <w:rPr>
          <w:color w:val="000000" w:themeColor="text1"/>
        </w:rPr>
        <w:t xml:space="preserve">contamination, harm, symmetry, taboo thoughts, and hoarding). </w:t>
      </w:r>
      <w:r w:rsidR="00C73BCE">
        <w:rPr>
          <w:color w:val="000000" w:themeColor="text1"/>
        </w:rPr>
        <w:t xml:space="preserve">Individuals were included in the study if they were taking </w:t>
      </w:r>
      <w:r w:rsidR="003E011B" w:rsidRPr="7F2F8ECC">
        <w:rPr>
          <w:color w:val="000000" w:themeColor="text1"/>
        </w:rPr>
        <w:t>serotonin reuptake inhibitors</w:t>
      </w:r>
      <w:r w:rsidR="00912FC0" w:rsidRPr="7F2F8ECC">
        <w:rPr>
          <w:color w:val="000000" w:themeColor="text1"/>
        </w:rPr>
        <w:t xml:space="preserve"> (SRI</w:t>
      </w:r>
      <w:r w:rsidR="003E011B" w:rsidRPr="7F2F8ECC">
        <w:rPr>
          <w:color w:val="000000" w:themeColor="text1"/>
        </w:rPr>
        <w:t>s</w:t>
      </w:r>
      <w:r w:rsidR="00912FC0" w:rsidRPr="7F2F8ECC">
        <w:rPr>
          <w:color w:val="000000" w:themeColor="text1"/>
        </w:rPr>
        <w:t xml:space="preserve">), but </w:t>
      </w:r>
      <w:r w:rsidR="00C73BCE">
        <w:rPr>
          <w:color w:val="000000" w:themeColor="text1"/>
        </w:rPr>
        <w:t xml:space="preserve">not other </w:t>
      </w:r>
      <w:r w:rsidRPr="7F2F8ECC">
        <w:rPr>
          <w:color w:val="000000" w:themeColor="text1"/>
        </w:rPr>
        <w:t>psycho</w:t>
      </w:r>
      <w:r w:rsidR="00846B0B">
        <w:rPr>
          <w:color w:val="000000" w:themeColor="text1"/>
        </w:rPr>
        <w:t>tropic</w:t>
      </w:r>
      <w:r w:rsidRPr="7F2F8ECC">
        <w:rPr>
          <w:color w:val="000000" w:themeColor="text1"/>
        </w:rPr>
        <w:t xml:space="preserve"> medications</w:t>
      </w:r>
      <w:r w:rsidR="00C73BCE">
        <w:rPr>
          <w:color w:val="000000" w:themeColor="text1"/>
        </w:rPr>
        <w:t>.</w:t>
      </w:r>
      <w:r w:rsidRPr="7F2F8ECC">
        <w:rPr>
          <w:color w:val="000000" w:themeColor="text1"/>
        </w:rPr>
        <w:t xml:space="preserve"> The outcome measures were the Yale-Brown Obsessive</w:t>
      </w:r>
      <w:r w:rsidR="006A540C">
        <w:rPr>
          <w:color w:val="000000" w:themeColor="text1"/>
        </w:rPr>
        <w:t xml:space="preserve"> </w:t>
      </w:r>
      <w:r w:rsidRPr="7F2F8ECC">
        <w:rPr>
          <w:color w:val="000000" w:themeColor="text1"/>
        </w:rPr>
        <w:t xml:space="preserve">Compulsive Scale (Y-BOCS), </w:t>
      </w:r>
      <w:r w:rsidR="006A540C">
        <w:rPr>
          <w:color w:val="000000" w:themeColor="text1"/>
        </w:rPr>
        <w:t xml:space="preserve">the Obsessive Compulsive – </w:t>
      </w:r>
      <w:r w:rsidRPr="7F2F8ECC">
        <w:rPr>
          <w:color w:val="000000" w:themeColor="text1"/>
        </w:rPr>
        <w:t>Visual</w:t>
      </w:r>
      <w:r w:rsidR="006A540C">
        <w:rPr>
          <w:color w:val="000000" w:themeColor="text1"/>
        </w:rPr>
        <w:t xml:space="preserve"> </w:t>
      </w:r>
      <w:r w:rsidRPr="7F2F8ECC">
        <w:rPr>
          <w:color w:val="000000" w:themeColor="text1"/>
        </w:rPr>
        <w:t>Analogue Scale (OCD-VAS), and</w:t>
      </w:r>
      <w:r w:rsidR="00C73BCE">
        <w:rPr>
          <w:color w:val="000000" w:themeColor="text1"/>
        </w:rPr>
        <w:t xml:space="preserve"> the</w:t>
      </w:r>
      <w:r w:rsidRPr="7F2F8ECC">
        <w:rPr>
          <w:color w:val="000000" w:themeColor="text1"/>
        </w:rPr>
        <w:t xml:space="preserve"> State-Trait Anxiety</w:t>
      </w:r>
      <w:r w:rsidR="006A540C">
        <w:rPr>
          <w:color w:val="000000" w:themeColor="text1"/>
        </w:rPr>
        <w:t xml:space="preserve"> Inventory – S</w:t>
      </w:r>
      <w:r w:rsidRPr="7F2F8ECC">
        <w:rPr>
          <w:color w:val="000000" w:themeColor="text1"/>
        </w:rPr>
        <w:t>tate (STAI-S)</w:t>
      </w:r>
      <w:r w:rsidR="006A540C">
        <w:rPr>
          <w:color w:val="000000" w:themeColor="text1"/>
        </w:rPr>
        <w:t xml:space="preserve"> subscale</w:t>
      </w:r>
      <w:r w:rsidRPr="7F2F8ECC">
        <w:rPr>
          <w:color w:val="000000" w:themeColor="text1"/>
        </w:rPr>
        <w:t>. Assessments</w:t>
      </w:r>
      <w:r w:rsidR="006946A1" w:rsidRPr="7F2F8ECC">
        <w:rPr>
          <w:color w:val="000000" w:themeColor="text1"/>
        </w:rPr>
        <w:t xml:space="preserve"> </w:t>
      </w:r>
      <w:r w:rsidRPr="7F2F8ECC">
        <w:rPr>
          <w:color w:val="000000" w:themeColor="text1"/>
        </w:rPr>
        <w:t>were conducted at multiple time-points: baseline</w:t>
      </w:r>
      <w:r w:rsidR="006946A1" w:rsidRPr="7F2F8ECC">
        <w:rPr>
          <w:color w:val="000000" w:themeColor="text1"/>
        </w:rPr>
        <w:t xml:space="preserve"> and post-treatment (minute </w:t>
      </w:r>
      <w:r w:rsidRPr="7F2F8ECC">
        <w:rPr>
          <w:color w:val="000000" w:themeColor="text1"/>
        </w:rPr>
        <w:lastRenderedPageBreak/>
        <w:t>20, 40, 60, 90, 120, and 180</w:t>
      </w:r>
      <w:r w:rsidR="006946A1" w:rsidRPr="7F2F8ECC">
        <w:rPr>
          <w:color w:val="000000" w:themeColor="text1"/>
        </w:rPr>
        <w:t>)</w:t>
      </w:r>
      <w:r w:rsidRPr="7F2F8ECC">
        <w:rPr>
          <w:color w:val="000000" w:themeColor="text1"/>
        </w:rPr>
        <w:t xml:space="preserve">. Clinical treatment response was not defined in the study. Self‐reported OCD symptoms and anxiety </w:t>
      </w:r>
      <w:r w:rsidR="006A540C">
        <w:rPr>
          <w:color w:val="000000" w:themeColor="text1"/>
        </w:rPr>
        <w:t xml:space="preserve">symptoms </w:t>
      </w:r>
      <w:r w:rsidR="00B11C70" w:rsidRPr="006A540C">
        <w:rPr>
          <w:color w:val="000000" w:themeColor="text1"/>
        </w:rPr>
        <w:t>significantly</w:t>
      </w:r>
      <w:r w:rsidR="00B11C70" w:rsidRPr="7F2F8ECC">
        <w:rPr>
          <w:color w:val="000000" w:themeColor="text1"/>
        </w:rPr>
        <w:t xml:space="preserve"> </w:t>
      </w:r>
      <w:r w:rsidRPr="7F2F8ECC">
        <w:rPr>
          <w:color w:val="000000" w:themeColor="text1"/>
        </w:rPr>
        <w:t xml:space="preserve">decreased over time </w:t>
      </w:r>
      <w:r w:rsidR="00B11C70" w:rsidRPr="7F2F8ECC">
        <w:rPr>
          <w:color w:val="000000" w:themeColor="text1"/>
        </w:rPr>
        <w:t>(</w:t>
      </w:r>
      <w:r w:rsidR="58328F14" w:rsidRPr="7F2F8ECC">
        <w:rPr>
          <w:color w:val="000000" w:themeColor="text1"/>
        </w:rPr>
        <w:t xml:space="preserve">all </w:t>
      </w:r>
      <w:r w:rsidR="00B11C70" w:rsidRPr="006A540C">
        <w:rPr>
          <w:i/>
          <w:color w:val="000000" w:themeColor="text1"/>
        </w:rPr>
        <w:t>p</w:t>
      </w:r>
      <w:r w:rsidR="56827C49" w:rsidRPr="006A540C">
        <w:rPr>
          <w:color w:val="000000" w:themeColor="text1"/>
        </w:rPr>
        <w:t>’s</w:t>
      </w:r>
      <w:r w:rsidR="00B11C70" w:rsidRPr="006A540C">
        <w:rPr>
          <w:color w:val="000000" w:themeColor="text1"/>
        </w:rPr>
        <w:t xml:space="preserve"> </w:t>
      </w:r>
      <w:r w:rsidR="50EF8F2E" w:rsidRPr="006A540C">
        <w:rPr>
          <w:color w:val="000000" w:themeColor="text1"/>
        </w:rPr>
        <w:t>&lt; 0.001</w:t>
      </w:r>
      <w:r w:rsidR="00B11C70" w:rsidRPr="7F2F8ECC">
        <w:rPr>
          <w:color w:val="000000" w:themeColor="text1"/>
        </w:rPr>
        <w:t>)</w:t>
      </w:r>
      <w:r w:rsidR="008D7ADC">
        <w:rPr>
          <w:color w:val="000000" w:themeColor="text1"/>
        </w:rPr>
        <w:t xml:space="preserve">. </w:t>
      </w:r>
      <w:r w:rsidR="008D7ADC" w:rsidRPr="008E7E2D">
        <w:rPr>
          <w:color w:val="000000"/>
          <w:szCs w:val="20"/>
        </w:rPr>
        <w:t>There was a significant effect of cannabis varietal on</w:t>
      </w:r>
      <w:r w:rsidR="008D7ADC" w:rsidRPr="00D0509D">
        <w:rPr>
          <w:color w:val="000000"/>
          <w:szCs w:val="20"/>
        </w:rPr>
        <w:t xml:space="preserve"> anxiety symptoms (</w:t>
      </w:r>
      <w:r w:rsidR="008D7ADC" w:rsidRPr="008E7E2D">
        <w:rPr>
          <w:color w:val="000000"/>
          <w:szCs w:val="20"/>
        </w:rPr>
        <w:t>STAI‐S</w:t>
      </w:r>
      <w:r w:rsidR="008D7ADC" w:rsidRPr="00D0509D">
        <w:rPr>
          <w:color w:val="000000"/>
          <w:szCs w:val="20"/>
        </w:rPr>
        <w:t xml:space="preserve">: </w:t>
      </w:r>
      <w:r w:rsidR="008D7ADC" w:rsidRPr="008E7E2D">
        <w:rPr>
          <w:i/>
          <w:iCs/>
          <w:color w:val="000000"/>
          <w:szCs w:val="20"/>
        </w:rPr>
        <w:t>p</w:t>
      </w:r>
      <w:r w:rsidR="008D7ADC" w:rsidRPr="008E7E2D">
        <w:rPr>
          <w:color w:val="000000"/>
          <w:szCs w:val="20"/>
        </w:rPr>
        <w:t xml:space="preserve"> = </w:t>
      </w:r>
      <w:r w:rsidR="00544270">
        <w:rPr>
          <w:color w:val="000000"/>
          <w:szCs w:val="20"/>
        </w:rPr>
        <w:t>0</w:t>
      </w:r>
      <w:r w:rsidR="008D7ADC" w:rsidRPr="008E7E2D">
        <w:rPr>
          <w:color w:val="000000"/>
          <w:szCs w:val="20"/>
        </w:rPr>
        <w:t>.002</w:t>
      </w:r>
      <w:r w:rsidR="008D7ADC" w:rsidRPr="00D0509D">
        <w:rPr>
          <w:color w:val="000000"/>
          <w:szCs w:val="20"/>
        </w:rPr>
        <w:t>)</w:t>
      </w:r>
      <w:r w:rsidR="008D7ADC" w:rsidRPr="008E7E2D">
        <w:rPr>
          <w:color w:val="000000"/>
          <w:szCs w:val="20"/>
        </w:rPr>
        <w:t xml:space="preserve">, but not on </w:t>
      </w:r>
      <w:r w:rsidR="008D7ADC" w:rsidRPr="00D0509D">
        <w:rPr>
          <w:color w:val="000000"/>
          <w:szCs w:val="20"/>
        </w:rPr>
        <w:t>OCD symptoms (</w:t>
      </w:r>
      <w:r w:rsidR="008D7ADC" w:rsidRPr="008E7E2D">
        <w:rPr>
          <w:color w:val="000000"/>
          <w:szCs w:val="20"/>
        </w:rPr>
        <w:t>Y-BOCS</w:t>
      </w:r>
      <w:r w:rsidR="008D7ADC" w:rsidRPr="00D0509D">
        <w:rPr>
          <w:color w:val="000000"/>
          <w:szCs w:val="20"/>
        </w:rPr>
        <w:t>:</w:t>
      </w:r>
      <w:r w:rsidR="008D7ADC" w:rsidRPr="008E7E2D">
        <w:rPr>
          <w:color w:val="000000"/>
          <w:szCs w:val="20"/>
        </w:rPr>
        <w:t xml:space="preserve"> </w:t>
      </w:r>
      <w:r w:rsidR="008D7ADC" w:rsidRPr="008E7E2D">
        <w:rPr>
          <w:i/>
          <w:iCs/>
          <w:color w:val="000000"/>
          <w:szCs w:val="20"/>
        </w:rPr>
        <w:t>p</w:t>
      </w:r>
      <w:r w:rsidR="008D7ADC" w:rsidRPr="008E7E2D">
        <w:rPr>
          <w:color w:val="000000"/>
          <w:szCs w:val="20"/>
        </w:rPr>
        <w:t xml:space="preserve"> = </w:t>
      </w:r>
      <w:r w:rsidR="00544270">
        <w:rPr>
          <w:color w:val="000000"/>
          <w:szCs w:val="20"/>
        </w:rPr>
        <w:t>0</w:t>
      </w:r>
      <w:r w:rsidR="008D7ADC" w:rsidRPr="008E7E2D">
        <w:rPr>
          <w:color w:val="000000"/>
          <w:szCs w:val="20"/>
        </w:rPr>
        <w:t>.72</w:t>
      </w:r>
      <w:r w:rsidR="008D7ADC" w:rsidRPr="00D0509D">
        <w:rPr>
          <w:color w:val="000000"/>
          <w:szCs w:val="20"/>
        </w:rPr>
        <w:t>;</w:t>
      </w:r>
      <w:r w:rsidR="008D7ADC" w:rsidRPr="008E7E2D">
        <w:rPr>
          <w:color w:val="000000"/>
          <w:szCs w:val="20"/>
        </w:rPr>
        <w:t xml:space="preserve"> OCD‐VAS</w:t>
      </w:r>
      <w:r w:rsidR="008D7ADC" w:rsidRPr="00D0509D">
        <w:rPr>
          <w:color w:val="000000"/>
          <w:szCs w:val="20"/>
        </w:rPr>
        <w:t xml:space="preserve">: </w:t>
      </w:r>
      <w:r w:rsidR="008D7ADC" w:rsidRPr="008E7E2D">
        <w:rPr>
          <w:i/>
          <w:iCs/>
          <w:color w:val="000000"/>
          <w:szCs w:val="20"/>
        </w:rPr>
        <w:t>p</w:t>
      </w:r>
      <w:r w:rsidR="008D7ADC" w:rsidRPr="008E7E2D">
        <w:rPr>
          <w:color w:val="000000"/>
          <w:szCs w:val="20"/>
        </w:rPr>
        <w:t xml:space="preserve"> = </w:t>
      </w:r>
      <w:r w:rsidR="00544270">
        <w:rPr>
          <w:color w:val="000000"/>
          <w:szCs w:val="20"/>
        </w:rPr>
        <w:t>0</w:t>
      </w:r>
      <w:r w:rsidR="008D7ADC" w:rsidRPr="008E7E2D">
        <w:rPr>
          <w:color w:val="000000"/>
          <w:szCs w:val="20"/>
        </w:rPr>
        <w:t>.90)</w:t>
      </w:r>
      <w:r w:rsidRPr="7F2F8ECC">
        <w:rPr>
          <w:color w:val="000000" w:themeColor="text1"/>
        </w:rPr>
        <w:t xml:space="preserve">. </w:t>
      </w:r>
      <w:r w:rsidR="0073245C">
        <w:rPr>
          <w:color w:val="000000" w:themeColor="text1"/>
        </w:rPr>
        <w:t xml:space="preserve">However, self-reported </w:t>
      </w:r>
      <w:r w:rsidR="00F07B28">
        <w:rPr>
          <w:color w:val="000000" w:themeColor="text1"/>
        </w:rPr>
        <w:t xml:space="preserve">anxiety symptoms and </w:t>
      </w:r>
      <w:r w:rsidR="005A435C">
        <w:rPr>
          <w:color w:val="000000" w:themeColor="text1"/>
        </w:rPr>
        <w:t xml:space="preserve">OCD </w:t>
      </w:r>
      <w:r w:rsidR="0073245C">
        <w:rPr>
          <w:color w:val="000000" w:themeColor="text1"/>
        </w:rPr>
        <w:t xml:space="preserve">symptoms </w:t>
      </w:r>
      <w:r w:rsidR="0029063E">
        <w:rPr>
          <w:color w:val="000000" w:themeColor="text1"/>
        </w:rPr>
        <w:t xml:space="preserve">did not significantly differ </w:t>
      </w:r>
      <w:r w:rsidR="00B87D59">
        <w:rPr>
          <w:color w:val="000000" w:themeColor="text1"/>
        </w:rPr>
        <w:t xml:space="preserve">between the </w:t>
      </w:r>
      <w:r w:rsidR="0029063E">
        <w:rPr>
          <w:color w:val="000000" w:themeColor="text1"/>
        </w:rPr>
        <w:t xml:space="preserve">three </w:t>
      </w:r>
      <w:r w:rsidR="006D21A4">
        <w:rPr>
          <w:color w:val="000000" w:themeColor="text1"/>
        </w:rPr>
        <w:t>study</w:t>
      </w:r>
      <w:r w:rsidR="0073245C" w:rsidRPr="0073245C">
        <w:rPr>
          <w:color w:val="000000" w:themeColor="text1"/>
        </w:rPr>
        <w:t xml:space="preserve"> </w:t>
      </w:r>
      <w:r w:rsidR="00B87D59">
        <w:rPr>
          <w:color w:val="000000" w:themeColor="text1"/>
        </w:rPr>
        <w:t xml:space="preserve">conditions </w:t>
      </w:r>
      <w:r w:rsidR="007D4532">
        <w:rPr>
          <w:color w:val="000000" w:themeColor="text1"/>
        </w:rPr>
        <w:t>over time</w:t>
      </w:r>
      <w:r w:rsidR="0073245C" w:rsidRPr="0073245C">
        <w:rPr>
          <w:color w:val="000000" w:themeColor="text1"/>
        </w:rPr>
        <w:t xml:space="preserve"> (</w:t>
      </w:r>
      <w:r w:rsidR="00F07B28" w:rsidRPr="0073245C">
        <w:rPr>
          <w:color w:val="000000" w:themeColor="text1"/>
        </w:rPr>
        <w:t xml:space="preserve">STAI‐S: </w:t>
      </w:r>
      <w:r w:rsidR="00F07B28" w:rsidRPr="0057508E">
        <w:rPr>
          <w:i/>
          <w:iCs/>
          <w:color w:val="000000" w:themeColor="text1"/>
        </w:rPr>
        <w:t xml:space="preserve">p </w:t>
      </w:r>
      <w:r w:rsidR="00F07B28" w:rsidRPr="0073245C">
        <w:rPr>
          <w:color w:val="000000" w:themeColor="text1"/>
        </w:rPr>
        <w:t xml:space="preserve">= </w:t>
      </w:r>
      <w:r w:rsidR="00544270">
        <w:rPr>
          <w:color w:val="000000" w:themeColor="text1"/>
        </w:rPr>
        <w:t>0</w:t>
      </w:r>
      <w:r w:rsidR="00F07B28" w:rsidRPr="0073245C">
        <w:rPr>
          <w:color w:val="000000" w:themeColor="text1"/>
        </w:rPr>
        <w:t>.740</w:t>
      </w:r>
      <w:r w:rsidR="00F07B28">
        <w:rPr>
          <w:color w:val="000000" w:themeColor="text1"/>
        </w:rPr>
        <w:t xml:space="preserve">; </w:t>
      </w:r>
      <w:r w:rsidR="0073245C" w:rsidRPr="0073245C">
        <w:rPr>
          <w:color w:val="000000" w:themeColor="text1"/>
        </w:rPr>
        <w:t xml:space="preserve">Y-BOCS: </w:t>
      </w:r>
      <w:r w:rsidR="0073245C" w:rsidRPr="00F62917">
        <w:rPr>
          <w:i/>
          <w:iCs/>
          <w:color w:val="000000" w:themeColor="text1"/>
        </w:rPr>
        <w:t>p</w:t>
      </w:r>
      <w:r w:rsidR="0073245C" w:rsidRPr="0073245C">
        <w:rPr>
          <w:color w:val="000000" w:themeColor="text1"/>
        </w:rPr>
        <w:t xml:space="preserve"> = </w:t>
      </w:r>
      <w:r w:rsidR="00544270">
        <w:rPr>
          <w:color w:val="000000" w:themeColor="text1"/>
        </w:rPr>
        <w:t>0</w:t>
      </w:r>
      <w:r w:rsidR="0073245C" w:rsidRPr="0073245C">
        <w:rPr>
          <w:color w:val="000000" w:themeColor="text1"/>
        </w:rPr>
        <w:t xml:space="preserve">.577; OCD‐VAS: </w:t>
      </w:r>
      <w:r w:rsidR="0073245C" w:rsidRPr="00F62917">
        <w:rPr>
          <w:i/>
          <w:iCs/>
          <w:color w:val="000000" w:themeColor="text1"/>
        </w:rPr>
        <w:t>p</w:t>
      </w:r>
      <w:r w:rsidR="0073245C" w:rsidRPr="0073245C">
        <w:rPr>
          <w:color w:val="000000" w:themeColor="text1"/>
        </w:rPr>
        <w:t xml:space="preserve"> = </w:t>
      </w:r>
      <w:r w:rsidR="00544270">
        <w:rPr>
          <w:color w:val="000000" w:themeColor="text1"/>
        </w:rPr>
        <w:t>0</w:t>
      </w:r>
      <w:r w:rsidR="0073245C" w:rsidRPr="0073245C">
        <w:rPr>
          <w:color w:val="000000" w:themeColor="text1"/>
        </w:rPr>
        <w:t>.818).</w:t>
      </w:r>
      <w:r w:rsidR="0073245C">
        <w:rPr>
          <w:color w:val="000000" w:themeColor="text1"/>
        </w:rPr>
        <w:t xml:space="preserve"> </w:t>
      </w:r>
      <w:r w:rsidR="00DF5331">
        <w:rPr>
          <w:color w:val="000000" w:themeColor="text1"/>
        </w:rPr>
        <w:t xml:space="preserve">Post-hoc analyses </w:t>
      </w:r>
      <w:r w:rsidR="00783EF3">
        <w:rPr>
          <w:color w:val="000000" w:themeColor="text1"/>
        </w:rPr>
        <w:t>suggest</w:t>
      </w:r>
      <w:r w:rsidR="00BA7CA3">
        <w:rPr>
          <w:color w:val="000000" w:themeColor="text1"/>
        </w:rPr>
        <w:t xml:space="preserve">ed </w:t>
      </w:r>
      <w:r w:rsidR="00783EF3">
        <w:rPr>
          <w:color w:val="000000" w:themeColor="text1"/>
        </w:rPr>
        <w:t>the</w:t>
      </w:r>
      <w:r w:rsidR="00BA7CA3">
        <w:rPr>
          <w:color w:val="000000" w:themeColor="text1"/>
        </w:rPr>
        <w:t xml:space="preserve"> </w:t>
      </w:r>
      <w:r w:rsidR="009A530C">
        <w:rPr>
          <w:color w:val="000000" w:themeColor="text1"/>
        </w:rPr>
        <w:t xml:space="preserve">placebo </w:t>
      </w:r>
      <w:r w:rsidR="009F09A2">
        <w:rPr>
          <w:color w:val="000000" w:themeColor="text1"/>
        </w:rPr>
        <w:t xml:space="preserve">treatment </w:t>
      </w:r>
      <w:r w:rsidR="00783EF3">
        <w:rPr>
          <w:color w:val="000000" w:themeColor="text1"/>
        </w:rPr>
        <w:t>was superior to</w:t>
      </w:r>
      <w:r w:rsidR="00BA7CA3">
        <w:rPr>
          <w:color w:val="000000" w:themeColor="text1"/>
        </w:rPr>
        <w:t xml:space="preserve"> </w:t>
      </w:r>
      <w:r w:rsidR="00FD411F">
        <w:rPr>
          <w:color w:val="000000" w:themeColor="text1"/>
        </w:rPr>
        <w:t>the active treatments</w:t>
      </w:r>
      <w:r w:rsidR="00FB61EE">
        <w:rPr>
          <w:color w:val="000000" w:themeColor="text1"/>
        </w:rPr>
        <w:t xml:space="preserve"> in reducing self-reported anxiety symptoms</w:t>
      </w:r>
      <w:r w:rsidR="00FD411F">
        <w:rPr>
          <w:color w:val="000000" w:themeColor="text1"/>
        </w:rPr>
        <w:t xml:space="preserve">: </w:t>
      </w:r>
      <w:r w:rsidRPr="7F2F8ECC">
        <w:rPr>
          <w:color w:val="000000" w:themeColor="text1"/>
        </w:rPr>
        <w:t>anxiety</w:t>
      </w:r>
      <w:r w:rsidR="15AEFE63" w:rsidRPr="1F9BA1E1">
        <w:rPr>
          <w:color w:val="000000" w:themeColor="text1"/>
        </w:rPr>
        <w:t xml:space="preserve"> symptoms</w:t>
      </w:r>
      <w:r w:rsidRPr="7F2F8ECC">
        <w:rPr>
          <w:color w:val="000000" w:themeColor="text1"/>
        </w:rPr>
        <w:t xml:space="preserve"> </w:t>
      </w:r>
      <w:r w:rsidR="00B11C70" w:rsidRPr="7F2F8ECC">
        <w:rPr>
          <w:color w:val="000000" w:themeColor="text1"/>
        </w:rPr>
        <w:t>(</w:t>
      </w:r>
      <w:r w:rsidR="00B11C70" w:rsidRPr="006A540C">
        <w:rPr>
          <w:color w:val="000000" w:themeColor="text1"/>
        </w:rPr>
        <w:t>as measured by the STAI-S)</w:t>
      </w:r>
      <w:r w:rsidR="005D6CDA">
        <w:rPr>
          <w:color w:val="000000" w:themeColor="text1"/>
        </w:rPr>
        <w:t xml:space="preserve"> </w:t>
      </w:r>
      <w:r w:rsidR="006A540C">
        <w:rPr>
          <w:color w:val="000000" w:themeColor="text1"/>
        </w:rPr>
        <w:t>were</w:t>
      </w:r>
      <w:r w:rsidRPr="7F2F8ECC">
        <w:rPr>
          <w:color w:val="000000" w:themeColor="text1"/>
        </w:rPr>
        <w:t xml:space="preserve"> significantly </w:t>
      </w:r>
      <w:r w:rsidR="00F51256">
        <w:rPr>
          <w:color w:val="000000" w:themeColor="text1"/>
        </w:rPr>
        <w:t>lower</w:t>
      </w:r>
      <w:r w:rsidRPr="7F2F8ECC">
        <w:rPr>
          <w:color w:val="000000" w:themeColor="text1"/>
        </w:rPr>
        <w:t xml:space="preserve"> immediately </w:t>
      </w:r>
      <w:r w:rsidR="00B11C70" w:rsidRPr="7F2F8ECC">
        <w:rPr>
          <w:color w:val="000000" w:themeColor="text1"/>
        </w:rPr>
        <w:t>following</w:t>
      </w:r>
      <w:r w:rsidRPr="7F2F8ECC">
        <w:rPr>
          <w:color w:val="000000" w:themeColor="text1"/>
        </w:rPr>
        <w:t xml:space="preserve"> </w:t>
      </w:r>
      <w:r w:rsidR="006360AB">
        <w:rPr>
          <w:color w:val="000000" w:themeColor="text1"/>
        </w:rPr>
        <w:t xml:space="preserve">administration of </w:t>
      </w:r>
      <w:r w:rsidR="00AC3817">
        <w:rPr>
          <w:color w:val="000000" w:themeColor="text1"/>
        </w:rPr>
        <w:t xml:space="preserve">the </w:t>
      </w:r>
      <w:r w:rsidR="00AC3817" w:rsidRPr="7F2F8ECC">
        <w:rPr>
          <w:color w:val="000000" w:themeColor="text1"/>
        </w:rPr>
        <w:t>placebo</w:t>
      </w:r>
      <w:r w:rsidR="00AC3817">
        <w:rPr>
          <w:color w:val="000000" w:themeColor="text1"/>
        </w:rPr>
        <w:t xml:space="preserve"> cigarette </w:t>
      </w:r>
      <w:r w:rsidR="006D201A">
        <w:rPr>
          <w:color w:val="000000" w:themeColor="text1"/>
        </w:rPr>
        <w:t xml:space="preserve">(i.e., at the 20-minute time-point) </w:t>
      </w:r>
      <w:r w:rsidR="00AC3817">
        <w:rPr>
          <w:color w:val="000000" w:themeColor="text1"/>
        </w:rPr>
        <w:t xml:space="preserve">compared with </w:t>
      </w:r>
      <w:r w:rsidRPr="7F2F8ECC">
        <w:rPr>
          <w:color w:val="000000" w:themeColor="text1"/>
        </w:rPr>
        <w:t xml:space="preserve">both </w:t>
      </w:r>
      <w:r w:rsidR="006360AB">
        <w:rPr>
          <w:color w:val="000000" w:themeColor="text1"/>
        </w:rPr>
        <w:t xml:space="preserve">the </w:t>
      </w:r>
      <w:r w:rsidR="002C4809">
        <w:rPr>
          <w:color w:val="000000" w:themeColor="text1"/>
        </w:rPr>
        <w:t>high</w:t>
      </w:r>
      <w:r w:rsidR="002C4809" w:rsidRPr="7F2F8ECC">
        <w:rPr>
          <w:color w:val="000000" w:themeColor="text1"/>
        </w:rPr>
        <w:t xml:space="preserve"> THC (</w:t>
      </w:r>
      <w:r w:rsidR="009C0560" w:rsidRPr="008E7E2D">
        <w:rPr>
          <w:i/>
          <w:iCs/>
          <w:color w:val="000000"/>
          <w:kern w:val="2"/>
          <w:szCs w:val="20"/>
          <w14:ligatures w14:val="standardContextual"/>
        </w:rPr>
        <w:t>p</w:t>
      </w:r>
      <w:r w:rsidR="009C0560" w:rsidRPr="008E7E2D">
        <w:rPr>
          <w:color w:val="000000"/>
          <w:kern w:val="2"/>
          <w:szCs w:val="20"/>
          <w14:ligatures w14:val="standardContextual"/>
        </w:rPr>
        <w:t xml:space="preserve"> = </w:t>
      </w:r>
      <w:r w:rsidR="00544270">
        <w:rPr>
          <w:color w:val="000000"/>
          <w:kern w:val="2"/>
          <w:szCs w:val="20"/>
          <w14:ligatures w14:val="standardContextual"/>
        </w:rPr>
        <w:t>0</w:t>
      </w:r>
      <w:r w:rsidR="009C0560" w:rsidRPr="008E7E2D">
        <w:rPr>
          <w:color w:val="000000"/>
          <w:kern w:val="2"/>
          <w:szCs w:val="20"/>
          <w14:ligatures w14:val="standardContextual"/>
        </w:rPr>
        <w:t>.002</w:t>
      </w:r>
      <w:r w:rsidR="002C4809" w:rsidRPr="7F2F8ECC">
        <w:rPr>
          <w:color w:val="000000" w:themeColor="text1"/>
        </w:rPr>
        <w:t>)</w:t>
      </w:r>
      <w:r w:rsidR="002C4809">
        <w:rPr>
          <w:color w:val="000000" w:themeColor="text1"/>
        </w:rPr>
        <w:t xml:space="preserve"> and </w:t>
      </w:r>
      <w:r w:rsidR="00FF6A7A">
        <w:rPr>
          <w:color w:val="000000" w:themeColor="text1"/>
        </w:rPr>
        <w:t xml:space="preserve">high </w:t>
      </w:r>
      <w:r w:rsidR="003E011B" w:rsidRPr="7F2F8ECC">
        <w:rPr>
          <w:color w:val="000000" w:themeColor="text1"/>
        </w:rPr>
        <w:t>CBD (</w:t>
      </w:r>
      <w:r w:rsidR="00BD57BE" w:rsidRPr="008E7E2D">
        <w:rPr>
          <w:i/>
          <w:iCs/>
          <w:color w:val="000000"/>
          <w:kern w:val="2"/>
          <w:szCs w:val="20"/>
          <w14:ligatures w14:val="standardContextual"/>
        </w:rPr>
        <w:t>p</w:t>
      </w:r>
      <w:r w:rsidR="00BD57BE" w:rsidRPr="008E7E2D">
        <w:rPr>
          <w:color w:val="000000"/>
          <w:kern w:val="2"/>
          <w:szCs w:val="20"/>
          <w14:ligatures w14:val="standardContextual"/>
        </w:rPr>
        <w:t xml:space="preserve"> = </w:t>
      </w:r>
      <w:r w:rsidR="00544270">
        <w:rPr>
          <w:color w:val="000000"/>
          <w:kern w:val="2"/>
          <w:szCs w:val="20"/>
          <w14:ligatures w14:val="standardContextual"/>
        </w:rPr>
        <w:t>0</w:t>
      </w:r>
      <w:r w:rsidR="00BD57BE" w:rsidRPr="008E7E2D">
        <w:rPr>
          <w:color w:val="000000"/>
          <w:kern w:val="2"/>
          <w:szCs w:val="20"/>
          <w14:ligatures w14:val="standardContextual"/>
        </w:rPr>
        <w:t>.039</w:t>
      </w:r>
      <w:r w:rsidR="003E011B" w:rsidRPr="7F2F8ECC">
        <w:rPr>
          <w:color w:val="000000" w:themeColor="text1"/>
        </w:rPr>
        <w:t xml:space="preserve">) </w:t>
      </w:r>
      <w:r w:rsidR="006360AB">
        <w:rPr>
          <w:color w:val="000000" w:themeColor="text1"/>
        </w:rPr>
        <w:t>cigarette.</w:t>
      </w:r>
      <w:r w:rsidR="009A135E">
        <w:rPr>
          <w:color w:val="000000" w:themeColor="text1"/>
        </w:rPr>
        <w:t xml:space="preserve"> T</w:t>
      </w:r>
      <w:r w:rsidR="00B11C70" w:rsidRPr="7F2F8ECC">
        <w:rPr>
          <w:color w:val="000000" w:themeColor="text1"/>
        </w:rPr>
        <w:t xml:space="preserve">his </w:t>
      </w:r>
      <w:r w:rsidRPr="7F2F8ECC">
        <w:rPr>
          <w:color w:val="000000" w:themeColor="text1"/>
        </w:rPr>
        <w:t xml:space="preserve">difference </w:t>
      </w:r>
      <w:r w:rsidR="000A221C">
        <w:rPr>
          <w:color w:val="000000" w:themeColor="text1"/>
        </w:rPr>
        <w:t>between the placebo and high THC c</w:t>
      </w:r>
      <w:r w:rsidR="00034537">
        <w:rPr>
          <w:color w:val="000000" w:themeColor="text1"/>
        </w:rPr>
        <w:t>igarette</w:t>
      </w:r>
      <w:r w:rsidR="000A221C">
        <w:rPr>
          <w:color w:val="000000" w:themeColor="text1"/>
        </w:rPr>
        <w:t xml:space="preserve"> </w:t>
      </w:r>
      <w:r w:rsidR="00550AA8">
        <w:rPr>
          <w:color w:val="000000" w:themeColor="text1"/>
        </w:rPr>
        <w:t xml:space="preserve">on anxiety symptoms </w:t>
      </w:r>
      <w:r w:rsidRPr="7F2F8ECC">
        <w:rPr>
          <w:color w:val="000000" w:themeColor="text1"/>
        </w:rPr>
        <w:t>persisted for at least 40 minutes</w:t>
      </w:r>
      <w:r w:rsidR="00452B7C">
        <w:rPr>
          <w:color w:val="000000" w:themeColor="text1"/>
        </w:rPr>
        <w:t xml:space="preserve"> (</w:t>
      </w:r>
      <w:r w:rsidR="00AC3E00" w:rsidRPr="008E7E2D">
        <w:rPr>
          <w:i/>
          <w:iCs/>
          <w:color w:val="000000"/>
          <w:kern w:val="2"/>
          <w:szCs w:val="20"/>
          <w14:ligatures w14:val="standardContextual"/>
        </w:rPr>
        <w:t>p</w:t>
      </w:r>
      <w:r w:rsidR="00AC3E00" w:rsidRPr="008E7E2D">
        <w:rPr>
          <w:color w:val="000000"/>
          <w:kern w:val="2"/>
          <w:szCs w:val="20"/>
          <w14:ligatures w14:val="standardContextual"/>
        </w:rPr>
        <w:t xml:space="preserve"> = </w:t>
      </w:r>
      <w:r w:rsidR="00544270">
        <w:rPr>
          <w:color w:val="000000"/>
          <w:kern w:val="2"/>
          <w:szCs w:val="20"/>
          <w14:ligatures w14:val="standardContextual"/>
        </w:rPr>
        <w:t>0</w:t>
      </w:r>
      <w:r w:rsidR="00AC3E00" w:rsidRPr="008E7E2D">
        <w:rPr>
          <w:color w:val="000000"/>
          <w:kern w:val="2"/>
          <w:szCs w:val="20"/>
          <w14:ligatures w14:val="standardContextual"/>
        </w:rPr>
        <w:t>.033</w:t>
      </w:r>
      <w:r w:rsidR="00AC3E00">
        <w:rPr>
          <w:color w:val="000000"/>
          <w:kern w:val="2"/>
          <w:szCs w:val="20"/>
          <w14:ligatures w14:val="standardContextual"/>
        </w:rPr>
        <w:t>)</w:t>
      </w:r>
      <w:r w:rsidRPr="7F2F8ECC">
        <w:rPr>
          <w:color w:val="000000" w:themeColor="text1"/>
        </w:rPr>
        <w:t xml:space="preserve">. </w:t>
      </w:r>
      <w:r w:rsidR="003E1DB1" w:rsidRPr="7F2F8ECC">
        <w:rPr>
          <w:color w:val="000000" w:themeColor="text1"/>
        </w:rPr>
        <w:t xml:space="preserve">This study </w:t>
      </w:r>
      <w:r w:rsidR="003E011B" w:rsidRPr="7F2F8ECC">
        <w:rPr>
          <w:color w:val="000000" w:themeColor="text1"/>
        </w:rPr>
        <w:t xml:space="preserve">was judged to have a </w:t>
      </w:r>
      <w:r w:rsidR="003E1DB1" w:rsidRPr="7F2F8ECC">
        <w:rPr>
          <w:color w:val="000000" w:themeColor="text1"/>
        </w:rPr>
        <w:t xml:space="preserve">high risk of bias. </w:t>
      </w:r>
      <w:r w:rsidR="003E011B" w:rsidRPr="7F2F8ECC">
        <w:rPr>
          <w:color w:val="000000" w:themeColor="text1"/>
        </w:rPr>
        <w:t xml:space="preserve">The </w:t>
      </w:r>
      <w:r w:rsidR="00C94E1E">
        <w:rPr>
          <w:color w:val="000000" w:themeColor="text1"/>
        </w:rPr>
        <w:t>study</w:t>
      </w:r>
      <w:r w:rsidR="003E011B" w:rsidRPr="7F2F8ECC">
        <w:rPr>
          <w:color w:val="000000" w:themeColor="text1"/>
        </w:rPr>
        <w:t xml:space="preserve"> employed </w:t>
      </w:r>
      <w:r w:rsidR="003E1DB1" w:rsidRPr="7F2F8ECC">
        <w:rPr>
          <w:color w:val="000000" w:themeColor="text1"/>
        </w:rPr>
        <w:t xml:space="preserve">per-protocol analysis </w:t>
      </w:r>
      <w:r w:rsidR="003E011B" w:rsidRPr="7F2F8ECC">
        <w:rPr>
          <w:color w:val="000000" w:themeColor="text1"/>
        </w:rPr>
        <w:t>(rather than intention-to-treat analysis)</w:t>
      </w:r>
      <w:r w:rsidR="006360AB">
        <w:rPr>
          <w:color w:val="000000" w:themeColor="text1"/>
        </w:rPr>
        <w:t>;</w:t>
      </w:r>
      <w:r w:rsidR="003E1DB1" w:rsidRPr="7F2F8ECC">
        <w:rPr>
          <w:color w:val="000000" w:themeColor="text1"/>
        </w:rPr>
        <w:t xml:space="preserve"> excluding two </w:t>
      </w:r>
      <w:r w:rsidR="00172566" w:rsidRPr="7F2F8ECC">
        <w:rPr>
          <w:color w:val="000000" w:themeColor="text1"/>
        </w:rPr>
        <w:t>participants</w:t>
      </w:r>
      <w:r w:rsidR="00F35BD5">
        <w:rPr>
          <w:color w:val="000000" w:themeColor="text1"/>
        </w:rPr>
        <w:t xml:space="preserve"> </w:t>
      </w:r>
      <w:r w:rsidR="003E1DB1" w:rsidRPr="7F2F8ECC">
        <w:rPr>
          <w:color w:val="000000" w:themeColor="text1"/>
        </w:rPr>
        <w:t>who</w:t>
      </w:r>
      <w:r w:rsidR="003E011B" w:rsidRPr="7F2F8ECC">
        <w:rPr>
          <w:color w:val="000000" w:themeColor="text1"/>
        </w:rPr>
        <w:t xml:space="preserve"> </w:t>
      </w:r>
      <w:r w:rsidR="003E1DB1" w:rsidRPr="7F2F8ECC">
        <w:rPr>
          <w:color w:val="000000" w:themeColor="text1"/>
        </w:rPr>
        <w:t>dropped out</w:t>
      </w:r>
      <w:r w:rsidR="00462193" w:rsidRPr="7F2F8ECC">
        <w:rPr>
          <w:color w:val="000000" w:themeColor="text1"/>
        </w:rPr>
        <w:t xml:space="preserve"> </w:t>
      </w:r>
      <w:r w:rsidR="006A540C">
        <w:rPr>
          <w:color w:val="000000" w:themeColor="text1"/>
        </w:rPr>
        <w:t xml:space="preserve">of the study </w:t>
      </w:r>
      <w:r w:rsidR="007101D2">
        <w:rPr>
          <w:color w:val="000000" w:themeColor="text1"/>
        </w:rPr>
        <w:t xml:space="preserve">following </w:t>
      </w:r>
      <w:r w:rsidR="003B21A8">
        <w:rPr>
          <w:color w:val="000000" w:themeColor="text1"/>
        </w:rPr>
        <w:t>the first of three study sessions</w:t>
      </w:r>
      <w:r w:rsidR="00153DFB">
        <w:rPr>
          <w:color w:val="000000" w:themeColor="text1"/>
        </w:rPr>
        <w:t xml:space="preserve"> (</w:t>
      </w:r>
      <w:r w:rsidR="00153DFB" w:rsidRPr="00F62917">
        <w:rPr>
          <w:i/>
          <w:iCs/>
          <w:color w:val="000000" w:themeColor="text1"/>
        </w:rPr>
        <w:t>n</w:t>
      </w:r>
      <w:r w:rsidR="00153DFB">
        <w:rPr>
          <w:color w:val="000000" w:themeColor="text1"/>
        </w:rPr>
        <w:t xml:space="preserve"> = 2/14; </w:t>
      </w:r>
      <w:r w:rsidR="00E91DB1">
        <w:rPr>
          <w:color w:val="000000" w:themeColor="text1"/>
        </w:rPr>
        <w:t>14.3%)</w:t>
      </w:r>
      <w:r w:rsidR="00573DED">
        <w:rPr>
          <w:color w:val="000000" w:themeColor="text1"/>
        </w:rPr>
        <w:t>,</w:t>
      </w:r>
      <w:r w:rsidR="00AF00BF">
        <w:rPr>
          <w:color w:val="000000" w:themeColor="text1"/>
        </w:rPr>
        <w:t xml:space="preserve"> </w:t>
      </w:r>
      <w:r w:rsidR="00681D44">
        <w:rPr>
          <w:color w:val="000000" w:themeColor="text1"/>
        </w:rPr>
        <w:t>reporting that th</w:t>
      </w:r>
      <w:r w:rsidR="00462193" w:rsidRPr="7F2F8ECC">
        <w:rPr>
          <w:color w:val="000000" w:themeColor="text1"/>
        </w:rPr>
        <w:t xml:space="preserve">e </w:t>
      </w:r>
      <w:r w:rsidR="003E011B" w:rsidRPr="7F2F8ECC">
        <w:rPr>
          <w:color w:val="000000" w:themeColor="text1"/>
        </w:rPr>
        <w:t xml:space="preserve">time commitment </w:t>
      </w:r>
      <w:r w:rsidR="00462193" w:rsidRPr="7F2F8ECC">
        <w:rPr>
          <w:color w:val="000000" w:themeColor="text1"/>
        </w:rPr>
        <w:t>was “</w:t>
      </w:r>
      <w:r w:rsidR="003E011B" w:rsidRPr="7F2F8ECC">
        <w:rPr>
          <w:color w:val="000000" w:themeColor="text1"/>
        </w:rPr>
        <w:t>too great”</w:t>
      </w:r>
      <w:r w:rsidR="003E1DB1" w:rsidRPr="7F2F8ECC">
        <w:rPr>
          <w:color w:val="000000" w:themeColor="text1"/>
        </w:rPr>
        <w:t xml:space="preserve">. </w:t>
      </w:r>
      <w:r w:rsidR="003E011B" w:rsidRPr="7F2F8ECC">
        <w:rPr>
          <w:color w:val="000000" w:themeColor="text1"/>
        </w:rPr>
        <w:t>The b</w:t>
      </w:r>
      <w:r w:rsidR="003E1DB1" w:rsidRPr="7F2F8ECC">
        <w:rPr>
          <w:color w:val="000000" w:themeColor="text1"/>
        </w:rPr>
        <w:t xml:space="preserve">aseline severity of OCD symptoms was not reported for these participants, </w:t>
      </w:r>
      <w:r w:rsidR="00172566" w:rsidRPr="7F2F8ECC">
        <w:rPr>
          <w:color w:val="000000" w:themeColor="text1"/>
        </w:rPr>
        <w:t xml:space="preserve">which </w:t>
      </w:r>
      <w:r w:rsidR="003E1DB1" w:rsidRPr="7F2F8ECC">
        <w:rPr>
          <w:color w:val="000000" w:themeColor="text1"/>
        </w:rPr>
        <w:t xml:space="preserve">further reduced confidence in </w:t>
      </w:r>
      <w:r w:rsidR="00172566" w:rsidRPr="7F2F8ECC">
        <w:rPr>
          <w:color w:val="000000" w:themeColor="text1"/>
        </w:rPr>
        <w:t>the</w:t>
      </w:r>
      <w:r w:rsidR="006360AB">
        <w:rPr>
          <w:color w:val="000000" w:themeColor="text1"/>
        </w:rPr>
        <w:t xml:space="preserve"> study</w:t>
      </w:r>
      <w:r w:rsidR="00172566" w:rsidRPr="7F2F8ECC">
        <w:rPr>
          <w:color w:val="000000" w:themeColor="text1"/>
        </w:rPr>
        <w:t xml:space="preserve"> findings </w:t>
      </w:r>
      <w:r w:rsidR="00681D44">
        <w:rPr>
          <w:color w:val="000000" w:themeColor="text1"/>
        </w:rPr>
        <w:t xml:space="preserve">due to </w:t>
      </w:r>
      <w:r w:rsidR="00172566" w:rsidRPr="7F2F8ECC">
        <w:rPr>
          <w:color w:val="000000" w:themeColor="text1"/>
        </w:rPr>
        <w:t xml:space="preserve">the </w:t>
      </w:r>
      <w:r w:rsidR="003E1DB1" w:rsidRPr="7F2F8ECC">
        <w:rPr>
          <w:color w:val="000000" w:themeColor="text1"/>
        </w:rPr>
        <w:t>small sample size</w:t>
      </w:r>
      <w:r w:rsidR="00A20060" w:rsidRPr="7F2F8ECC">
        <w:rPr>
          <w:color w:val="000000" w:themeColor="text1"/>
        </w:rPr>
        <w:t xml:space="preserve">. </w:t>
      </w:r>
      <w:r w:rsidR="0007605D">
        <w:rPr>
          <w:color w:val="000000" w:themeColor="text1"/>
        </w:rPr>
        <w:t>Finally,</w:t>
      </w:r>
      <w:r w:rsidR="00A20060" w:rsidRPr="7F2F8ECC">
        <w:rPr>
          <w:color w:val="000000" w:themeColor="text1"/>
        </w:rPr>
        <w:t xml:space="preserve"> </w:t>
      </w:r>
      <w:r w:rsidR="00681D44" w:rsidRPr="7F2F8ECC">
        <w:rPr>
          <w:color w:val="000000" w:themeColor="text1"/>
        </w:rPr>
        <w:t>the efficacy of the study blind was not assessed</w:t>
      </w:r>
      <w:r w:rsidR="00681D44">
        <w:rPr>
          <w:color w:val="000000" w:themeColor="text1"/>
        </w:rPr>
        <w:t xml:space="preserve">, </w:t>
      </w:r>
      <w:r w:rsidR="00051376">
        <w:rPr>
          <w:color w:val="000000" w:themeColor="text1"/>
        </w:rPr>
        <w:t xml:space="preserve">and </w:t>
      </w:r>
      <w:r w:rsidR="006360AB">
        <w:rPr>
          <w:color w:val="000000" w:themeColor="text1"/>
        </w:rPr>
        <w:t xml:space="preserve">the </w:t>
      </w:r>
      <w:r w:rsidR="00A20060" w:rsidRPr="7F2F8ECC">
        <w:rPr>
          <w:color w:val="000000" w:themeColor="text1"/>
        </w:rPr>
        <w:t>differences</w:t>
      </w:r>
      <w:r w:rsidR="006A540C">
        <w:rPr>
          <w:color w:val="000000" w:themeColor="text1"/>
        </w:rPr>
        <w:t xml:space="preserve"> in psychoactive effects </w:t>
      </w:r>
      <w:r w:rsidR="006A540C" w:rsidRPr="7F2F8ECC">
        <w:rPr>
          <w:color w:val="000000" w:themeColor="text1"/>
        </w:rPr>
        <w:t>across the study conditions</w:t>
      </w:r>
      <w:r w:rsidR="006A540C">
        <w:rPr>
          <w:color w:val="000000" w:themeColor="text1"/>
        </w:rPr>
        <w:t xml:space="preserve"> </w:t>
      </w:r>
      <w:r w:rsidR="00A20060" w:rsidRPr="7F2F8ECC">
        <w:rPr>
          <w:color w:val="000000" w:themeColor="text1"/>
        </w:rPr>
        <w:t>were</w:t>
      </w:r>
      <w:r w:rsidR="006360AB">
        <w:rPr>
          <w:color w:val="000000" w:themeColor="text1"/>
        </w:rPr>
        <w:t xml:space="preserve"> potentially</w:t>
      </w:r>
      <w:r w:rsidR="003E1DB1" w:rsidRPr="7F2F8ECC">
        <w:rPr>
          <w:color w:val="000000" w:themeColor="text1"/>
        </w:rPr>
        <w:t xml:space="preserve"> </w:t>
      </w:r>
      <w:r w:rsidR="006360AB">
        <w:rPr>
          <w:color w:val="000000" w:themeColor="text1"/>
        </w:rPr>
        <w:t xml:space="preserve">discernible </w:t>
      </w:r>
      <w:r w:rsidR="006360AB" w:rsidRPr="7F2F8ECC">
        <w:rPr>
          <w:color w:val="000000" w:themeColor="text1"/>
        </w:rPr>
        <w:t>(e.g., high THC vs. placebo)</w:t>
      </w:r>
      <w:r w:rsidR="004E73F2">
        <w:rPr>
          <w:color w:val="000000" w:themeColor="text1"/>
        </w:rPr>
        <w:t xml:space="preserve">, which may have influenced </w:t>
      </w:r>
      <w:r w:rsidR="007801BB">
        <w:rPr>
          <w:color w:val="000000" w:themeColor="text1"/>
        </w:rPr>
        <w:t>participant</w:t>
      </w:r>
      <w:r w:rsidR="00E91DB1">
        <w:rPr>
          <w:color w:val="000000" w:themeColor="text1"/>
        </w:rPr>
        <w:t>’</w:t>
      </w:r>
      <w:r w:rsidR="007801BB">
        <w:rPr>
          <w:color w:val="000000" w:themeColor="text1"/>
        </w:rPr>
        <w:t xml:space="preserve">s </w:t>
      </w:r>
      <w:r w:rsidR="004E73F2">
        <w:rPr>
          <w:color w:val="000000" w:themeColor="text1"/>
        </w:rPr>
        <w:t>responses to the self-reported outcome measures</w:t>
      </w:r>
      <w:r w:rsidR="00462193" w:rsidRPr="7F2F8ECC">
        <w:rPr>
          <w:color w:val="000000" w:themeColor="text1"/>
        </w:rPr>
        <w:t>.</w:t>
      </w:r>
    </w:p>
    <w:p w14:paraId="47C6835A" w14:textId="0F3FA169" w:rsidR="003E1DB1" w:rsidRDefault="00245013" w:rsidP="00313961">
      <w:pPr>
        <w:pStyle w:val="Heading2"/>
      </w:pPr>
      <w:bookmarkStart w:id="223" w:name="_Toc101536666"/>
      <w:bookmarkStart w:id="224" w:name="_Toc103944895"/>
      <w:bookmarkStart w:id="225" w:name="_Toc121096104"/>
      <w:bookmarkStart w:id="226" w:name="_Toc165018212"/>
      <w:r>
        <w:t>Anxiety d</w:t>
      </w:r>
      <w:r w:rsidR="003E1DB1" w:rsidRPr="009B4D43">
        <w:t>isorders: Combined intervention</w:t>
      </w:r>
      <w:bookmarkEnd w:id="222"/>
      <w:bookmarkEnd w:id="223"/>
      <w:bookmarkEnd w:id="224"/>
      <w:bookmarkEnd w:id="225"/>
      <w:bookmarkEnd w:id="226"/>
    </w:p>
    <w:p w14:paraId="4E1919DB" w14:textId="1D803270" w:rsidR="00FB3560" w:rsidRPr="00E04238" w:rsidRDefault="00FB3560" w:rsidP="00FB3560">
      <w:pPr>
        <w:jc w:val="both"/>
      </w:pPr>
      <w:r w:rsidRPr="00E04238">
        <w:t xml:space="preserve">No studies </w:t>
      </w:r>
      <w:r>
        <w:t xml:space="preserve">included in the REA </w:t>
      </w:r>
      <w:r w:rsidRPr="00E04238">
        <w:t xml:space="preserve">examined a </w:t>
      </w:r>
      <w:r>
        <w:t>combined medicinal cannabis</w:t>
      </w:r>
      <w:r w:rsidRPr="00E04238">
        <w:t xml:space="preserve"> intervention for </w:t>
      </w:r>
      <w:r>
        <w:t>anxiety disorders.</w:t>
      </w:r>
    </w:p>
    <w:p w14:paraId="04DEFD5D" w14:textId="74BB2375" w:rsidR="003E1DB1" w:rsidRDefault="00245013" w:rsidP="00313961">
      <w:pPr>
        <w:pStyle w:val="Heading2"/>
      </w:pPr>
      <w:bookmarkStart w:id="227" w:name="_Toc101536667"/>
      <w:bookmarkStart w:id="228" w:name="_Toc103944896"/>
      <w:bookmarkStart w:id="229" w:name="_Toc121096105"/>
      <w:bookmarkStart w:id="230" w:name="_Toc165018213"/>
      <w:bookmarkStart w:id="231" w:name="_Toc99653056"/>
      <w:r>
        <w:t>Mood or depressive d</w:t>
      </w:r>
      <w:r w:rsidR="003E1DB1" w:rsidRPr="009B4D43">
        <w:t>isorders</w:t>
      </w:r>
      <w:bookmarkEnd w:id="227"/>
      <w:r>
        <w:t>:</w:t>
      </w:r>
      <w:r w:rsidR="003E1DB1" w:rsidRPr="006B10E1">
        <w:t xml:space="preserve"> </w:t>
      </w:r>
      <w:r w:rsidR="00E131BF">
        <w:t>Standalone</w:t>
      </w:r>
      <w:r w:rsidR="003E1DB1" w:rsidRPr="009B4D43">
        <w:t xml:space="preserve"> </w:t>
      </w:r>
      <w:r w:rsidR="003E1DB1">
        <w:t xml:space="preserve">and combined </w:t>
      </w:r>
      <w:r w:rsidR="003E1DB1" w:rsidRPr="009B4D43">
        <w:t>interventions</w:t>
      </w:r>
      <w:bookmarkEnd w:id="228"/>
      <w:bookmarkEnd w:id="229"/>
      <w:bookmarkEnd w:id="230"/>
    </w:p>
    <w:bookmarkEnd w:id="231"/>
    <w:p w14:paraId="79AA9E9D" w14:textId="6CD10E4D" w:rsidR="003E1DB1" w:rsidRDefault="00FB3560" w:rsidP="003E1DB1">
      <w:pPr>
        <w:jc w:val="both"/>
      </w:pPr>
      <w:r w:rsidRPr="00E04238">
        <w:t xml:space="preserve">No studies </w:t>
      </w:r>
      <w:r>
        <w:t xml:space="preserve">included in the REA </w:t>
      </w:r>
      <w:r w:rsidRPr="00E04238">
        <w:t xml:space="preserve">examined a </w:t>
      </w:r>
      <w:r>
        <w:t>standalone or combined medicinal cannabis</w:t>
      </w:r>
      <w:r w:rsidRPr="00E04238">
        <w:t xml:space="preserve"> intervention for </w:t>
      </w:r>
      <w:r w:rsidR="003E1DB1">
        <w:t>mood/depressive</w:t>
      </w:r>
      <w:r w:rsidR="003E1DB1" w:rsidRPr="00E04238">
        <w:t xml:space="preserve"> disorders. </w:t>
      </w:r>
    </w:p>
    <w:p w14:paraId="2193F854" w14:textId="2CCF5994" w:rsidR="003E1DB1" w:rsidRDefault="00245013" w:rsidP="00313961">
      <w:pPr>
        <w:pStyle w:val="Heading2"/>
      </w:pPr>
      <w:bookmarkStart w:id="232" w:name="_Hlk103079795"/>
      <w:bookmarkStart w:id="233" w:name="_Toc99653057"/>
      <w:bookmarkStart w:id="234" w:name="_Toc101536668"/>
      <w:bookmarkStart w:id="235" w:name="_Toc103944897"/>
      <w:bookmarkStart w:id="236" w:name="_Toc121096106"/>
      <w:bookmarkStart w:id="237" w:name="_Toc165018214"/>
      <w:r>
        <w:t>Substance-related and addictive d</w:t>
      </w:r>
      <w:r w:rsidR="003E1DB1" w:rsidRPr="009B4D43">
        <w:t>isorders</w:t>
      </w:r>
      <w:bookmarkEnd w:id="232"/>
      <w:r w:rsidR="003E1DB1" w:rsidRPr="009B4D43">
        <w:t xml:space="preserve">: </w:t>
      </w:r>
      <w:r w:rsidR="00E131BF">
        <w:t>Standalone</w:t>
      </w:r>
      <w:r w:rsidR="003E1DB1" w:rsidRPr="009B4D43">
        <w:t xml:space="preserve"> interventions</w:t>
      </w:r>
      <w:bookmarkEnd w:id="233"/>
      <w:bookmarkEnd w:id="234"/>
      <w:bookmarkEnd w:id="235"/>
      <w:bookmarkEnd w:id="236"/>
      <w:bookmarkEnd w:id="237"/>
    </w:p>
    <w:p w14:paraId="44AA7BC4" w14:textId="035BD106" w:rsidR="003E1DB1" w:rsidRPr="00A22A69" w:rsidRDefault="003E1DB1" w:rsidP="00F62917">
      <w:pPr>
        <w:jc w:val="both"/>
      </w:pPr>
      <w:r>
        <w:t xml:space="preserve">Three studies examined a </w:t>
      </w:r>
      <w:r w:rsidR="00E131BF">
        <w:t>standalone</w:t>
      </w:r>
      <w:r>
        <w:t xml:space="preserve"> medicinal cannabis intervention in participants with substance-related disorders (</w:t>
      </w:r>
      <w:r w:rsidRPr="548414C3">
        <w:t xml:space="preserve">Schlienz et al., 2018; </w:t>
      </w:r>
      <w:r w:rsidR="6A3D716A" w:rsidRPr="548414C3">
        <w:t xml:space="preserve">Hurd et al., 2019; </w:t>
      </w:r>
      <w:r w:rsidRPr="548414C3">
        <w:t>Hindocha</w:t>
      </w:r>
      <w:r w:rsidR="00850028" w:rsidRPr="548414C3">
        <w:t xml:space="preserve"> </w:t>
      </w:r>
      <w:r w:rsidRPr="548414C3">
        <w:t xml:space="preserve">et al., 2018). </w:t>
      </w:r>
    </w:p>
    <w:p w14:paraId="4B144DB1" w14:textId="4C72CC6F" w:rsidR="003E1DB1" w:rsidRPr="00F62917" w:rsidRDefault="003E1DB1" w:rsidP="005E012E">
      <w:pPr>
        <w:tabs>
          <w:tab w:val="left" w:pos="632"/>
          <w:tab w:val="left" w:pos="5070"/>
          <w:tab w:val="left" w:pos="7621"/>
          <w:tab w:val="left" w:pos="9747"/>
        </w:tabs>
        <w:jc w:val="both"/>
      </w:pPr>
      <w:r w:rsidRPr="002D2009">
        <w:t>Schlienz</w:t>
      </w:r>
      <w:r w:rsidR="00E57D1D" w:rsidRPr="002D2009">
        <w:t xml:space="preserve"> and colleagues (2018; </w:t>
      </w:r>
      <w:r w:rsidR="00E57D1D" w:rsidRPr="002D2009">
        <w:rPr>
          <w:i/>
          <w:iCs/>
        </w:rPr>
        <w:t>n =</w:t>
      </w:r>
      <w:r w:rsidR="00E57D1D" w:rsidRPr="002D2009">
        <w:t xml:space="preserve"> 1</w:t>
      </w:r>
      <w:r w:rsidR="00317D09">
        <w:t>6</w:t>
      </w:r>
      <w:r w:rsidR="00E57D1D" w:rsidRPr="002D2009">
        <w:t xml:space="preserve">) recruited participants with a </w:t>
      </w:r>
      <w:r w:rsidR="00FA44F4" w:rsidRPr="002D2009">
        <w:t>c</w:t>
      </w:r>
      <w:r w:rsidR="00E57D1D" w:rsidRPr="002D2009">
        <w:t>annabis use disorder (</w:t>
      </w:r>
      <w:r w:rsidR="00FA44F4" w:rsidRPr="002D2009">
        <w:t xml:space="preserve">defined as </w:t>
      </w:r>
      <w:r w:rsidR="007453A0">
        <w:t xml:space="preserve">self-reported </w:t>
      </w:r>
      <w:r w:rsidR="007453A0" w:rsidRPr="002D2009">
        <w:t xml:space="preserve">cannabis use </w:t>
      </w:r>
      <w:r w:rsidR="007453A0">
        <w:t xml:space="preserve">for </w:t>
      </w:r>
      <w:r w:rsidR="00FA44F4" w:rsidRPr="002D2009">
        <w:t>a m</w:t>
      </w:r>
      <w:r w:rsidR="00E57D1D" w:rsidRPr="002D2009">
        <w:t xml:space="preserve">inimum of 25 days per month in the past year) from </w:t>
      </w:r>
      <w:r w:rsidR="00FA44F4" w:rsidRPr="002D2009">
        <w:t xml:space="preserve">the community (via </w:t>
      </w:r>
      <w:r w:rsidR="00E57D1D" w:rsidRPr="002D2009">
        <w:t>flyers and newspaper advertisements</w:t>
      </w:r>
      <w:r w:rsidR="00FA44F4" w:rsidRPr="002D2009">
        <w:t>)</w:t>
      </w:r>
      <w:r w:rsidR="00E57D1D" w:rsidRPr="002D2009">
        <w:t xml:space="preserve">. </w:t>
      </w:r>
      <w:r w:rsidR="00AF4D60" w:rsidRPr="002D2009">
        <w:t>Ten</w:t>
      </w:r>
      <w:r w:rsidR="00AF4D60">
        <w:t xml:space="preserve"> </w:t>
      </w:r>
      <w:r w:rsidR="00AF4D60" w:rsidRPr="002D2009">
        <w:t xml:space="preserve">participants met </w:t>
      </w:r>
      <w:r w:rsidR="00D53F40">
        <w:t xml:space="preserve">DSM-IV </w:t>
      </w:r>
      <w:r w:rsidR="00AF4D60" w:rsidRPr="002D2009">
        <w:t xml:space="preserve">criteria for cannabis dependence. </w:t>
      </w:r>
      <w:r w:rsidR="007B08B1">
        <w:t>P</w:t>
      </w:r>
      <w:r w:rsidR="007B08B1" w:rsidRPr="002D2009">
        <w:t>articipants were not treatment</w:t>
      </w:r>
      <w:r w:rsidR="000B3195">
        <w:t xml:space="preserve"> </w:t>
      </w:r>
      <w:r w:rsidR="007B08B1" w:rsidRPr="002D2009">
        <w:t xml:space="preserve">seeking </w:t>
      </w:r>
      <w:r w:rsidR="000B3195">
        <w:t>(</w:t>
      </w:r>
      <w:r w:rsidR="007B08B1" w:rsidRPr="002D2009">
        <w:t>or otherwise motivated to abstain from cannabis use</w:t>
      </w:r>
      <w:r w:rsidR="000B3195">
        <w:t xml:space="preserve"> e</w:t>
      </w:r>
      <w:r w:rsidR="00873F65">
        <w:t>xcept</w:t>
      </w:r>
      <w:r w:rsidR="005F18C5">
        <w:t xml:space="preserve"> for</w:t>
      </w:r>
      <w:r w:rsidR="007B08B1" w:rsidRPr="002D2009">
        <w:t xml:space="preserve"> the behavioural or monetary costs incurred as part of the study</w:t>
      </w:r>
      <w:r w:rsidR="00B364F8">
        <w:t>)</w:t>
      </w:r>
      <w:r w:rsidR="007B08B1" w:rsidRPr="002D2009">
        <w:t xml:space="preserve">. </w:t>
      </w:r>
      <w:r w:rsidR="00F6480D" w:rsidRPr="00F6480D">
        <w:t>Once the maximum dronabinol dose was determined</w:t>
      </w:r>
      <w:r w:rsidR="007E0B63">
        <w:t>;</w:t>
      </w:r>
      <w:r w:rsidR="00F6480D" w:rsidRPr="00F6480D">
        <w:t xml:space="preserve"> all participants received three oral capsules per day for three</w:t>
      </w:r>
      <w:r w:rsidR="00064D76">
        <w:t xml:space="preserve"> (</w:t>
      </w:r>
      <w:r w:rsidR="00F6480D" w:rsidRPr="00F6480D">
        <w:t>12-day</w:t>
      </w:r>
      <w:r w:rsidR="004552F0">
        <w:t>)</w:t>
      </w:r>
      <w:r w:rsidR="00F6480D" w:rsidRPr="00F6480D">
        <w:t xml:space="preserve"> dronabinol maintenance </w:t>
      </w:r>
      <w:r w:rsidR="007F4E71">
        <w:t>conditions</w:t>
      </w:r>
      <w:r w:rsidR="00F6480D" w:rsidRPr="00F6480D">
        <w:t xml:space="preserve"> in a crossover design (with dose order counterbalanced across participants)</w:t>
      </w:r>
      <w:r w:rsidR="00374BF9">
        <w:rPr>
          <w:rFonts w:cstheme="minorHAnsi"/>
          <w:color w:val="000000"/>
          <w:szCs w:val="20"/>
        </w:rPr>
        <w:t>:</w:t>
      </w:r>
      <w:r w:rsidR="007203DE">
        <w:rPr>
          <w:rFonts w:cstheme="minorHAnsi"/>
          <w:color w:val="000000"/>
          <w:szCs w:val="20"/>
        </w:rPr>
        <w:t xml:space="preserve"> </w:t>
      </w:r>
      <w:r w:rsidR="00FA44F4" w:rsidRPr="002D2009">
        <w:t>(i</w:t>
      </w:r>
      <w:r w:rsidR="00E57D1D" w:rsidRPr="002D2009">
        <w:t>) low-dose dronabinol (120</w:t>
      </w:r>
      <w:r w:rsidR="009D01FE">
        <w:t xml:space="preserve"> mg</w:t>
      </w:r>
      <w:r w:rsidR="00E57D1D" w:rsidRPr="002D2009">
        <w:t>/</w:t>
      </w:r>
      <w:r w:rsidR="00FA44F4" w:rsidRPr="002D2009">
        <w:t>day; 40</w:t>
      </w:r>
      <w:r w:rsidR="009D01FE">
        <w:t xml:space="preserve"> mg</w:t>
      </w:r>
      <w:r w:rsidR="00FA44F4" w:rsidRPr="002D2009">
        <w:t xml:space="preserve"> three times </w:t>
      </w:r>
      <w:r w:rsidR="00833096">
        <w:t>per day</w:t>
      </w:r>
      <w:r w:rsidR="00FA44F4" w:rsidRPr="002D2009">
        <w:t>)</w:t>
      </w:r>
      <w:r w:rsidR="00163E0C">
        <w:t>;</w:t>
      </w:r>
      <w:r w:rsidR="00FA44F4" w:rsidRPr="002D2009">
        <w:t xml:space="preserve"> (ii</w:t>
      </w:r>
      <w:r w:rsidR="00E57D1D" w:rsidRPr="002D2009">
        <w:t>) high-dose dronabinol (180</w:t>
      </w:r>
      <w:r w:rsidR="00252BDA">
        <w:t xml:space="preserve"> to </w:t>
      </w:r>
      <w:r w:rsidR="00E57D1D" w:rsidRPr="002D2009">
        <w:t>240</w:t>
      </w:r>
      <w:r w:rsidR="009D01FE">
        <w:t xml:space="preserve"> mg</w:t>
      </w:r>
      <w:r w:rsidR="00E57D1D" w:rsidRPr="002D2009">
        <w:t>/day; 60</w:t>
      </w:r>
      <w:r w:rsidR="00842CC6">
        <w:t xml:space="preserve"> to </w:t>
      </w:r>
      <w:r w:rsidR="00FA44F4" w:rsidRPr="002D2009">
        <w:t>80</w:t>
      </w:r>
      <w:r w:rsidR="009D01FE">
        <w:t xml:space="preserve"> mg</w:t>
      </w:r>
      <w:r w:rsidR="00FA44F4" w:rsidRPr="002D2009">
        <w:t xml:space="preserve"> three times </w:t>
      </w:r>
      <w:r w:rsidR="00833096">
        <w:t>per day</w:t>
      </w:r>
      <w:r w:rsidR="00FA44F4" w:rsidRPr="002D2009">
        <w:t>)</w:t>
      </w:r>
      <w:r w:rsidR="00163E0C">
        <w:t>;</w:t>
      </w:r>
      <w:r w:rsidR="00FA44F4" w:rsidRPr="002D2009">
        <w:t xml:space="preserve"> and (iii</w:t>
      </w:r>
      <w:r w:rsidR="00E57D1D" w:rsidRPr="002D2009">
        <w:t>)</w:t>
      </w:r>
      <w:r w:rsidR="00107887">
        <w:t xml:space="preserve"> matched </w:t>
      </w:r>
      <w:r w:rsidR="00FA44F4" w:rsidRPr="002D2009">
        <w:t>placebo</w:t>
      </w:r>
      <w:r w:rsidR="00397CD5">
        <w:t xml:space="preserve"> (three times </w:t>
      </w:r>
      <w:r w:rsidR="00833096">
        <w:t>per day</w:t>
      </w:r>
      <w:r w:rsidR="00B364F8">
        <w:t>)</w:t>
      </w:r>
      <w:r w:rsidR="00E57D1D" w:rsidRPr="002D2009">
        <w:t xml:space="preserve">. </w:t>
      </w:r>
      <w:r w:rsidR="00107887">
        <w:t>T</w:t>
      </w:r>
      <w:r w:rsidR="002D2009">
        <w:t>he</w:t>
      </w:r>
      <w:r w:rsidR="00107887">
        <w:t xml:space="preserve"> authors did not employ washout </w:t>
      </w:r>
      <w:r w:rsidR="00107887" w:rsidRPr="002D2009">
        <w:t xml:space="preserve">periods </w:t>
      </w:r>
      <w:r w:rsidR="00107887">
        <w:t>between the three study conditions stating</w:t>
      </w:r>
      <w:r w:rsidR="004A77BB">
        <w:t>:</w:t>
      </w:r>
      <w:r w:rsidR="00107887">
        <w:t xml:space="preserve"> “</w:t>
      </w:r>
      <w:r w:rsidR="00FA211B" w:rsidRPr="00FA211B">
        <w:t>the behavioral effects of dronabinol tend to abate after approximately four to six hours and withdrawal effects begin to onset within 24 hours of abstinence</w:t>
      </w:r>
      <w:r w:rsidR="00FA211B">
        <w:t>”</w:t>
      </w:r>
      <w:r w:rsidR="00107887">
        <w:t xml:space="preserve"> (Schlienz</w:t>
      </w:r>
      <w:r w:rsidR="006A62E0">
        <w:t xml:space="preserve"> et al.</w:t>
      </w:r>
      <w:r w:rsidR="00107887">
        <w:t>, 2018</w:t>
      </w:r>
      <w:r w:rsidR="00FA211B">
        <w:t>, p</w:t>
      </w:r>
      <w:r w:rsidR="00FA211B" w:rsidRPr="004C3931">
        <w:t>. 255</w:t>
      </w:r>
      <w:r w:rsidR="00107887" w:rsidRPr="004C3931">
        <w:t>)</w:t>
      </w:r>
      <w:r w:rsidR="002D2009" w:rsidRPr="004C3931">
        <w:t>.</w:t>
      </w:r>
      <w:r w:rsidR="002D2009" w:rsidRPr="002D2009">
        <w:t xml:space="preserve"> </w:t>
      </w:r>
      <w:r w:rsidR="00E57D1D" w:rsidRPr="002D2009">
        <w:t xml:space="preserve">Participants who were undergoing treatment with psychoactive medications were not included in the study. </w:t>
      </w:r>
      <w:r w:rsidR="00245013" w:rsidRPr="002D2009">
        <w:rPr>
          <w:rFonts w:cstheme="minorHAnsi"/>
          <w:color w:val="000000"/>
          <w:szCs w:val="20"/>
        </w:rPr>
        <w:t xml:space="preserve">During each </w:t>
      </w:r>
      <w:r w:rsidR="0062635C">
        <w:rPr>
          <w:rFonts w:cstheme="minorHAnsi"/>
          <w:color w:val="000000"/>
          <w:szCs w:val="20"/>
        </w:rPr>
        <w:t xml:space="preserve">of the three </w:t>
      </w:r>
      <w:r w:rsidR="007F4E71">
        <w:rPr>
          <w:rFonts w:cstheme="minorHAnsi"/>
          <w:color w:val="000000"/>
          <w:szCs w:val="20"/>
        </w:rPr>
        <w:t>(</w:t>
      </w:r>
      <w:r w:rsidR="003A1435" w:rsidRPr="002D2009">
        <w:rPr>
          <w:rFonts w:cstheme="minorHAnsi"/>
          <w:color w:val="000000"/>
          <w:szCs w:val="20"/>
        </w:rPr>
        <w:t>12-day</w:t>
      </w:r>
      <w:r w:rsidR="007F4E71">
        <w:rPr>
          <w:rFonts w:cstheme="minorHAnsi"/>
          <w:color w:val="000000"/>
          <w:szCs w:val="20"/>
        </w:rPr>
        <w:t>)</w:t>
      </w:r>
      <w:r w:rsidR="00DE1D6F">
        <w:rPr>
          <w:rFonts w:cstheme="minorHAnsi"/>
          <w:color w:val="000000"/>
          <w:szCs w:val="20"/>
        </w:rPr>
        <w:t xml:space="preserve"> study</w:t>
      </w:r>
      <w:r w:rsidR="003A1435" w:rsidRPr="002D2009">
        <w:rPr>
          <w:rFonts w:cstheme="minorHAnsi"/>
          <w:color w:val="000000"/>
          <w:szCs w:val="20"/>
        </w:rPr>
        <w:t xml:space="preserve"> </w:t>
      </w:r>
      <w:r w:rsidR="002B6C18">
        <w:rPr>
          <w:rFonts w:cstheme="minorHAnsi"/>
          <w:color w:val="000000"/>
          <w:szCs w:val="20"/>
        </w:rPr>
        <w:t>conditions</w:t>
      </w:r>
      <w:r w:rsidR="00245013" w:rsidRPr="002D2009">
        <w:rPr>
          <w:rFonts w:cstheme="minorHAnsi"/>
          <w:color w:val="000000"/>
          <w:szCs w:val="20"/>
        </w:rPr>
        <w:t xml:space="preserve">, participants could self-administer cannabis </w:t>
      </w:r>
      <w:r w:rsidR="003A1435" w:rsidRPr="002D2009">
        <w:rPr>
          <w:rFonts w:cstheme="minorHAnsi"/>
          <w:color w:val="000000"/>
          <w:szCs w:val="20"/>
        </w:rPr>
        <w:t>under</w:t>
      </w:r>
      <w:r w:rsidR="00245013" w:rsidRPr="002D2009">
        <w:rPr>
          <w:rFonts w:cstheme="minorHAnsi"/>
          <w:color w:val="000000"/>
          <w:szCs w:val="20"/>
        </w:rPr>
        <w:t xml:space="preserve"> four </w:t>
      </w:r>
      <w:r w:rsidR="001905FD">
        <w:rPr>
          <w:rFonts w:cstheme="minorHAnsi"/>
          <w:color w:val="000000"/>
          <w:szCs w:val="20"/>
        </w:rPr>
        <w:t>access</w:t>
      </w:r>
      <w:r w:rsidR="00245013" w:rsidRPr="002D2009">
        <w:rPr>
          <w:rFonts w:cstheme="minorHAnsi"/>
          <w:color w:val="000000"/>
          <w:szCs w:val="20"/>
        </w:rPr>
        <w:t xml:space="preserve"> conditions: (i) progressive</w:t>
      </w:r>
      <w:r w:rsidR="00051864">
        <w:rPr>
          <w:rFonts w:cstheme="minorHAnsi"/>
          <w:color w:val="000000"/>
          <w:szCs w:val="20"/>
        </w:rPr>
        <w:t>-</w:t>
      </w:r>
      <w:r w:rsidR="00245013" w:rsidRPr="002D2009">
        <w:rPr>
          <w:rFonts w:cstheme="minorHAnsi"/>
          <w:color w:val="000000"/>
          <w:szCs w:val="20"/>
        </w:rPr>
        <w:t>ratio access to smoked</w:t>
      </w:r>
      <w:r w:rsidR="007D589D">
        <w:rPr>
          <w:rFonts w:cstheme="minorHAnsi"/>
          <w:color w:val="000000"/>
          <w:szCs w:val="20"/>
        </w:rPr>
        <w:t>, active (</w:t>
      </w:r>
      <w:r w:rsidR="00245013" w:rsidRPr="002D2009">
        <w:rPr>
          <w:rFonts w:cstheme="minorHAnsi"/>
          <w:color w:val="000000"/>
          <w:szCs w:val="20"/>
        </w:rPr>
        <w:t>5.7% THC</w:t>
      </w:r>
      <w:r w:rsidR="007D589D">
        <w:rPr>
          <w:rFonts w:cstheme="minorHAnsi"/>
          <w:color w:val="000000"/>
          <w:szCs w:val="20"/>
        </w:rPr>
        <w:t>)</w:t>
      </w:r>
      <w:r w:rsidR="00245013" w:rsidRPr="002D2009">
        <w:rPr>
          <w:rFonts w:cstheme="minorHAnsi"/>
          <w:color w:val="000000"/>
          <w:szCs w:val="20"/>
        </w:rPr>
        <w:t xml:space="preserve"> cannabis (3 days); (ii) progressive</w:t>
      </w:r>
      <w:r w:rsidR="00051864">
        <w:rPr>
          <w:rFonts w:cstheme="minorHAnsi"/>
          <w:color w:val="000000"/>
          <w:szCs w:val="20"/>
        </w:rPr>
        <w:t>-</w:t>
      </w:r>
      <w:r w:rsidR="00245013" w:rsidRPr="002D2009">
        <w:rPr>
          <w:rFonts w:cstheme="minorHAnsi"/>
          <w:color w:val="000000"/>
          <w:szCs w:val="20"/>
        </w:rPr>
        <w:t>ratio access to smoked</w:t>
      </w:r>
      <w:r w:rsidR="007D589D">
        <w:rPr>
          <w:rFonts w:cstheme="minorHAnsi"/>
          <w:color w:val="000000"/>
          <w:szCs w:val="20"/>
        </w:rPr>
        <w:t>,</w:t>
      </w:r>
      <w:r w:rsidR="003A1435" w:rsidRPr="002D2009">
        <w:rPr>
          <w:rFonts w:cstheme="minorHAnsi"/>
          <w:color w:val="000000"/>
          <w:szCs w:val="20"/>
        </w:rPr>
        <w:t xml:space="preserve"> </w:t>
      </w:r>
      <w:r w:rsidR="00245013" w:rsidRPr="002D2009">
        <w:rPr>
          <w:rFonts w:cstheme="minorHAnsi"/>
          <w:color w:val="000000"/>
          <w:szCs w:val="20"/>
        </w:rPr>
        <w:t>placebo</w:t>
      </w:r>
      <w:r w:rsidR="007D589D">
        <w:rPr>
          <w:rFonts w:cstheme="minorHAnsi"/>
          <w:color w:val="000000"/>
          <w:szCs w:val="20"/>
        </w:rPr>
        <w:t xml:space="preserve"> (</w:t>
      </w:r>
      <w:r w:rsidR="007D589D" w:rsidRPr="002D2009">
        <w:rPr>
          <w:rFonts w:cstheme="minorHAnsi"/>
          <w:color w:val="000000"/>
          <w:szCs w:val="20"/>
        </w:rPr>
        <w:t>&lt; 1% THC</w:t>
      </w:r>
      <w:r w:rsidR="003A1435" w:rsidRPr="002D2009">
        <w:rPr>
          <w:rFonts w:cstheme="minorHAnsi"/>
          <w:color w:val="000000"/>
          <w:szCs w:val="20"/>
        </w:rPr>
        <w:t>)</w:t>
      </w:r>
      <w:r w:rsidR="00245013" w:rsidRPr="002D2009">
        <w:rPr>
          <w:rFonts w:cstheme="minorHAnsi"/>
          <w:color w:val="000000"/>
          <w:szCs w:val="20"/>
        </w:rPr>
        <w:t xml:space="preserve"> cannabis (3 days); (iii) forced-choice between smoked</w:t>
      </w:r>
      <w:r w:rsidR="007D589D">
        <w:rPr>
          <w:rFonts w:cstheme="minorHAnsi"/>
          <w:color w:val="000000"/>
          <w:szCs w:val="20"/>
        </w:rPr>
        <w:t>, active (</w:t>
      </w:r>
      <w:r w:rsidR="00245013" w:rsidRPr="002D2009">
        <w:rPr>
          <w:rFonts w:cstheme="minorHAnsi"/>
          <w:color w:val="000000"/>
          <w:szCs w:val="20"/>
        </w:rPr>
        <w:t>5.7% THC</w:t>
      </w:r>
      <w:r w:rsidR="007D589D">
        <w:rPr>
          <w:rFonts w:cstheme="minorHAnsi"/>
          <w:color w:val="000000"/>
          <w:szCs w:val="20"/>
        </w:rPr>
        <w:t>)</w:t>
      </w:r>
      <w:r w:rsidR="00245013" w:rsidRPr="002D2009">
        <w:rPr>
          <w:rFonts w:cstheme="minorHAnsi"/>
          <w:color w:val="000000"/>
          <w:szCs w:val="20"/>
        </w:rPr>
        <w:t xml:space="preserve"> cannabis or receiving money (3 days); and (iv) forced-choice between smoked</w:t>
      </w:r>
      <w:r w:rsidR="007D589D">
        <w:rPr>
          <w:rFonts w:cstheme="minorHAnsi"/>
          <w:color w:val="000000"/>
          <w:szCs w:val="20"/>
        </w:rPr>
        <w:t>, placebo (</w:t>
      </w:r>
      <w:r w:rsidR="003A1435" w:rsidRPr="002D2009">
        <w:rPr>
          <w:rFonts w:cstheme="minorHAnsi"/>
          <w:color w:val="000000"/>
          <w:szCs w:val="20"/>
        </w:rPr>
        <w:t>&lt; 1% THC)</w:t>
      </w:r>
      <w:r w:rsidR="00245013" w:rsidRPr="002D2009">
        <w:rPr>
          <w:rFonts w:cstheme="minorHAnsi"/>
          <w:color w:val="000000"/>
          <w:szCs w:val="20"/>
        </w:rPr>
        <w:t xml:space="preserve"> cannabis or receiving money (3 days). </w:t>
      </w:r>
      <w:r w:rsidR="001905FD" w:rsidRPr="001905FD">
        <w:rPr>
          <w:rFonts w:cstheme="minorHAnsi"/>
          <w:color w:val="000000"/>
          <w:szCs w:val="20"/>
        </w:rPr>
        <w:t>Cannabis type (</w:t>
      </w:r>
      <w:r w:rsidR="001905FD">
        <w:rPr>
          <w:rFonts w:cstheme="minorHAnsi"/>
          <w:color w:val="000000"/>
          <w:szCs w:val="20"/>
        </w:rPr>
        <w:t>active</w:t>
      </w:r>
      <w:r w:rsidR="0047628A">
        <w:rPr>
          <w:rFonts w:cstheme="minorHAnsi"/>
          <w:color w:val="000000"/>
          <w:szCs w:val="20"/>
        </w:rPr>
        <w:t xml:space="preserve"> </w:t>
      </w:r>
      <w:r w:rsidR="001905FD">
        <w:rPr>
          <w:rFonts w:cstheme="minorHAnsi"/>
          <w:color w:val="000000"/>
          <w:szCs w:val="20"/>
        </w:rPr>
        <w:t>vs. placebo</w:t>
      </w:r>
      <w:r w:rsidR="001905FD" w:rsidRPr="001905FD">
        <w:rPr>
          <w:rFonts w:cstheme="minorHAnsi"/>
          <w:color w:val="000000"/>
          <w:szCs w:val="20"/>
        </w:rPr>
        <w:t>) and access condition (progressive</w:t>
      </w:r>
      <w:r w:rsidR="00130E8F">
        <w:rPr>
          <w:rFonts w:cstheme="minorHAnsi"/>
          <w:color w:val="000000"/>
          <w:szCs w:val="20"/>
        </w:rPr>
        <w:t>-</w:t>
      </w:r>
      <w:r w:rsidR="001905FD" w:rsidRPr="001905FD">
        <w:rPr>
          <w:rFonts w:cstheme="minorHAnsi"/>
          <w:color w:val="000000"/>
          <w:szCs w:val="20"/>
        </w:rPr>
        <w:t>ratio</w:t>
      </w:r>
      <w:r w:rsidR="001905FD">
        <w:rPr>
          <w:rFonts w:cstheme="minorHAnsi"/>
          <w:color w:val="000000"/>
          <w:szCs w:val="20"/>
        </w:rPr>
        <w:t xml:space="preserve"> vs.</w:t>
      </w:r>
      <w:r w:rsidR="001905FD" w:rsidRPr="001905FD">
        <w:rPr>
          <w:rFonts w:cstheme="minorHAnsi"/>
          <w:color w:val="000000"/>
          <w:szCs w:val="20"/>
        </w:rPr>
        <w:t xml:space="preserve"> forced-choice) were randomly assigned for each day</w:t>
      </w:r>
      <w:r w:rsidR="0047628A">
        <w:rPr>
          <w:rFonts w:cstheme="minorHAnsi"/>
          <w:color w:val="000000"/>
          <w:szCs w:val="20"/>
        </w:rPr>
        <w:t xml:space="preserve">, as was the </w:t>
      </w:r>
      <w:r w:rsidR="001905FD" w:rsidRPr="001905FD">
        <w:rPr>
          <w:rFonts w:cstheme="minorHAnsi"/>
          <w:color w:val="000000"/>
          <w:szCs w:val="20"/>
        </w:rPr>
        <w:t>order in which they occurred</w:t>
      </w:r>
      <w:r w:rsidR="0047628A">
        <w:rPr>
          <w:rFonts w:cstheme="minorHAnsi"/>
          <w:color w:val="000000"/>
          <w:szCs w:val="20"/>
        </w:rPr>
        <w:t xml:space="preserve"> over </w:t>
      </w:r>
      <w:r w:rsidR="00D2435D">
        <w:rPr>
          <w:rFonts w:cstheme="minorHAnsi"/>
          <w:color w:val="000000"/>
          <w:szCs w:val="20"/>
        </w:rPr>
        <w:t>each</w:t>
      </w:r>
      <w:r w:rsidR="0047628A">
        <w:rPr>
          <w:rFonts w:cstheme="minorHAnsi"/>
          <w:color w:val="000000"/>
          <w:szCs w:val="20"/>
        </w:rPr>
        <w:t xml:space="preserve"> </w:t>
      </w:r>
      <w:r w:rsidR="00DF737E">
        <w:rPr>
          <w:rFonts w:cstheme="minorHAnsi"/>
          <w:color w:val="000000"/>
          <w:szCs w:val="20"/>
        </w:rPr>
        <w:t>(</w:t>
      </w:r>
      <w:r w:rsidR="0047628A">
        <w:rPr>
          <w:rFonts w:cstheme="minorHAnsi"/>
          <w:color w:val="000000"/>
          <w:szCs w:val="20"/>
        </w:rPr>
        <w:t>12-day</w:t>
      </w:r>
      <w:r w:rsidR="00DF737E">
        <w:rPr>
          <w:rFonts w:cstheme="minorHAnsi"/>
          <w:color w:val="000000"/>
          <w:szCs w:val="20"/>
        </w:rPr>
        <w:t>) study condition</w:t>
      </w:r>
      <w:r w:rsidR="0047628A">
        <w:rPr>
          <w:rFonts w:cstheme="minorHAnsi"/>
          <w:color w:val="000000"/>
          <w:szCs w:val="20"/>
        </w:rPr>
        <w:t xml:space="preserve">. </w:t>
      </w:r>
      <w:r w:rsidR="0047628A" w:rsidRPr="0047628A">
        <w:rPr>
          <w:rFonts w:cstheme="minorHAnsi"/>
          <w:color w:val="000000"/>
          <w:szCs w:val="20"/>
        </w:rPr>
        <w:t>On the morning of each study day (one hour after dronabinol dosing), participants were informed of the typ</w:t>
      </w:r>
      <w:r w:rsidR="00C33941">
        <w:rPr>
          <w:rFonts w:cstheme="minorHAnsi"/>
          <w:color w:val="000000"/>
          <w:szCs w:val="20"/>
        </w:rPr>
        <w:t>e of cannabis available for the</w:t>
      </w:r>
      <w:r w:rsidR="0047628A" w:rsidRPr="0047628A">
        <w:rPr>
          <w:rFonts w:cstheme="minorHAnsi"/>
          <w:color w:val="000000"/>
          <w:szCs w:val="20"/>
        </w:rPr>
        <w:t xml:space="preserve"> day</w:t>
      </w:r>
      <w:r w:rsidR="0011798D">
        <w:rPr>
          <w:rFonts w:cstheme="minorHAnsi"/>
          <w:color w:val="000000"/>
          <w:szCs w:val="20"/>
        </w:rPr>
        <w:t xml:space="preserve"> (i.e., Drug A or Drug B)</w:t>
      </w:r>
      <w:r w:rsidR="00302A8C">
        <w:rPr>
          <w:rFonts w:cstheme="minorHAnsi"/>
          <w:color w:val="000000"/>
          <w:szCs w:val="20"/>
        </w:rPr>
        <w:t>,</w:t>
      </w:r>
      <w:r w:rsidR="005A1AF2">
        <w:rPr>
          <w:rFonts w:cstheme="minorHAnsi"/>
          <w:color w:val="000000"/>
          <w:szCs w:val="20"/>
        </w:rPr>
        <w:t xml:space="preserve"> </w:t>
      </w:r>
      <w:r w:rsidR="005A1AF2" w:rsidRPr="0047628A">
        <w:rPr>
          <w:rFonts w:cstheme="minorHAnsi"/>
          <w:color w:val="000000"/>
          <w:szCs w:val="20"/>
        </w:rPr>
        <w:t>and the condition</w:t>
      </w:r>
      <w:r w:rsidR="005A1AF2">
        <w:rPr>
          <w:rFonts w:cstheme="minorHAnsi"/>
          <w:color w:val="000000"/>
          <w:szCs w:val="20"/>
        </w:rPr>
        <w:t xml:space="preserve"> under which it could be accessed</w:t>
      </w:r>
      <w:r w:rsidR="00EE43FF">
        <w:rPr>
          <w:rFonts w:cstheme="minorHAnsi"/>
          <w:color w:val="000000"/>
          <w:szCs w:val="20"/>
        </w:rPr>
        <w:t xml:space="preserve"> (i.e., progressive-ratio or forced-choice)</w:t>
      </w:r>
      <w:r w:rsidR="00315EE2">
        <w:rPr>
          <w:rFonts w:cstheme="minorHAnsi"/>
          <w:color w:val="000000"/>
          <w:szCs w:val="20"/>
        </w:rPr>
        <w:t xml:space="preserve">. Importantly, participants were not </w:t>
      </w:r>
      <w:r w:rsidR="000D5BC1">
        <w:rPr>
          <w:rFonts w:cstheme="minorHAnsi"/>
          <w:color w:val="000000"/>
          <w:szCs w:val="20"/>
        </w:rPr>
        <w:t xml:space="preserve">explicitly </w:t>
      </w:r>
      <w:r w:rsidR="00315EE2">
        <w:rPr>
          <w:rFonts w:cstheme="minorHAnsi"/>
          <w:color w:val="000000"/>
          <w:szCs w:val="20"/>
        </w:rPr>
        <w:t xml:space="preserve">advised whether the cannabis cigarettes </w:t>
      </w:r>
      <w:r w:rsidR="006A62E0">
        <w:rPr>
          <w:rFonts w:cstheme="minorHAnsi"/>
          <w:color w:val="000000"/>
          <w:szCs w:val="20"/>
        </w:rPr>
        <w:t>(</w:t>
      </w:r>
      <w:r w:rsidR="005A1AF2">
        <w:rPr>
          <w:rFonts w:cstheme="minorHAnsi"/>
          <w:color w:val="000000"/>
          <w:szCs w:val="20"/>
        </w:rPr>
        <w:t xml:space="preserve">available on a given </w:t>
      </w:r>
      <w:r w:rsidR="00F40C21">
        <w:rPr>
          <w:rFonts w:cstheme="minorHAnsi"/>
          <w:color w:val="000000"/>
          <w:szCs w:val="20"/>
        </w:rPr>
        <w:t>day</w:t>
      </w:r>
      <w:r w:rsidR="006A62E0">
        <w:rPr>
          <w:rFonts w:cstheme="minorHAnsi"/>
          <w:color w:val="000000"/>
          <w:szCs w:val="20"/>
        </w:rPr>
        <w:t>)</w:t>
      </w:r>
      <w:r w:rsidR="00F40C21">
        <w:rPr>
          <w:rFonts w:cstheme="minorHAnsi"/>
          <w:color w:val="000000"/>
          <w:szCs w:val="20"/>
        </w:rPr>
        <w:t xml:space="preserve"> </w:t>
      </w:r>
      <w:r w:rsidR="00315EE2">
        <w:rPr>
          <w:rFonts w:cstheme="minorHAnsi"/>
          <w:color w:val="000000"/>
          <w:szCs w:val="20"/>
        </w:rPr>
        <w:t>were active or placebo</w:t>
      </w:r>
      <w:r w:rsidR="000D5BC1">
        <w:rPr>
          <w:rFonts w:cstheme="minorHAnsi"/>
          <w:color w:val="000000"/>
          <w:szCs w:val="20"/>
        </w:rPr>
        <w:t xml:space="preserve">; rather they </w:t>
      </w:r>
      <w:r w:rsidR="00315EE2">
        <w:rPr>
          <w:rFonts w:cstheme="minorHAnsi"/>
          <w:color w:val="000000"/>
          <w:szCs w:val="20"/>
        </w:rPr>
        <w:t xml:space="preserve">were advised </w:t>
      </w:r>
      <w:r w:rsidR="00F40C21">
        <w:rPr>
          <w:rFonts w:cstheme="minorHAnsi"/>
          <w:color w:val="000000"/>
          <w:szCs w:val="20"/>
        </w:rPr>
        <w:t xml:space="preserve">that </w:t>
      </w:r>
      <w:r w:rsidR="000D5BC1">
        <w:rPr>
          <w:rFonts w:cstheme="minorHAnsi"/>
          <w:color w:val="000000"/>
          <w:szCs w:val="20"/>
        </w:rPr>
        <w:t xml:space="preserve">either </w:t>
      </w:r>
      <w:r w:rsidR="000F526E">
        <w:rPr>
          <w:rFonts w:cstheme="minorHAnsi"/>
          <w:color w:val="000000"/>
          <w:szCs w:val="20"/>
        </w:rPr>
        <w:t>Drug A or Drug B</w:t>
      </w:r>
      <w:r w:rsidR="000D5BC1">
        <w:rPr>
          <w:rFonts w:cstheme="minorHAnsi"/>
          <w:color w:val="000000"/>
          <w:szCs w:val="20"/>
        </w:rPr>
        <w:t xml:space="preserve"> was available </w:t>
      </w:r>
      <w:r w:rsidR="00F40C21">
        <w:rPr>
          <w:rFonts w:cstheme="minorHAnsi"/>
          <w:color w:val="000000"/>
          <w:szCs w:val="20"/>
        </w:rPr>
        <w:t>(</w:t>
      </w:r>
      <w:r w:rsidR="00B7418E">
        <w:rPr>
          <w:rFonts w:cstheme="minorHAnsi"/>
          <w:color w:val="000000"/>
          <w:szCs w:val="20"/>
        </w:rPr>
        <w:t xml:space="preserve">i.e., </w:t>
      </w:r>
      <w:r w:rsidR="005B59A1">
        <w:rPr>
          <w:rFonts w:cstheme="minorHAnsi"/>
          <w:color w:val="000000"/>
          <w:szCs w:val="20"/>
        </w:rPr>
        <w:t xml:space="preserve">their </w:t>
      </w:r>
      <w:r w:rsidR="00274C48">
        <w:rPr>
          <w:rFonts w:cstheme="minorHAnsi"/>
          <w:color w:val="000000"/>
          <w:szCs w:val="20"/>
        </w:rPr>
        <w:t xml:space="preserve">choices were </w:t>
      </w:r>
      <w:r w:rsidR="00F40C21">
        <w:rPr>
          <w:rFonts w:cstheme="minorHAnsi"/>
          <w:color w:val="000000"/>
          <w:szCs w:val="20"/>
        </w:rPr>
        <w:t xml:space="preserve">dependent </w:t>
      </w:r>
      <w:r w:rsidR="000F526E">
        <w:rPr>
          <w:rFonts w:cstheme="minorHAnsi"/>
          <w:color w:val="000000"/>
          <w:szCs w:val="20"/>
        </w:rPr>
        <w:t xml:space="preserve">on </w:t>
      </w:r>
      <w:r w:rsidR="005B59A1">
        <w:rPr>
          <w:rFonts w:cstheme="minorHAnsi"/>
          <w:color w:val="000000"/>
          <w:szCs w:val="20"/>
        </w:rPr>
        <w:t xml:space="preserve">the </w:t>
      </w:r>
      <w:r w:rsidR="00E4799E">
        <w:rPr>
          <w:rFonts w:cstheme="minorHAnsi"/>
          <w:color w:val="000000"/>
          <w:szCs w:val="20"/>
        </w:rPr>
        <w:t xml:space="preserve">experiential </w:t>
      </w:r>
      <w:r w:rsidR="009B556E">
        <w:rPr>
          <w:rFonts w:cstheme="minorHAnsi"/>
          <w:color w:val="000000"/>
          <w:szCs w:val="20"/>
        </w:rPr>
        <w:t>knowledge</w:t>
      </w:r>
      <w:r w:rsidR="005A1AF2">
        <w:rPr>
          <w:rFonts w:cstheme="minorHAnsi"/>
          <w:color w:val="000000"/>
          <w:szCs w:val="20"/>
        </w:rPr>
        <w:t xml:space="preserve"> </w:t>
      </w:r>
      <w:r w:rsidR="00274C48">
        <w:rPr>
          <w:rFonts w:cstheme="minorHAnsi"/>
          <w:color w:val="000000"/>
          <w:szCs w:val="20"/>
        </w:rPr>
        <w:t xml:space="preserve">they </w:t>
      </w:r>
      <w:r w:rsidR="009B556E">
        <w:rPr>
          <w:rFonts w:cstheme="minorHAnsi"/>
          <w:color w:val="000000"/>
          <w:szCs w:val="20"/>
        </w:rPr>
        <w:t xml:space="preserve">derived during </w:t>
      </w:r>
      <w:r w:rsidR="00F3407C">
        <w:rPr>
          <w:rFonts w:cstheme="minorHAnsi"/>
          <w:color w:val="000000"/>
          <w:szCs w:val="20"/>
        </w:rPr>
        <w:t xml:space="preserve">the </w:t>
      </w:r>
      <w:r w:rsidR="001C76C7">
        <w:rPr>
          <w:rFonts w:cstheme="minorHAnsi"/>
          <w:color w:val="000000"/>
          <w:szCs w:val="20"/>
        </w:rPr>
        <w:t>initial exposure and discrimination training</w:t>
      </w:r>
      <w:r w:rsidR="0072538F">
        <w:rPr>
          <w:rFonts w:cstheme="minorHAnsi"/>
          <w:color w:val="000000"/>
          <w:szCs w:val="20"/>
        </w:rPr>
        <w:t xml:space="preserve"> phase of the study</w:t>
      </w:r>
      <w:r w:rsidR="005B59A1">
        <w:rPr>
          <w:rFonts w:cstheme="minorHAnsi"/>
          <w:color w:val="000000"/>
          <w:szCs w:val="20"/>
        </w:rPr>
        <w:t>)</w:t>
      </w:r>
      <w:r w:rsidR="00E4799E">
        <w:rPr>
          <w:rFonts w:cstheme="minorHAnsi"/>
          <w:color w:val="000000"/>
          <w:szCs w:val="20"/>
        </w:rPr>
        <w:t xml:space="preserve">. </w:t>
      </w:r>
      <w:r w:rsidR="00FE410A" w:rsidRPr="00FE410A">
        <w:rPr>
          <w:rFonts w:cstheme="minorHAnsi"/>
          <w:color w:val="000000"/>
          <w:szCs w:val="20"/>
        </w:rPr>
        <w:t xml:space="preserve">The primary outcome measure was the number of cannabis cigarettes self-administered during </w:t>
      </w:r>
      <w:r w:rsidR="00837503">
        <w:rPr>
          <w:rFonts w:cstheme="minorHAnsi"/>
          <w:color w:val="000000"/>
          <w:szCs w:val="20"/>
        </w:rPr>
        <w:t>the</w:t>
      </w:r>
      <w:r w:rsidR="00FE410A" w:rsidRPr="00FE410A">
        <w:rPr>
          <w:rFonts w:cstheme="minorHAnsi"/>
          <w:color w:val="000000"/>
          <w:szCs w:val="20"/>
        </w:rPr>
        <w:t xml:space="preserve"> progressive</w:t>
      </w:r>
      <w:r w:rsidR="00BC6A16">
        <w:rPr>
          <w:rFonts w:cstheme="minorHAnsi"/>
          <w:color w:val="000000"/>
          <w:szCs w:val="20"/>
        </w:rPr>
        <w:t>-</w:t>
      </w:r>
      <w:r w:rsidR="00FE410A" w:rsidRPr="00FE410A">
        <w:rPr>
          <w:rFonts w:cstheme="minorHAnsi"/>
          <w:color w:val="000000"/>
          <w:szCs w:val="20"/>
        </w:rPr>
        <w:t>ratio and forced</w:t>
      </w:r>
      <w:r w:rsidR="00BC6A16">
        <w:rPr>
          <w:rFonts w:cstheme="minorHAnsi"/>
          <w:color w:val="000000"/>
          <w:szCs w:val="20"/>
        </w:rPr>
        <w:t>-</w:t>
      </w:r>
      <w:r w:rsidR="00FE410A" w:rsidRPr="00FE410A">
        <w:rPr>
          <w:rFonts w:cstheme="minorHAnsi"/>
          <w:color w:val="000000"/>
          <w:szCs w:val="20"/>
        </w:rPr>
        <w:t xml:space="preserve">choice </w:t>
      </w:r>
      <w:r w:rsidR="00913769">
        <w:rPr>
          <w:rFonts w:cstheme="minorHAnsi"/>
          <w:color w:val="000000"/>
          <w:szCs w:val="20"/>
        </w:rPr>
        <w:t xml:space="preserve">access </w:t>
      </w:r>
      <w:r w:rsidR="00913769">
        <w:rPr>
          <w:rFonts w:cstheme="minorHAnsi"/>
          <w:color w:val="000000"/>
          <w:szCs w:val="20"/>
        </w:rPr>
        <w:lastRenderedPageBreak/>
        <w:t xml:space="preserve">conditions </w:t>
      </w:r>
      <w:r w:rsidR="00D2435D">
        <w:rPr>
          <w:rFonts w:cstheme="minorHAnsi"/>
          <w:color w:val="000000"/>
          <w:szCs w:val="20"/>
        </w:rPr>
        <w:t>(money vs. cannabis)</w:t>
      </w:r>
      <w:r w:rsidR="00FE410A">
        <w:rPr>
          <w:rFonts w:cstheme="minorHAnsi"/>
          <w:color w:val="000000"/>
          <w:szCs w:val="20"/>
        </w:rPr>
        <w:t>.</w:t>
      </w:r>
      <w:r w:rsidR="00D2435D">
        <w:rPr>
          <w:rFonts w:cstheme="minorHAnsi"/>
          <w:color w:val="000000"/>
          <w:szCs w:val="20"/>
        </w:rPr>
        <w:t xml:space="preserve"> </w:t>
      </w:r>
      <w:r w:rsidR="000F6184" w:rsidRPr="000F6184">
        <w:rPr>
          <w:rFonts w:cstheme="minorHAnsi"/>
          <w:color w:val="000000"/>
          <w:szCs w:val="20"/>
        </w:rPr>
        <w:t>Secondary outcome measures included self-report</w:t>
      </w:r>
      <w:r w:rsidR="0015458E">
        <w:rPr>
          <w:rFonts w:cstheme="minorHAnsi"/>
          <w:color w:val="000000"/>
          <w:szCs w:val="20"/>
        </w:rPr>
        <w:t>ed</w:t>
      </w:r>
      <w:r w:rsidR="000F6184" w:rsidRPr="000F6184">
        <w:rPr>
          <w:rFonts w:cstheme="minorHAnsi"/>
          <w:color w:val="000000"/>
          <w:szCs w:val="20"/>
        </w:rPr>
        <w:t xml:space="preserve"> measures of drug effects, cannabis withdrawal</w:t>
      </w:r>
      <w:r w:rsidR="000F6184">
        <w:rPr>
          <w:rFonts w:cstheme="minorHAnsi"/>
          <w:color w:val="000000"/>
          <w:szCs w:val="20"/>
        </w:rPr>
        <w:t>, sleep</w:t>
      </w:r>
      <w:r w:rsidR="00755270">
        <w:rPr>
          <w:rFonts w:cstheme="minorHAnsi"/>
          <w:color w:val="000000"/>
          <w:szCs w:val="20"/>
        </w:rPr>
        <w:t>, and vital signs</w:t>
      </w:r>
      <w:r w:rsidR="000F6184" w:rsidRPr="000F6184">
        <w:rPr>
          <w:rFonts w:cstheme="minorHAnsi"/>
          <w:color w:val="000000"/>
          <w:szCs w:val="20"/>
        </w:rPr>
        <w:t xml:space="preserve">. </w:t>
      </w:r>
      <w:r w:rsidR="00E57D1D" w:rsidRPr="002D2009">
        <w:t xml:space="preserve">Assessments were conducted every day </w:t>
      </w:r>
      <w:r w:rsidR="00FA44F4" w:rsidRPr="002D2009">
        <w:t>during the study</w:t>
      </w:r>
      <w:r w:rsidR="00FD6117">
        <w:t xml:space="preserve"> (i.e., day 1 to day 12 for each </w:t>
      </w:r>
      <w:r w:rsidR="008F4D0F">
        <w:t>of the three</w:t>
      </w:r>
      <w:r w:rsidR="00D93638">
        <w:t>,</w:t>
      </w:r>
      <w:r w:rsidR="008F4D0F">
        <w:t xml:space="preserve"> 1</w:t>
      </w:r>
      <w:r w:rsidR="00FD6117">
        <w:t>2-day</w:t>
      </w:r>
      <w:r w:rsidR="00D93638">
        <w:t>,</w:t>
      </w:r>
      <w:r w:rsidR="00FD6117">
        <w:t xml:space="preserve"> study condition</w:t>
      </w:r>
      <w:r w:rsidR="008F4D0F">
        <w:t>s</w:t>
      </w:r>
      <w:r w:rsidR="00FD6117">
        <w:t>)</w:t>
      </w:r>
      <w:r w:rsidR="00E57D1D" w:rsidRPr="002D2009">
        <w:t xml:space="preserve">. Clinical treatment response was not defined in the study. </w:t>
      </w:r>
      <w:r w:rsidR="00BA0BBF">
        <w:t>In the progressive-ratio access condition</w:t>
      </w:r>
      <w:r w:rsidR="00AE505A">
        <w:t>s</w:t>
      </w:r>
      <w:r w:rsidR="00BA0BBF">
        <w:t>, p</w:t>
      </w:r>
      <w:r w:rsidR="006F10BF" w:rsidRPr="006F10BF">
        <w:t>articipants self-administered significantly fewer placebo (&lt; 1% THC) cannabis cigarettes compared with active (5.7% THC) cannabis cigarettes</w:t>
      </w:r>
      <w:r w:rsidR="00EB628E">
        <w:t xml:space="preserve"> (</w:t>
      </w:r>
      <w:r w:rsidR="00243704" w:rsidRPr="00F62917">
        <w:rPr>
          <w:i/>
          <w:iCs/>
        </w:rPr>
        <w:t>p</w:t>
      </w:r>
      <w:r w:rsidR="00243704" w:rsidRPr="00243704">
        <w:t xml:space="preserve"> &lt; 0.001</w:t>
      </w:r>
      <w:r w:rsidR="00243704">
        <w:t>)</w:t>
      </w:r>
      <w:r w:rsidR="006F10BF" w:rsidRPr="006F10BF">
        <w:t xml:space="preserve">. Compared with placebo dronabinol maintenance under progressive-ratio access, maintenance on both low-dose (120 mg) and high-dose (180 to 240 mg) dronabinol significantly reduced self-administration of active (5.7% THC) cannabis cigarettes (both </w:t>
      </w:r>
      <w:r w:rsidR="006F10BF" w:rsidRPr="00F62917">
        <w:rPr>
          <w:i/>
          <w:iCs/>
        </w:rPr>
        <w:t>p</w:t>
      </w:r>
      <w:r w:rsidR="006F10BF" w:rsidRPr="006F10BF">
        <w:t xml:space="preserve">'s ≥ 0.05). There was no </w:t>
      </w:r>
      <w:r w:rsidR="00F4031F">
        <w:t xml:space="preserve">significant </w:t>
      </w:r>
      <w:r w:rsidR="006F10BF" w:rsidRPr="006F10BF">
        <w:t xml:space="preserve">difference between low-dose and high-dose dronabinol maintenance on </w:t>
      </w:r>
      <w:r w:rsidR="000D0129">
        <w:t>self-administration of</w:t>
      </w:r>
      <w:r w:rsidR="006F10BF" w:rsidRPr="006F10BF">
        <w:t xml:space="preserve"> active (5.7% THC) cannabis cigarettes (</w:t>
      </w:r>
      <w:r w:rsidR="006F10BF" w:rsidRPr="00F62917">
        <w:rPr>
          <w:i/>
          <w:iCs/>
        </w:rPr>
        <w:t>p</w:t>
      </w:r>
      <w:r w:rsidR="006F10BF" w:rsidRPr="006F10BF">
        <w:t xml:space="preserve"> = 0.63). </w:t>
      </w:r>
      <w:r w:rsidR="009706F8">
        <w:t>In the forced-choice access condition</w:t>
      </w:r>
      <w:r w:rsidR="00AE505A">
        <w:t>s</w:t>
      </w:r>
      <w:r w:rsidR="009706F8">
        <w:t>,</w:t>
      </w:r>
      <w:r w:rsidR="006F10BF" w:rsidRPr="006F10BF">
        <w:t xml:space="preserve"> participants self-administered a greater number of active (5.7% THC) cannabis cigarettes compared with placebo (&lt; 1% THC) cannabis cigarettes</w:t>
      </w:r>
      <w:r w:rsidR="00A7331D">
        <w:t xml:space="preserve"> (</w:t>
      </w:r>
      <w:r w:rsidR="00A7331D" w:rsidRPr="00A7331D">
        <w:t xml:space="preserve">all </w:t>
      </w:r>
      <w:r w:rsidR="00A7331D" w:rsidRPr="00F62917">
        <w:rPr>
          <w:i/>
          <w:iCs/>
        </w:rPr>
        <w:t>p</w:t>
      </w:r>
      <w:r w:rsidR="00A7331D">
        <w:t>’</w:t>
      </w:r>
      <w:r w:rsidR="00A7331D" w:rsidRPr="00A7331D">
        <w:t xml:space="preserve">s &lt; </w:t>
      </w:r>
      <w:r w:rsidR="00A7331D">
        <w:t>0</w:t>
      </w:r>
      <w:r w:rsidR="00A7331D" w:rsidRPr="00A7331D">
        <w:t>.001</w:t>
      </w:r>
      <w:r w:rsidR="00A7331D">
        <w:t>)</w:t>
      </w:r>
      <w:r w:rsidR="009706F8">
        <w:t>.</w:t>
      </w:r>
      <w:r w:rsidR="006F10BF" w:rsidRPr="006F10BF">
        <w:t xml:space="preserve"> Compared with placebo dronabinol maintenance</w:t>
      </w:r>
      <w:r w:rsidR="004070EB">
        <w:t xml:space="preserve"> under forced-choice access (cannabis vs. money)</w:t>
      </w:r>
      <w:r w:rsidR="006F10BF" w:rsidRPr="006F10BF">
        <w:t xml:space="preserve">: in the </w:t>
      </w:r>
      <w:r w:rsidR="002D5704">
        <w:t xml:space="preserve">USD </w:t>
      </w:r>
      <w:r w:rsidR="006F10BF" w:rsidRPr="006F10BF">
        <w:t>0.25 choice condition, high-dose but not low-dose dronabinol maintenance</w:t>
      </w:r>
      <w:r w:rsidR="00536505">
        <w:t xml:space="preserve"> </w:t>
      </w:r>
      <w:r w:rsidR="006F10BF" w:rsidRPr="006F10BF">
        <w:t xml:space="preserve">reduced self-administration of active (5.7% THC) cannabis </w:t>
      </w:r>
      <w:r w:rsidR="00FE038F">
        <w:t xml:space="preserve">cigarettes </w:t>
      </w:r>
      <w:r w:rsidR="006F10BF" w:rsidRPr="006F10BF">
        <w:t>(</w:t>
      </w:r>
      <w:r w:rsidR="006F10BF" w:rsidRPr="00F62917">
        <w:rPr>
          <w:i/>
          <w:iCs/>
        </w:rPr>
        <w:t>p</w:t>
      </w:r>
      <w:r w:rsidR="006F10BF" w:rsidRPr="006F10BF">
        <w:t xml:space="preserve"> = 0.05); in the</w:t>
      </w:r>
      <w:r w:rsidR="009B4CEE">
        <w:t xml:space="preserve"> USD </w:t>
      </w:r>
      <w:r w:rsidR="006F10BF" w:rsidRPr="006F10BF">
        <w:t xml:space="preserve">1.00 choice condition, both low-dose and high-dose dronabinol maintenance significantly reduced self-administration of active (5.7% THC) cannabis </w:t>
      </w:r>
      <w:r w:rsidR="00FE038F">
        <w:t xml:space="preserve">cigarettes </w:t>
      </w:r>
      <w:r w:rsidR="006F10BF" w:rsidRPr="006F10BF">
        <w:t>(</w:t>
      </w:r>
      <w:r w:rsidR="006F10BF" w:rsidRPr="00F62917">
        <w:rPr>
          <w:i/>
          <w:iCs/>
        </w:rPr>
        <w:t>p</w:t>
      </w:r>
      <w:r w:rsidR="006F10BF" w:rsidRPr="006F10BF">
        <w:t xml:space="preserve"> = 0.01 and </w:t>
      </w:r>
      <w:r w:rsidR="006F10BF" w:rsidRPr="00F62917">
        <w:rPr>
          <w:i/>
          <w:iCs/>
        </w:rPr>
        <w:t>p</w:t>
      </w:r>
      <w:r w:rsidR="006F10BF" w:rsidRPr="006F10BF">
        <w:t xml:space="preserve"> = 0.03, respectively); </w:t>
      </w:r>
      <w:r w:rsidR="0050713E">
        <w:t xml:space="preserve">and </w:t>
      </w:r>
      <w:r w:rsidR="006F10BF" w:rsidRPr="006F10BF">
        <w:t xml:space="preserve">in </w:t>
      </w:r>
      <w:r w:rsidR="0050713E">
        <w:t xml:space="preserve">USD </w:t>
      </w:r>
      <w:r w:rsidR="006F10BF" w:rsidRPr="006F10BF">
        <w:t xml:space="preserve">2.00 choice condition, low-dose but not high-dose dronabinol maintenance significantly reduced self-administration of active (5.7% THC) cannabis </w:t>
      </w:r>
      <w:r w:rsidR="00FE038F">
        <w:t xml:space="preserve">cigarettes </w:t>
      </w:r>
      <w:r w:rsidR="006F10BF" w:rsidRPr="006F10BF">
        <w:t>(</w:t>
      </w:r>
      <w:r w:rsidR="006F10BF" w:rsidRPr="00F62917">
        <w:rPr>
          <w:i/>
          <w:iCs/>
        </w:rPr>
        <w:t>p</w:t>
      </w:r>
      <w:r w:rsidR="006F10BF" w:rsidRPr="006F10BF">
        <w:t xml:space="preserve"> = 0.03 and </w:t>
      </w:r>
      <w:r w:rsidR="006F10BF" w:rsidRPr="00F62917">
        <w:rPr>
          <w:i/>
          <w:iCs/>
        </w:rPr>
        <w:t>p</w:t>
      </w:r>
      <w:r w:rsidR="006F10BF" w:rsidRPr="006F10BF">
        <w:t xml:space="preserve"> = 0.23, respectively). There were no differences between low-dose and high-dose dronabinol maintenance on self-administration of active (5.7% THC) cannabis </w:t>
      </w:r>
      <w:r w:rsidR="00FE038F">
        <w:t xml:space="preserve">cigarettes </w:t>
      </w:r>
      <w:r w:rsidR="006F10BF" w:rsidRPr="006F10BF">
        <w:t>at any monetary value in the forced-choice access condition</w:t>
      </w:r>
      <w:r w:rsidR="00922F5C">
        <w:t>s</w:t>
      </w:r>
      <w:r w:rsidR="006F10BF" w:rsidRPr="006F10BF">
        <w:t xml:space="preserve"> (all </w:t>
      </w:r>
      <w:r w:rsidR="006F10BF" w:rsidRPr="00F62917">
        <w:rPr>
          <w:i/>
          <w:iCs/>
        </w:rPr>
        <w:t>p</w:t>
      </w:r>
      <w:r w:rsidR="006F10BF" w:rsidRPr="006F10BF">
        <w:t>’s &gt; 0.25).</w:t>
      </w:r>
      <w:r w:rsidR="006F10BF">
        <w:t xml:space="preserve"> </w:t>
      </w:r>
      <w:r w:rsidR="5BAAD1F1" w:rsidRPr="002D2009">
        <w:t>This study was judg</w:t>
      </w:r>
      <w:r w:rsidR="005E012E" w:rsidRPr="002D2009">
        <w:t xml:space="preserve">ed to have </w:t>
      </w:r>
      <w:r w:rsidR="005E6128">
        <w:t>a high risk of bias</w:t>
      </w:r>
      <w:r w:rsidR="005E012E" w:rsidRPr="002D2009">
        <w:t>.</w:t>
      </w:r>
      <w:r w:rsidR="00C95A53" w:rsidRPr="00C95A53">
        <w:t xml:space="preserve"> Carryover effects were not </w:t>
      </w:r>
      <w:r w:rsidR="0018587A">
        <w:t>assessed</w:t>
      </w:r>
      <w:r w:rsidR="00C95A53" w:rsidRPr="00C95A53">
        <w:t xml:space="preserve">. </w:t>
      </w:r>
      <w:r w:rsidR="00C46395">
        <w:t>T</w:t>
      </w:r>
      <w:r w:rsidR="006F22A9">
        <w:t>he analysis did not control for p</w:t>
      </w:r>
      <w:r w:rsidR="00C95A53" w:rsidRPr="00C95A53">
        <w:t>eriod effects, a</w:t>
      </w:r>
      <w:r w:rsidR="00161DAC">
        <w:t>nd</w:t>
      </w:r>
      <w:r w:rsidR="00C95A53" w:rsidRPr="00C95A53">
        <w:t xml:space="preserve"> baseline values between groups may not </w:t>
      </w:r>
      <w:r w:rsidR="009E2F9A">
        <w:t xml:space="preserve">have </w:t>
      </w:r>
      <w:r w:rsidR="00C95A53" w:rsidRPr="00C95A53">
        <w:t>be</w:t>
      </w:r>
      <w:r w:rsidR="009E2F9A">
        <w:t>en</w:t>
      </w:r>
      <w:r w:rsidR="00C95A53" w:rsidRPr="00C95A53">
        <w:t xml:space="preserve"> comparable</w:t>
      </w:r>
      <w:r w:rsidR="008B004A">
        <w:t xml:space="preserve"> at different time-points</w:t>
      </w:r>
      <w:r w:rsidR="00C95A53" w:rsidRPr="00C95A53">
        <w:t xml:space="preserve">. </w:t>
      </w:r>
      <w:r w:rsidR="00C46395">
        <w:t>Additionally, follow-up analyses were not reported for the study conditions in which participants could access placebo (&lt; 1% THC) cannabis cigarettes</w:t>
      </w:r>
      <w:r w:rsidR="00E64055">
        <w:t xml:space="preserve"> (i.e., only the follow-up analyses for self-administration of</w:t>
      </w:r>
      <w:r w:rsidR="00703FE5">
        <w:t xml:space="preserve"> active,</w:t>
      </w:r>
      <w:r w:rsidR="00E64055">
        <w:t xml:space="preserve"> </w:t>
      </w:r>
      <w:r w:rsidR="00743119">
        <w:t>5.7% THC</w:t>
      </w:r>
      <w:r w:rsidR="00703FE5">
        <w:t>,</w:t>
      </w:r>
      <w:r w:rsidR="00E64055">
        <w:t xml:space="preserve"> cannabis cigarettes were reported)</w:t>
      </w:r>
      <w:r w:rsidR="00C46395">
        <w:t xml:space="preserve">. </w:t>
      </w:r>
      <w:r w:rsidR="00644483">
        <w:t xml:space="preserve">Finally, </w:t>
      </w:r>
      <w:r w:rsidR="00556239">
        <w:t>t</w:t>
      </w:r>
      <w:r w:rsidR="00E47E2E" w:rsidRPr="00E47E2E">
        <w:t>he study employed per-protocol analysis (rather than intention-to-treat analysis); excluding three participants</w:t>
      </w:r>
      <w:r w:rsidR="00556239">
        <w:t xml:space="preserve"> following </w:t>
      </w:r>
      <w:r w:rsidR="0074336C">
        <w:t xml:space="preserve">study enrolment </w:t>
      </w:r>
      <w:r w:rsidR="00E47E2E" w:rsidRPr="00E47E2E">
        <w:t>(</w:t>
      </w:r>
      <w:r w:rsidR="00E47E2E" w:rsidRPr="00F62917">
        <w:rPr>
          <w:i/>
          <w:iCs/>
        </w:rPr>
        <w:t>n</w:t>
      </w:r>
      <w:r w:rsidR="00E47E2E" w:rsidRPr="00E47E2E">
        <w:t xml:space="preserve"> = 3/16; 18.</w:t>
      </w:r>
      <w:r w:rsidR="005A35A0">
        <w:t>8</w:t>
      </w:r>
      <w:r w:rsidR="00E47E2E" w:rsidRPr="00E47E2E">
        <w:t>%).</w:t>
      </w:r>
      <w:r w:rsidR="00556239">
        <w:t xml:space="preserve"> T</w:t>
      </w:r>
      <w:r w:rsidR="00702235">
        <w:t xml:space="preserve">wo of the </w:t>
      </w:r>
      <w:r w:rsidR="00C95A53" w:rsidRPr="00C95A53">
        <w:t xml:space="preserve">participants were excluded </w:t>
      </w:r>
      <w:r w:rsidR="003E30DE">
        <w:t xml:space="preserve">from the study because they expressed a </w:t>
      </w:r>
      <w:r w:rsidR="00C95A53" w:rsidRPr="00C95A53">
        <w:t>preference for</w:t>
      </w:r>
      <w:r w:rsidR="00B44823">
        <w:t xml:space="preserve"> placebo </w:t>
      </w:r>
      <w:r w:rsidR="008D7F49">
        <w:t xml:space="preserve">(&lt; 1% THC) </w:t>
      </w:r>
      <w:r w:rsidR="00B44823">
        <w:t>cannabis cigarettes</w:t>
      </w:r>
      <w:r w:rsidR="00094582">
        <w:t xml:space="preserve"> </w:t>
      </w:r>
      <w:r w:rsidR="00336B7F">
        <w:t>(</w:t>
      </w:r>
      <w:r w:rsidR="00094582">
        <w:t xml:space="preserve">during </w:t>
      </w:r>
      <w:r w:rsidR="00CD4EB6">
        <w:t xml:space="preserve">initial exposure and </w:t>
      </w:r>
      <w:r w:rsidR="00094582">
        <w:t>discrimination training</w:t>
      </w:r>
      <w:r w:rsidR="00336B7F">
        <w:t>)</w:t>
      </w:r>
      <w:r w:rsidR="008D7F49">
        <w:t xml:space="preserve">, </w:t>
      </w:r>
      <w:r w:rsidR="00C95A53" w:rsidRPr="00C95A53">
        <w:t xml:space="preserve">which </w:t>
      </w:r>
      <w:r w:rsidR="006F22A9">
        <w:t>may</w:t>
      </w:r>
      <w:r w:rsidR="00C95A53" w:rsidRPr="00C95A53">
        <w:t xml:space="preserve"> have bias</w:t>
      </w:r>
      <w:r w:rsidR="00C95A53">
        <w:t>ed</w:t>
      </w:r>
      <w:r w:rsidR="00C95A53" w:rsidRPr="00C95A53">
        <w:t xml:space="preserve"> t</w:t>
      </w:r>
      <w:r w:rsidR="00BA16B6">
        <w:t>he</w:t>
      </w:r>
      <w:r w:rsidR="00C95A53" w:rsidRPr="00C95A53">
        <w:t xml:space="preserve"> results.</w:t>
      </w:r>
      <w:r w:rsidR="000E1D60">
        <w:t xml:space="preserve"> A third participant voluntarily withdrew from the study for personal reasons</w:t>
      </w:r>
      <w:r w:rsidR="00CD4EB6">
        <w:t>, reducing the sample size to 13 participants</w:t>
      </w:r>
      <w:r w:rsidR="000E1D60">
        <w:t>.</w:t>
      </w:r>
    </w:p>
    <w:p w14:paraId="0B684A2C" w14:textId="772D6E8C" w:rsidR="56308336" w:rsidRPr="00347761" w:rsidRDefault="56308336" w:rsidP="00005274">
      <w:pPr>
        <w:tabs>
          <w:tab w:val="left" w:pos="632"/>
          <w:tab w:val="left" w:pos="5070"/>
          <w:tab w:val="left" w:pos="7621"/>
          <w:tab w:val="left" w:pos="9747"/>
        </w:tabs>
        <w:jc w:val="both"/>
      </w:pPr>
      <w:r w:rsidRPr="548414C3">
        <w:t xml:space="preserve">Hurd and colleagues (2019, </w:t>
      </w:r>
      <w:r w:rsidRPr="548414C3">
        <w:rPr>
          <w:i/>
          <w:iCs/>
        </w:rPr>
        <w:t>n</w:t>
      </w:r>
      <w:r w:rsidRPr="548414C3">
        <w:t xml:space="preserve"> = </w:t>
      </w:r>
      <w:r w:rsidR="00373A10">
        <w:t>50</w:t>
      </w:r>
      <w:r w:rsidRPr="548414C3">
        <w:t xml:space="preserve">) recruited participants with a diagnosis of heroin use disorder (DSM-IV criteria) from addiction treatment sites and </w:t>
      </w:r>
      <w:r w:rsidR="00AA74C7">
        <w:t>the community</w:t>
      </w:r>
      <w:r w:rsidRPr="548414C3">
        <w:t xml:space="preserve">. Participants were </w:t>
      </w:r>
      <w:r w:rsidR="5D358B4F">
        <w:t>randomised</w:t>
      </w:r>
      <w:r w:rsidRPr="548414C3">
        <w:t xml:space="preserve"> to</w:t>
      </w:r>
      <w:r>
        <w:t xml:space="preserve"> </w:t>
      </w:r>
      <w:r w:rsidR="29BDDC14">
        <w:t>one of</w:t>
      </w:r>
      <w:r w:rsidRPr="548414C3">
        <w:t xml:space="preserve"> </w:t>
      </w:r>
      <w:r w:rsidR="00AA74C7">
        <w:t xml:space="preserve">three </w:t>
      </w:r>
      <w:r w:rsidR="006350E3">
        <w:t xml:space="preserve">study </w:t>
      </w:r>
      <w:r w:rsidR="00AA74C7">
        <w:t>conditions (</w:t>
      </w:r>
      <w:r w:rsidR="00C33941" w:rsidRPr="548414C3">
        <w:t>oral solution</w:t>
      </w:r>
      <w:r w:rsidR="00B409E4">
        <w:t xml:space="preserve"> every day </w:t>
      </w:r>
      <w:r w:rsidR="00AA74C7" w:rsidRPr="548414C3">
        <w:t>for three days</w:t>
      </w:r>
      <w:r w:rsidR="00AA74C7">
        <w:t>): (i</w:t>
      </w:r>
      <w:r w:rsidR="29BDDC14">
        <w:t>)</w:t>
      </w:r>
      <w:r w:rsidR="00C33941">
        <w:t xml:space="preserve"> 400</w:t>
      </w:r>
      <w:r w:rsidR="009D01FE">
        <w:t xml:space="preserve"> mg</w:t>
      </w:r>
      <w:r w:rsidR="00C33941">
        <w:t xml:space="preserve"> CBD</w:t>
      </w:r>
      <w:r w:rsidR="00FB4A16">
        <w:t xml:space="preserve"> (</w:t>
      </w:r>
      <w:r w:rsidRPr="548414C3">
        <w:rPr>
          <w:i/>
          <w:iCs/>
        </w:rPr>
        <w:t>n</w:t>
      </w:r>
      <w:r w:rsidRPr="548414C3">
        <w:t xml:space="preserve"> = 14)</w:t>
      </w:r>
      <w:r w:rsidR="00FB4A16">
        <w:t>;</w:t>
      </w:r>
      <w:r w:rsidRPr="548414C3">
        <w:t xml:space="preserve"> </w:t>
      </w:r>
      <w:r w:rsidR="5FA730E9">
        <w:t>(</w:t>
      </w:r>
      <w:r w:rsidR="00AA74C7">
        <w:t>ii</w:t>
      </w:r>
      <w:r w:rsidR="5FA730E9">
        <w:t xml:space="preserve">) </w:t>
      </w:r>
      <w:r w:rsidRPr="548414C3">
        <w:t>800</w:t>
      </w:r>
      <w:r w:rsidR="009D01FE">
        <w:t xml:space="preserve"> mg</w:t>
      </w:r>
      <w:r w:rsidRPr="548414C3">
        <w:t xml:space="preserve"> CBD (</w:t>
      </w:r>
      <w:r w:rsidRPr="548414C3">
        <w:rPr>
          <w:i/>
          <w:iCs/>
        </w:rPr>
        <w:t>n</w:t>
      </w:r>
      <w:r w:rsidRPr="548414C3">
        <w:t xml:space="preserve"> = 13)</w:t>
      </w:r>
      <w:r w:rsidR="00FB4A16">
        <w:t>;</w:t>
      </w:r>
      <w:r w:rsidRPr="548414C3">
        <w:t xml:space="preserve"> or </w:t>
      </w:r>
      <w:r w:rsidR="5FCBDC3E">
        <w:t>(</w:t>
      </w:r>
      <w:r w:rsidR="00AA74C7">
        <w:t>iii</w:t>
      </w:r>
      <w:r w:rsidR="5FCBDC3E">
        <w:t xml:space="preserve">) </w:t>
      </w:r>
      <w:r w:rsidRPr="548414C3">
        <w:t>match</w:t>
      </w:r>
      <w:r w:rsidR="00556A57">
        <w:t>ed</w:t>
      </w:r>
      <w:r w:rsidRPr="548414C3">
        <w:t xml:space="preserve"> placebo (</w:t>
      </w:r>
      <w:r w:rsidRPr="548414C3">
        <w:rPr>
          <w:i/>
          <w:iCs/>
        </w:rPr>
        <w:t>n</w:t>
      </w:r>
      <w:r w:rsidRPr="548414C3">
        <w:t xml:space="preserve"> = 15</w:t>
      </w:r>
      <w:r>
        <w:t>)</w:t>
      </w:r>
      <w:r w:rsidRPr="548414C3">
        <w:t xml:space="preserve">. Participants </w:t>
      </w:r>
      <w:r w:rsidR="00890AD6">
        <w:t xml:space="preserve">were not included in the study if they </w:t>
      </w:r>
      <w:r w:rsidRPr="548414C3">
        <w:t xml:space="preserve">were undergoing </w:t>
      </w:r>
      <w:r w:rsidR="00AA74C7">
        <w:t xml:space="preserve">pharmacological treatment for </w:t>
      </w:r>
      <w:r w:rsidR="00890AD6">
        <w:t>heroin cessation</w:t>
      </w:r>
      <w:r w:rsidRPr="548414C3">
        <w:t xml:space="preserve"> (i.e.</w:t>
      </w:r>
      <w:r w:rsidR="00890AD6">
        <w:t>,</w:t>
      </w:r>
      <w:r w:rsidRPr="548414C3">
        <w:t xml:space="preserve"> methadone, buprenorphine, or an opioid antagonist). The outcome measures were the </w:t>
      </w:r>
      <w:r w:rsidR="003E45D5">
        <w:t>Visual Analogue Scale for C</w:t>
      </w:r>
      <w:r w:rsidR="003E45D5" w:rsidRPr="548414C3">
        <w:t>raving (VAS-C</w:t>
      </w:r>
      <w:r w:rsidR="00E3320F">
        <w:t>; primary outcome</w:t>
      </w:r>
      <w:r w:rsidR="003E45D5" w:rsidRPr="548414C3">
        <w:t xml:space="preserve">), </w:t>
      </w:r>
      <w:r w:rsidR="00347761">
        <w:t>Visual Analogue S</w:t>
      </w:r>
      <w:r w:rsidRPr="548414C3">
        <w:t>ca</w:t>
      </w:r>
      <w:r w:rsidR="00347761">
        <w:t xml:space="preserve">le for Anxiety (VAS-A), </w:t>
      </w:r>
      <w:r w:rsidR="000C599A" w:rsidRPr="548414C3">
        <w:t>Heroin</w:t>
      </w:r>
      <w:r w:rsidR="000C599A">
        <w:t xml:space="preserve"> Craving Questionnaire,</w:t>
      </w:r>
      <w:r w:rsidRPr="548414C3">
        <w:t xml:space="preserve"> </w:t>
      </w:r>
      <w:r w:rsidR="00485D8F">
        <w:t xml:space="preserve">and </w:t>
      </w:r>
      <w:r w:rsidRPr="548414C3">
        <w:t xml:space="preserve">the Positive and Negative Affect Schedule (PANAS). Assessments were conducted at </w:t>
      </w:r>
      <w:r w:rsidR="006D718C">
        <w:t>multiple</w:t>
      </w:r>
      <w:r w:rsidRPr="548414C3">
        <w:t xml:space="preserve"> time-points: baseline</w:t>
      </w:r>
      <w:r w:rsidR="00A221EB">
        <w:t xml:space="preserve"> (</w:t>
      </w:r>
      <w:r w:rsidR="00646AFA">
        <w:t>session 1</w:t>
      </w:r>
      <w:r w:rsidR="00A221EB">
        <w:t>)</w:t>
      </w:r>
      <w:r w:rsidRPr="548414C3">
        <w:t xml:space="preserve">, </w:t>
      </w:r>
      <w:r w:rsidR="5F3F161D" w:rsidRPr="548414C3">
        <w:t xml:space="preserve">during </w:t>
      </w:r>
      <w:r w:rsidR="02BB406E">
        <w:t>treatment</w:t>
      </w:r>
      <w:r w:rsidR="5F3F161D" w:rsidRPr="548414C3">
        <w:t xml:space="preserve"> (</w:t>
      </w:r>
      <w:r w:rsidR="00646AFA">
        <w:t xml:space="preserve">session 1: 1 to 2 hours after first </w:t>
      </w:r>
      <w:r w:rsidR="00C53985">
        <w:t>oral solution</w:t>
      </w:r>
      <w:r w:rsidR="00646AFA">
        <w:t xml:space="preserve">; session </w:t>
      </w:r>
      <w:r w:rsidR="00167436">
        <w:t>2</w:t>
      </w:r>
      <w:r w:rsidR="00646AFA">
        <w:t xml:space="preserve">: 24 hours after first </w:t>
      </w:r>
      <w:r w:rsidR="00C53985">
        <w:t>oral solution</w:t>
      </w:r>
      <w:r w:rsidR="263C5DD2" w:rsidRPr="548414C3">
        <w:t>)</w:t>
      </w:r>
      <w:r w:rsidR="00347761">
        <w:t>,</w:t>
      </w:r>
      <w:r w:rsidR="00AA74C7">
        <w:t xml:space="preserve"> and follow-up</w:t>
      </w:r>
      <w:r w:rsidRPr="548414C3">
        <w:t xml:space="preserve"> (</w:t>
      </w:r>
      <w:r w:rsidR="00646AFA">
        <w:t xml:space="preserve">session 4: </w:t>
      </w:r>
      <w:r w:rsidR="00C023C7">
        <w:t xml:space="preserve">7 days after third </w:t>
      </w:r>
      <w:r w:rsidR="00C53985">
        <w:t>oral solution</w:t>
      </w:r>
      <w:r w:rsidR="00347761">
        <w:t>)</w:t>
      </w:r>
      <w:r w:rsidRPr="548414C3">
        <w:t>.</w:t>
      </w:r>
      <w:r w:rsidR="00DA7C02">
        <w:t xml:space="preserve"> </w:t>
      </w:r>
      <w:r w:rsidRPr="548414C3">
        <w:t>Clinical treatment response was not defined in the study.</w:t>
      </w:r>
      <w:r w:rsidRPr="548414C3">
        <w:rPr>
          <w:rFonts w:ascii="Calibri" w:hAnsi="Calibri" w:cs="Calibri"/>
          <w:color w:val="000000" w:themeColor="text1"/>
        </w:rPr>
        <w:t xml:space="preserve"> </w:t>
      </w:r>
      <w:r w:rsidR="00A50FAF">
        <w:rPr>
          <w:rFonts w:ascii="Calibri" w:hAnsi="Calibri" w:cs="Calibri"/>
          <w:color w:val="000000" w:themeColor="text1"/>
        </w:rPr>
        <w:t xml:space="preserve">Baseline craving scores did not differ between the dose groups (p-values not reported). </w:t>
      </w:r>
      <w:r w:rsidR="00E965E8">
        <w:rPr>
          <w:rFonts w:ascii="Calibri" w:hAnsi="Calibri" w:cs="Calibri"/>
          <w:color w:val="000000" w:themeColor="text1"/>
        </w:rPr>
        <w:t xml:space="preserve">Gender was a significant factor in baseline craving </w:t>
      </w:r>
      <w:r w:rsidR="0099613B" w:rsidRPr="0099613B">
        <w:rPr>
          <w:rFonts w:ascii="Calibri" w:hAnsi="Calibri" w:cs="Calibri"/>
          <w:color w:val="000000" w:themeColor="text1"/>
        </w:rPr>
        <w:t>(</w:t>
      </w:r>
      <w:r w:rsidR="0099613B" w:rsidRPr="00F62917">
        <w:rPr>
          <w:rFonts w:ascii="Calibri" w:hAnsi="Calibri" w:cs="Calibri"/>
          <w:i/>
          <w:iCs/>
          <w:color w:val="000000" w:themeColor="text1"/>
        </w:rPr>
        <w:t>p</w:t>
      </w:r>
      <w:r w:rsidR="00E965E8">
        <w:rPr>
          <w:rFonts w:ascii="Calibri" w:hAnsi="Calibri" w:cs="Calibri"/>
          <w:color w:val="000000" w:themeColor="text1"/>
        </w:rPr>
        <w:t xml:space="preserve"> </w:t>
      </w:r>
      <w:r w:rsidR="0099613B" w:rsidRPr="0099613B">
        <w:rPr>
          <w:rFonts w:ascii="Calibri" w:hAnsi="Calibri" w:cs="Calibri"/>
          <w:color w:val="000000" w:themeColor="text1"/>
        </w:rPr>
        <w:t>=</w:t>
      </w:r>
      <w:r w:rsidR="00E965E8">
        <w:rPr>
          <w:rFonts w:ascii="Calibri" w:hAnsi="Calibri" w:cs="Calibri"/>
          <w:color w:val="000000" w:themeColor="text1"/>
        </w:rPr>
        <w:t xml:space="preserve"> </w:t>
      </w:r>
      <w:r w:rsidR="0099613B" w:rsidRPr="0099613B">
        <w:rPr>
          <w:rFonts w:ascii="Calibri" w:hAnsi="Calibri" w:cs="Calibri"/>
          <w:color w:val="000000" w:themeColor="text1"/>
        </w:rPr>
        <w:t xml:space="preserve">0.0476), with women reporting nearly twofold greater craving than men. </w:t>
      </w:r>
      <w:r w:rsidR="002E2BF6">
        <w:rPr>
          <w:rFonts w:ascii="Calibri" w:hAnsi="Calibri" w:cs="Calibri"/>
          <w:color w:val="000000" w:themeColor="text1"/>
        </w:rPr>
        <w:t xml:space="preserve">A significant difference </w:t>
      </w:r>
      <w:r w:rsidR="00AC3E9B">
        <w:rPr>
          <w:rFonts w:ascii="Calibri" w:hAnsi="Calibri" w:cs="Calibri"/>
          <w:color w:val="000000" w:themeColor="text1"/>
        </w:rPr>
        <w:t>in craving (as measured by the VAS-C</w:t>
      </w:r>
      <w:r w:rsidR="008F531A">
        <w:rPr>
          <w:rFonts w:ascii="Calibri" w:hAnsi="Calibri" w:cs="Calibri"/>
          <w:color w:val="000000" w:themeColor="text1"/>
        </w:rPr>
        <w:t>; adjusted for baseline craving</w:t>
      </w:r>
      <w:r w:rsidR="00AC3E9B">
        <w:rPr>
          <w:rFonts w:ascii="Calibri" w:hAnsi="Calibri" w:cs="Calibri"/>
          <w:color w:val="000000" w:themeColor="text1"/>
        </w:rPr>
        <w:t xml:space="preserve">) </w:t>
      </w:r>
      <w:r w:rsidR="005E202F">
        <w:rPr>
          <w:rFonts w:ascii="Calibri" w:hAnsi="Calibri" w:cs="Calibri"/>
          <w:color w:val="000000" w:themeColor="text1"/>
        </w:rPr>
        <w:t xml:space="preserve">was observed for </w:t>
      </w:r>
      <w:r w:rsidR="002E2BF6">
        <w:rPr>
          <w:rFonts w:ascii="Calibri" w:hAnsi="Calibri" w:cs="Calibri"/>
          <w:color w:val="000000" w:themeColor="text1"/>
        </w:rPr>
        <w:t>the cue condition (</w:t>
      </w:r>
      <w:r w:rsidR="00806E93">
        <w:rPr>
          <w:rFonts w:ascii="Calibri" w:hAnsi="Calibri" w:cs="Calibri"/>
          <w:color w:val="000000" w:themeColor="text1"/>
        </w:rPr>
        <w:t xml:space="preserve">drug-related vs. neutral cue: </w:t>
      </w:r>
      <w:r w:rsidR="00A11745" w:rsidRPr="00F62917">
        <w:rPr>
          <w:rFonts w:ascii="Calibri" w:hAnsi="Calibri" w:cs="Calibri"/>
          <w:i/>
          <w:iCs/>
          <w:color w:val="000000" w:themeColor="text1"/>
        </w:rPr>
        <w:t>p</w:t>
      </w:r>
      <w:r w:rsidR="005E202F">
        <w:rPr>
          <w:rFonts w:ascii="Calibri" w:hAnsi="Calibri" w:cs="Calibri"/>
          <w:color w:val="000000" w:themeColor="text1"/>
        </w:rPr>
        <w:t xml:space="preserve"> &lt; </w:t>
      </w:r>
      <w:r w:rsidR="00A11745" w:rsidRPr="00A11745">
        <w:rPr>
          <w:rFonts w:ascii="Calibri" w:hAnsi="Calibri" w:cs="Calibri"/>
          <w:color w:val="000000" w:themeColor="text1"/>
        </w:rPr>
        <w:t xml:space="preserve">0.0001). </w:t>
      </w:r>
      <w:r w:rsidR="00667ADF">
        <w:rPr>
          <w:rFonts w:ascii="Calibri" w:hAnsi="Calibri" w:cs="Calibri"/>
          <w:color w:val="000000" w:themeColor="text1"/>
        </w:rPr>
        <w:t>Across participants</w:t>
      </w:r>
      <w:r w:rsidR="00E92A28">
        <w:rPr>
          <w:rFonts w:ascii="Calibri" w:hAnsi="Calibri" w:cs="Calibri"/>
          <w:color w:val="000000" w:themeColor="text1"/>
        </w:rPr>
        <w:t>, c</w:t>
      </w:r>
      <w:r w:rsidR="00A11745" w:rsidRPr="00A11745">
        <w:rPr>
          <w:rFonts w:ascii="Calibri" w:hAnsi="Calibri" w:cs="Calibri"/>
          <w:color w:val="000000" w:themeColor="text1"/>
        </w:rPr>
        <w:t xml:space="preserve">raving </w:t>
      </w:r>
      <w:r w:rsidR="00B339C7">
        <w:rPr>
          <w:rFonts w:ascii="Calibri" w:hAnsi="Calibri" w:cs="Calibri"/>
          <w:color w:val="000000" w:themeColor="text1"/>
        </w:rPr>
        <w:t xml:space="preserve">was </w:t>
      </w:r>
      <w:r w:rsidR="00A11745" w:rsidRPr="00A11745">
        <w:rPr>
          <w:rFonts w:ascii="Calibri" w:hAnsi="Calibri" w:cs="Calibri"/>
          <w:color w:val="000000" w:themeColor="text1"/>
        </w:rPr>
        <w:t xml:space="preserve">significantly higher </w:t>
      </w:r>
      <w:r w:rsidR="00B339C7">
        <w:rPr>
          <w:rFonts w:ascii="Calibri" w:hAnsi="Calibri" w:cs="Calibri"/>
          <w:color w:val="000000" w:themeColor="text1"/>
        </w:rPr>
        <w:t>following</w:t>
      </w:r>
      <w:r w:rsidR="00667ADF">
        <w:rPr>
          <w:rFonts w:ascii="Calibri" w:hAnsi="Calibri" w:cs="Calibri"/>
          <w:color w:val="000000" w:themeColor="text1"/>
        </w:rPr>
        <w:t xml:space="preserve"> exposure to drug</w:t>
      </w:r>
      <w:r w:rsidR="008953E5">
        <w:rPr>
          <w:rFonts w:ascii="Calibri" w:hAnsi="Calibri" w:cs="Calibri"/>
          <w:color w:val="000000" w:themeColor="text1"/>
        </w:rPr>
        <w:t>-related</w:t>
      </w:r>
      <w:r w:rsidR="00667ADF">
        <w:rPr>
          <w:rFonts w:ascii="Calibri" w:hAnsi="Calibri" w:cs="Calibri"/>
          <w:color w:val="000000" w:themeColor="text1"/>
        </w:rPr>
        <w:t xml:space="preserve"> cues </w:t>
      </w:r>
      <w:r w:rsidR="00AC1F21">
        <w:rPr>
          <w:rFonts w:ascii="Calibri" w:hAnsi="Calibri" w:cs="Calibri"/>
          <w:color w:val="000000" w:themeColor="text1"/>
        </w:rPr>
        <w:t>[</w:t>
      </w:r>
      <w:r w:rsidR="00E92A28">
        <w:rPr>
          <w:rFonts w:ascii="Calibri" w:hAnsi="Calibri" w:cs="Calibri"/>
          <w:color w:val="000000" w:themeColor="text1"/>
        </w:rPr>
        <w:t xml:space="preserve">M(diff) = </w:t>
      </w:r>
      <w:r w:rsidR="00A11745" w:rsidRPr="00A11745">
        <w:rPr>
          <w:rFonts w:ascii="Calibri" w:hAnsi="Calibri" w:cs="Calibri"/>
          <w:color w:val="000000" w:themeColor="text1"/>
        </w:rPr>
        <w:t>1.09</w:t>
      </w:r>
      <w:r w:rsidR="00AC1F21">
        <w:rPr>
          <w:rFonts w:ascii="Calibri" w:hAnsi="Calibri" w:cs="Calibri"/>
          <w:color w:val="000000" w:themeColor="text1"/>
        </w:rPr>
        <w:t>]</w:t>
      </w:r>
      <w:r w:rsidR="00A11745" w:rsidRPr="00A11745">
        <w:rPr>
          <w:rFonts w:ascii="Calibri" w:hAnsi="Calibri" w:cs="Calibri"/>
          <w:color w:val="000000" w:themeColor="text1"/>
        </w:rPr>
        <w:t xml:space="preserve"> than </w:t>
      </w:r>
      <w:r w:rsidR="001634EF">
        <w:rPr>
          <w:rFonts w:ascii="Calibri" w:hAnsi="Calibri" w:cs="Calibri"/>
          <w:color w:val="000000" w:themeColor="text1"/>
        </w:rPr>
        <w:t xml:space="preserve">following </w:t>
      </w:r>
      <w:r w:rsidR="00A11745" w:rsidRPr="00A11745">
        <w:rPr>
          <w:rFonts w:ascii="Calibri" w:hAnsi="Calibri" w:cs="Calibri"/>
          <w:color w:val="000000" w:themeColor="text1"/>
        </w:rPr>
        <w:t>expos</w:t>
      </w:r>
      <w:r w:rsidR="00667ADF">
        <w:rPr>
          <w:rFonts w:ascii="Calibri" w:hAnsi="Calibri" w:cs="Calibri"/>
          <w:color w:val="000000" w:themeColor="text1"/>
        </w:rPr>
        <w:t>ure</w:t>
      </w:r>
      <w:r w:rsidR="00A11745" w:rsidRPr="00A11745">
        <w:rPr>
          <w:rFonts w:ascii="Calibri" w:hAnsi="Calibri" w:cs="Calibri"/>
          <w:color w:val="000000" w:themeColor="text1"/>
        </w:rPr>
        <w:t xml:space="preserve"> to neutral cues </w:t>
      </w:r>
      <w:r w:rsidR="00AC1F21">
        <w:rPr>
          <w:rFonts w:ascii="Calibri" w:hAnsi="Calibri" w:cs="Calibri"/>
          <w:color w:val="000000" w:themeColor="text1"/>
        </w:rPr>
        <w:t>[</w:t>
      </w:r>
      <w:r w:rsidR="006D46C0">
        <w:rPr>
          <w:rFonts w:ascii="Calibri" w:hAnsi="Calibri" w:cs="Calibri"/>
          <w:color w:val="000000" w:themeColor="text1"/>
        </w:rPr>
        <w:t xml:space="preserve">M(diff) </w:t>
      </w:r>
      <w:r w:rsidR="00A11745" w:rsidRPr="00A11745">
        <w:rPr>
          <w:rFonts w:ascii="Calibri" w:hAnsi="Calibri" w:cs="Calibri"/>
          <w:color w:val="000000" w:themeColor="text1"/>
        </w:rPr>
        <w:t>=</w:t>
      </w:r>
      <w:r w:rsidR="006D46C0">
        <w:rPr>
          <w:rFonts w:ascii="Calibri" w:hAnsi="Calibri" w:cs="Calibri"/>
          <w:color w:val="000000" w:themeColor="text1"/>
        </w:rPr>
        <w:t xml:space="preserve"> </w:t>
      </w:r>
      <w:r w:rsidR="0008774B">
        <w:rPr>
          <w:rFonts w:ascii="Calibri" w:hAnsi="Calibri" w:cs="Calibri"/>
          <w:color w:val="000000" w:themeColor="text1"/>
        </w:rPr>
        <w:t>-</w:t>
      </w:r>
      <w:r w:rsidR="00A11745" w:rsidRPr="00A11745">
        <w:rPr>
          <w:rFonts w:ascii="Calibri" w:hAnsi="Calibri" w:cs="Calibri"/>
          <w:color w:val="000000" w:themeColor="text1"/>
        </w:rPr>
        <w:t>0.02</w:t>
      </w:r>
      <w:r w:rsidR="00AC1F21">
        <w:rPr>
          <w:rFonts w:ascii="Calibri" w:hAnsi="Calibri" w:cs="Calibri"/>
          <w:color w:val="000000" w:themeColor="text1"/>
        </w:rPr>
        <w:t>]</w:t>
      </w:r>
      <w:r w:rsidR="00A11745" w:rsidRPr="00A11745">
        <w:rPr>
          <w:rFonts w:ascii="Calibri" w:hAnsi="Calibri" w:cs="Calibri"/>
          <w:color w:val="000000" w:themeColor="text1"/>
        </w:rPr>
        <w:t xml:space="preserve">. </w:t>
      </w:r>
      <w:r w:rsidR="001634EF">
        <w:rPr>
          <w:rFonts w:ascii="Calibri" w:hAnsi="Calibri" w:cs="Calibri"/>
          <w:color w:val="000000" w:themeColor="text1"/>
        </w:rPr>
        <w:t>Additionally, a</w:t>
      </w:r>
      <w:r w:rsidR="006D46C0">
        <w:rPr>
          <w:rFonts w:ascii="Calibri" w:hAnsi="Calibri" w:cs="Calibri"/>
          <w:color w:val="000000" w:themeColor="text1"/>
        </w:rPr>
        <w:t xml:space="preserve"> significant difference </w:t>
      </w:r>
      <w:r w:rsidR="008F531A">
        <w:rPr>
          <w:rFonts w:ascii="Calibri" w:hAnsi="Calibri" w:cs="Calibri"/>
          <w:color w:val="000000" w:themeColor="text1"/>
        </w:rPr>
        <w:t xml:space="preserve">in craving (as measured by the VAS-C; adjusted for baseline craving) </w:t>
      </w:r>
      <w:r w:rsidR="006D46C0">
        <w:rPr>
          <w:rFonts w:ascii="Calibri" w:hAnsi="Calibri" w:cs="Calibri"/>
          <w:color w:val="000000" w:themeColor="text1"/>
        </w:rPr>
        <w:t xml:space="preserve">was observed for </w:t>
      </w:r>
      <w:r w:rsidR="008068EB">
        <w:rPr>
          <w:rFonts w:ascii="Calibri" w:hAnsi="Calibri" w:cs="Calibri"/>
          <w:color w:val="000000" w:themeColor="text1"/>
        </w:rPr>
        <w:t>the CBD</w:t>
      </w:r>
      <w:r w:rsidR="00A11745" w:rsidRPr="00A11745">
        <w:rPr>
          <w:rFonts w:ascii="Calibri" w:hAnsi="Calibri" w:cs="Calibri"/>
          <w:color w:val="000000" w:themeColor="text1"/>
        </w:rPr>
        <w:t xml:space="preserve"> </w:t>
      </w:r>
      <w:r w:rsidR="006F74DA">
        <w:rPr>
          <w:rFonts w:ascii="Calibri" w:hAnsi="Calibri" w:cs="Calibri"/>
          <w:color w:val="000000" w:themeColor="text1"/>
        </w:rPr>
        <w:t xml:space="preserve">dose condition </w:t>
      </w:r>
      <w:r w:rsidR="00A11745" w:rsidRPr="00A11745">
        <w:rPr>
          <w:rFonts w:ascii="Calibri" w:hAnsi="Calibri" w:cs="Calibri"/>
          <w:color w:val="000000" w:themeColor="text1"/>
        </w:rPr>
        <w:t>(</w:t>
      </w:r>
      <w:r w:rsidR="006F74DA">
        <w:rPr>
          <w:rFonts w:ascii="Calibri" w:hAnsi="Calibri" w:cs="Calibri"/>
          <w:color w:val="000000" w:themeColor="text1"/>
        </w:rPr>
        <w:t>placebo vs. 400 mg vs. 800 mg</w:t>
      </w:r>
      <w:r w:rsidR="006F74DA">
        <w:rPr>
          <w:rFonts w:ascii="Calibri" w:hAnsi="Calibri" w:cs="Calibri"/>
          <w:i/>
          <w:iCs/>
          <w:color w:val="000000" w:themeColor="text1"/>
        </w:rPr>
        <w:t>;</w:t>
      </w:r>
      <w:r w:rsidR="006F74DA" w:rsidRPr="00F62917">
        <w:rPr>
          <w:rFonts w:ascii="Calibri" w:hAnsi="Calibri" w:cs="Calibri"/>
          <w:color w:val="000000" w:themeColor="text1"/>
        </w:rPr>
        <w:t xml:space="preserve"> </w:t>
      </w:r>
      <w:r w:rsidR="00A11745" w:rsidRPr="00F62917">
        <w:rPr>
          <w:rFonts w:ascii="Calibri" w:hAnsi="Calibri" w:cs="Calibri"/>
          <w:i/>
          <w:iCs/>
          <w:color w:val="000000" w:themeColor="text1"/>
        </w:rPr>
        <w:t>p</w:t>
      </w:r>
      <w:r w:rsidR="006D46C0">
        <w:rPr>
          <w:rFonts w:ascii="Calibri" w:hAnsi="Calibri" w:cs="Calibri"/>
          <w:color w:val="000000" w:themeColor="text1"/>
        </w:rPr>
        <w:t xml:space="preserve"> </w:t>
      </w:r>
      <w:r w:rsidR="00A11745" w:rsidRPr="00A11745">
        <w:rPr>
          <w:rFonts w:ascii="Calibri" w:hAnsi="Calibri" w:cs="Calibri"/>
          <w:color w:val="000000" w:themeColor="text1"/>
        </w:rPr>
        <w:t>=</w:t>
      </w:r>
      <w:r w:rsidR="006D46C0">
        <w:rPr>
          <w:rFonts w:ascii="Calibri" w:hAnsi="Calibri" w:cs="Calibri"/>
          <w:color w:val="000000" w:themeColor="text1"/>
        </w:rPr>
        <w:t xml:space="preserve"> </w:t>
      </w:r>
      <w:r w:rsidR="00A11745" w:rsidRPr="00A11745">
        <w:rPr>
          <w:rFonts w:ascii="Calibri" w:hAnsi="Calibri" w:cs="Calibri"/>
          <w:color w:val="000000" w:themeColor="text1"/>
        </w:rPr>
        <w:t>0.0047). Across sessions,</w:t>
      </w:r>
      <w:r w:rsidR="0052768E">
        <w:rPr>
          <w:rFonts w:ascii="Calibri" w:hAnsi="Calibri" w:cs="Calibri"/>
          <w:color w:val="000000" w:themeColor="text1"/>
        </w:rPr>
        <w:t xml:space="preserve"> participants</w:t>
      </w:r>
      <w:r w:rsidR="00A11745" w:rsidRPr="00A11745">
        <w:rPr>
          <w:rFonts w:ascii="Calibri" w:hAnsi="Calibri" w:cs="Calibri"/>
          <w:color w:val="000000" w:themeColor="text1"/>
        </w:rPr>
        <w:t xml:space="preserve"> receiving placebo</w:t>
      </w:r>
      <w:r w:rsidR="00D81BAA">
        <w:rPr>
          <w:rFonts w:ascii="Calibri" w:hAnsi="Calibri" w:cs="Calibri"/>
          <w:color w:val="000000" w:themeColor="text1"/>
        </w:rPr>
        <w:t xml:space="preserve"> CBD</w:t>
      </w:r>
      <w:r w:rsidR="00A11745" w:rsidRPr="00A11745">
        <w:rPr>
          <w:rFonts w:ascii="Calibri" w:hAnsi="Calibri" w:cs="Calibri"/>
          <w:color w:val="000000" w:themeColor="text1"/>
        </w:rPr>
        <w:t xml:space="preserve"> reported significantly greater craving after the drug</w:t>
      </w:r>
      <w:r w:rsidR="002B7910">
        <w:rPr>
          <w:rFonts w:ascii="Calibri" w:hAnsi="Calibri" w:cs="Calibri"/>
          <w:color w:val="000000" w:themeColor="text1"/>
        </w:rPr>
        <w:t>-related</w:t>
      </w:r>
      <w:r w:rsidR="00A11745" w:rsidRPr="00A11745">
        <w:rPr>
          <w:rFonts w:ascii="Calibri" w:hAnsi="Calibri" w:cs="Calibri"/>
          <w:color w:val="000000" w:themeColor="text1"/>
        </w:rPr>
        <w:t xml:space="preserve"> cues </w:t>
      </w:r>
      <w:r w:rsidR="00A769C5">
        <w:rPr>
          <w:rFonts w:ascii="Calibri" w:hAnsi="Calibri" w:cs="Calibri"/>
          <w:color w:val="000000" w:themeColor="text1"/>
        </w:rPr>
        <w:t xml:space="preserve">[M(diff) </w:t>
      </w:r>
      <w:r w:rsidR="00A11745" w:rsidRPr="00A11745">
        <w:rPr>
          <w:rFonts w:ascii="Calibri" w:hAnsi="Calibri" w:cs="Calibri"/>
          <w:color w:val="000000" w:themeColor="text1"/>
        </w:rPr>
        <w:t>=</w:t>
      </w:r>
      <w:r w:rsidR="00A769C5">
        <w:rPr>
          <w:rFonts w:ascii="Calibri" w:hAnsi="Calibri" w:cs="Calibri"/>
          <w:color w:val="000000" w:themeColor="text1"/>
        </w:rPr>
        <w:t xml:space="preserve"> </w:t>
      </w:r>
      <w:r w:rsidR="00A11745" w:rsidRPr="00A11745">
        <w:rPr>
          <w:rFonts w:ascii="Calibri" w:hAnsi="Calibri" w:cs="Calibri"/>
          <w:color w:val="000000" w:themeColor="text1"/>
        </w:rPr>
        <w:t xml:space="preserve">0.93) compared with participants in </w:t>
      </w:r>
      <w:r w:rsidR="00674CE9">
        <w:rPr>
          <w:rFonts w:ascii="Calibri" w:hAnsi="Calibri" w:cs="Calibri"/>
          <w:color w:val="000000" w:themeColor="text1"/>
        </w:rPr>
        <w:t xml:space="preserve">the </w:t>
      </w:r>
      <w:r w:rsidR="00D81BAA">
        <w:rPr>
          <w:rFonts w:ascii="Calibri" w:hAnsi="Calibri" w:cs="Calibri"/>
          <w:color w:val="000000" w:themeColor="text1"/>
        </w:rPr>
        <w:t>active CBD grou</w:t>
      </w:r>
      <w:r w:rsidR="00740705">
        <w:rPr>
          <w:rFonts w:ascii="Calibri" w:hAnsi="Calibri" w:cs="Calibri"/>
          <w:color w:val="000000" w:themeColor="text1"/>
        </w:rPr>
        <w:t>p</w:t>
      </w:r>
      <w:r w:rsidR="00D81BAA">
        <w:rPr>
          <w:rFonts w:ascii="Calibri" w:hAnsi="Calibri" w:cs="Calibri"/>
          <w:color w:val="000000" w:themeColor="text1"/>
        </w:rPr>
        <w:t>s (</w:t>
      </w:r>
      <w:r w:rsidR="00674CE9">
        <w:rPr>
          <w:rFonts w:ascii="Calibri" w:hAnsi="Calibri" w:cs="Calibri"/>
          <w:color w:val="000000" w:themeColor="text1"/>
        </w:rPr>
        <w:t>400mg</w:t>
      </w:r>
      <w:r w:rsidR="00A11745" w:rsidRPr="00A11745">
        <w:rPr>
          <w:rFonts w:ascii="Calibri" w:hAnsi="Calibri" w:cs="Calibri"/>
          <w:color w:val="000000" w:themeColor="text1"/>
        </w:rPr>
        <w:t xml:space="preserve"> CBD</w:t>
      </w:r>
      <w:r w:rsidR="00740705">
        <w:rPr>
          <w:rFonts w:ascii="Calibri" w:hAnsi="Calibri" w:cs="Calibri"/>
          <w:color w:val="000000" w:themeColor="text1"/>
        </w:rPr>
        <w:t xml:space="preserve">: </w:t>
      </w:r>
      <w:r w:rsidR="00674CE9">
        <w:rPr>
          <w:rFonts w:ascii="Calibri" w:hAnsi="Calibri" w:cs="Calibri"/>
          <w:color w:val="000000" w:themeColor="text1"/>
        </w:rPr>
        <w:t>M(diff) = 0.44</w:t>
      </w:r>
      <w:r w:rsidR="00740705">
        <w:rPr>
          <w:rFonts w:ascii="Calibri" w:hAnsi="Calibri" w:cs="Calibri"/>
          <w:color w:val="000000" w:themeColor="text1"/>
        </w:rPr>
        <w:t xml:space="preserve">; </w:t>
      </w:r>
      <w:r w:rsidR="00674CE9">
        <w:rPr>
          <w:rFonts w:ascii="Calibri" w:hAnsi="Calibri" w:cs="Calibri"/>
          <w:color w:val="000000" w:themeColor="text1"/>
        </w:rPr>
        <w:t>800mg CBD</w:t>
      </w:r>
      <w:r w:rsidR="00740705">
        <w:rPr>
          <w:rFonts w:ascii="Calibri" w:hAnsi="Calibri" w:cs="Calibri"/>
          <w:color w:val="000000" w:themeColor="text1"/>
        </w:rPr>
        <w:t xml:space="preserve">: </w:t>
      </w:r>
      <w:r w:rsidR="00674CE9">
        <w:rPr>
          <w:rFonts w:ascii="Calibri" w:hAnsi="Calibri" w:cs="Calibri"/>
          <w:color w:val="000000" w:themeColor="text1"/>
        </w:rPr>
        <w:t xml:space="preserve">M(diff) = </w:t>
      </w:r>
      <w:r w:rsidR="00A11745" w:rsidRPr="00A11745">
        <w:rPr>
          <w:rFonts w:ascii="Calibri" w:hAnsi="Calibri" w:cs="Calibri"/>
          <w:color w:val="000000" w:themeColor="text1"/>
        </w:rPr>
        <w:t>0.23</w:t>
      </w:r>
      <w:r w:rsidR="002B7E24">
        <w:rPr>
          <w:rFonts w:ascii="Calibri" w:hAnsi="Calibri" w:cs="Calibri"/>
          <w:color w:val="000000" w:themeColor="text1"/>
        </w:rPr>
        <w:t>)</w:t>
      </w:r>
      <w:r w:rsidR="00A11745" w:rsidRPr="00A11745">
        <w:rPr>
          <w:rFonts w:ascii="Calibri" w:hAnsi="Calibri" w:cs="Calibri"/>
          <w:color w:val="000000" w:themeColor="text1"/>
        </w:rPr>
        <w:t xml:space="preserve">. </w:t>
      </w:r>
      <w:r w:rsidR="00F43660">
        <w:rPr>
          <w:rFonts w:ascii="Calibri" w:hAnsi="Calibri" w:cs="Calibri"/>
          <w:color w:val="000000" w:themeColor="text1"/>
        </w:rPr>
        <w:t xml:space="preserve">No </w:t>
      </w:r>
      <w:r w:rsidR="00D9370B" w:rsidRPr="00D9370B">
        <w:rPr>
          <w:rFonts w:ascii="Calibri" w:hAnsi="Calibri" w:cs="Calibri"/>
          <w:color w:val="000000" w:themeColor="text1"/>
        </w:rPr>
        <w:t xml:space="preserve">significant difference in craving scores </w:t>
      </w:r>
      <w:r w:rsidR="00F43660">
        <w:rPr>
          <w:rFonts w:ascii="Calibri" w:hAnsi="Calibri" w:cs="Calibri"/>
          <w:color w:val="000000" w:themeColor="text1"/>
        </w:rPr>
        <w:t xml:space="preserve">was observed </w:t>
      </w:r>
      <w:r w:rsidR="00D9370B" w:rsidRPr="00D9370B">
        <w:rPr>
          <w:rFonts w:ascii="Calibri" w:hAnsi="Calibri" w:cs="Calibri"/>
          <w:color w:val="000000" w:themeColor="text1"/>
        </w:rPr>
        <w:t>between the</w:t>
      </w:r>
      <w:r w:rsidR="00045DBB">
        <w:rPr>
          <w:rFonts w:ascii="Calibri" w:hAnsi="Calibri" w:cs="Calibri"/>
          <w:color w:val="000000" w:themeColor="text1"/>
        </w:rPr>
        <w:t xml:space="preserve"> active</w:t>
      </w:r>
      <w:r w:rsidR="00D9370B" w:rsidRPr="00D9370B">
        <w:rPr>
          <w:rFonts w:ascii="Calibri" w:hAnsi="Calibri" w:cs="Calibri"/>
          <w:color w:val="000000" w:themeColor="text1"/>
        </w:rPr>
        <w:t xml:space="preserve"> </w:t>
      </w:r>
      <w:r w:rsidR="00F43660">
        <w:rPr>
          <w:rFonts w:ascii="Calibri" w:hAnsi="Calibri" w:cs="Calibri"/>
          <w:color w:val="000000" w:themeColor="text1"/>
        </w:rPr>
        <w:t xml:space="preserve">CBD </w:t>
      </w:r>
      <w:r w:rsidR="00D9370B" w:rsidRPr="00D9370B">
        <w:rPr>
          <w:rFonts w:ascii="Calibri" w:hAnsi="Calibri" w:cs="Calibri"/>
          <w:color w:val="000000" w:themeColor="text1"/>
        </w:rPr>
        <w:t>groups</w:t>
      </w:r>
      <w:r w:rsidR="00A40C32">
        <w:rPr>
          <w:rFonts w:ascii="Calibri" w:hAnsi="Calibri" w:cs="Calibri"/>
          <w:color w:val="000000" w:themeColor="text1"/>
        </w:rPr>
        <w:t xml:space="preserve"> (p-value not reported)</w:t>
      </w:r>
      <w:r w:rsidR="00D9370B" w:rsidRPr="00D9370B">
        <w:rPr>
          <w:rFonts w:ascii="Calibri" w:hAnsi="Calibri" w:cs="Calibri"/>
          <w:color w:val="000000" w:themeColor="text1"/>
        </w:rPr>
        <w:t xml:space="preserve">, indicating that both </w:t>
      </w:r>
      <w:r w:rsidR="00260067">
        <w:rPr>
          <w:rFonts w:ascii="Calibri" w:hAnsi="Calibri" w:cs="Calibri"/>
          <w:color w:val="000000" w:themeColor="text1"/>
        </w:rPr>
        <w:t xml:space="preserve">CBD </w:t>
      </w:r>
      <w:r w:rsidR="00D9370B" w:rsidRPr="00D9370B">
        <w:rPr>
          <w:rFonts w:ascii="Calibri" w:hAnsi="Calibri" w:cs="Calibri"/>
          <w:color w:val="000000" w:themeColor="text1"/>
        </w:rPr>
        <w:t xml:space="preserve">doses </w:t>
      </w:r>
      <w:r w:rsidR="00C15E74">
        <w:rPr>
          <w:rFonts w:ascii="Calibri" w:hAnsi="Calibri" w:cs="Calibri"/>
          <w:color w:val="000000" w:themeColor="text1"/>
        </w:rPr>
        <w:t xml:space="preserve">(400mg; 800mg) </w:t>
      </w:r>
      <w:r w:rsidR="00D9370B" w:rsidRPr="00D9370B">
        <w:rPr>
          <w:rFonts w:ascii="Calibri" w:hAnsi="Calibri" w:cs="Calibri"/>
          <w:color w:val="000000" w:themeColor="text1"/>
        </w:rPr>
        <w:t>equally reduced craving.</w:t>
      </w:r>
      <w:r w:rsidR="00EF5005">
        <w:rPr>
          <w:rFonts w:ascii="Calibri" w:hAnsi="Calibri" w:cs="Calibri"/>
          <w:color w:val="000000" w:themeColor="text1"/>
        </w:rPr>
        <w:t xml:space="preserve"> </w:t>
      </w:r>
      <w:r w:rsidRPr="00E45605">
        <w:rPr>
          <w:rFonts w:ascii="Calibri" w:hAnsi="Calibri" w:cs="Calibri"/>
          <w:color w:val="000000" w:themeColor="text1"/>
        </w:rPr>
        <w:t xml:space="preserve">This study </w:t>
      </w:r>
      <w:r w:rsidR="05D63825" w:rsidRPr="00E45605">
        <w:rPr>
          <w:rFonts w:ascii="Calibri" w:hAnsi="Calibri" w:cs="Calibri"/>
          <w:color w:val="000000" w:themeColor="text1"/>
        </w:rPr>
        <w:t xml:space="preserve">was judged to have </w:t>
      </w:r>
      <w:r w:rsidRPr="00E45605">
        <w:rPr>
          <w:rFonts w:ascii="Calibri" w:hAnsi="Calibri" w:cs="Calibri"/>
          <w:color w:val="000000" w:themeColor="text1"/>
        </w:rPr>
        <w:t>a high risk of bias</w:t>
      </w:r>
      <w:r w:rsidR="00CD096B">
        <w:rPr>
          <w:rFonts w:ascii="Calibri" w:hAnsi="Calibri" w:cs="Calibri"/>
          <w:color w:val="000000" w:themeColor="text1"/>
        </w:rPr>
        <w:t xml:space="preserve">. </w:t>
      </w:r>
      <w:r w:rsidR="001718CE" w:rsidRPr="001718CE">
        <w:rPr>
          <w:rFonts w:ascii="Calibri" w:hAnsi="Calibri" w:cs="Calibri"/>
          <w:color w:val="000000" w:themeColor="text1"/>
        </w:rPr>
        <w:t xml:space="preserve">The study employed per-protocol analysis (rather than intention-to-treat analysis); excluding eight participants </w:t>
      </w:r>
      <w:r w:rsidR="00C873D1">
        <w:rPr>
          <w:rFonts w:ascii="Calibri" w:hAnsi="Calibri" w:cs="Calibri"/>
          <w:color w:val="000000" w:themeColor="text1"/>
        </w:rPr>
        <w:t xml:space="preserve">who dropped out of the study </w:t>
      </w:r>
      <w:r w:rsidR="00AA19C0">
        <w:rPr>
          <w:rFonts w:ascii="Calibri" w:hAnsi="Calibri" w:cs="Calibri"/>
          <w:color w:val="000000" w:themeColor="text1"/>
        </w:rPr>
        <w:t xml:space="preserve">following randomisation </w:t>
      </w:r>
      <w:r w:rsidR="00FA789B">
        <w:rPr>
          <w:rFonts w:ascii="Calibri" w:hAnsi="Calibri" w:cs="Calibri"/>
          <w:color w:val="000000" w:themeColor="text1"/>
        </w:rPr>
        <w:t>(</w:t>
      </w:r>
      <w:r w:rsidR="00FA789B" w:rsidRPr="00F62917">
        <w:rPr>
          <w:rFonts w:ascii="Calibri" w:hAnsi="Calibri" w:cs="Calibri"/>
          <w:i/>
          <w:iCs/>
          <w:color w:val="000000" w:themeColor="text1"/>
        </w:rPr>
        <w:t>n</w:t>
      </w:r>
      <w:r w:rsidR="00FA789B">
        <w:rPr>
          <w:rFonts w:ascii="Calibri" w:hAnsi="Calibri" w:cs="Calibri"/>
          <w:color w:val="000000" w:themeColor="text1"/>
        </w:rPr>
        <w:t xml:space="preserve"> = 8</w:t>
      </w:r>
      <w:r w:rsidR="00E3081C">
        <w:rPr>
          <w:rFonts w:ascii="Calibri" w:hAnsi="Calibri" w:cs="Calibri"/>
          <w:color w:val="000000" w:themeColor="text1"/>
        </w:rPr>
        <w:t>/50; 16%)</w:t>
      </w:r>
      <w:r w:rsidR="001718CE" w:rsidRPr="001718CE">
        <w:rPr>
          <w:rFonts w:ascii="Calibri" w:hAnsi="Calibri" w:cs="Calibri"/>
          <w:color w:val="000000" w:themeColor="text1"/>
        </w:rPr>
        <w:t xml:space="preserve"> for various reason</w:t>
      </w:r>
      <w:r w:rsidR="00A10A07">
        <w:rPr>
          <w:rFonts w:ascii="Calibri" w:hAnsi="Calibri" w:cs="Calibri"/>
          <w:color w:val="000000" w:themeColor="text1"/>
        </w:rPr>
        <w:t xml:space="preserve">s (e.g., voluntary </w:t>
      </w:r>
      <w:r w:rsidR="00A10A07">
        <w:rPr>
          <w:rFonts w:ascii="Calibri" w:hAnsi="Calibri" w:cs="Calibri"/>
          <w:color w:val="000000" w:themeColor="text1"/>
        </w:rPr>
        <w:lastRenderedPageBreak/>
        <w:t>withdrawal, los</w:t>
      </w:r>
      <w:r w:rsidR="00C22039">
        <w:rPr>
          <w:rFonts w:ascii="Calibri" w:hAnsi="Calibri" w:cs="Calibri"/>
          <w:color w:val="000000" w:themeColor="text1"/>
        </w:rPr>
        <w:t>t</w:t>
      </w:r>
      <w:r w:rsidR="00A10A07">
        <w:rPr>
          <w:rFonts w:ascii="Calibri" w:hAnsi="Calibri" w:cs="Calibri"/>
          <w:color w:val="000000" w:themeColor="text1"/>
        </w:rPr>
        <w:t xml:space="preserve"> to follow-up)</w:t>
      </w:r>
      <w:r w:rsidR="001718CE" w:rsidRPr="001718CE">
        <w:rPr>
          <w:rFonts w:ascii="Calibri" w:hAnsi="Calibri" w:cs="Calibri"/>
          <w:color w:val="000000" w:themeColor="text1"/>
        </w:rPr>
        <w:t xml:space="preserve">. </w:t>
      </w:r>
      <w:r w:rsidR="00A16638">
        <w:rPr>
          <w:rFonts w:ascii="Calibri" w:hAnsi="Calibri" w:cs="Calibri"/>
          <w:color w:val="000000" w:themeColor="text1"/>
        </w:rPr>
        <w:t>Baseline data for these participants was not reported; and t</w:t>
      </w:r>
      <w:r w:rsidR="001718CE" w:rsidRPr="001718CE">
        <w:rPr>
          <w:rFonts w:ascii="Calibri" w:hAnsi="Calibri" w:cs="Calibri"/>
          <w:color w:val="000000" w:themeColor="text1"/>
        </w:rPr>
        <w:t xml:space="preserve">he reasons for dropout </w:t>
      </w:r>
      <w:r w:rsidR="00A10A07" w:rsidRPr="001718CE">
        <w:rPr>
          <w:rFonts w:ascii="Calibri" w:hAnsi="Calibri" w:cs="Calibri"/>
          <w:color w:val="000000" w:themeColor="text1"/>
        </w:rPr>
        <w:t>were not</w:t>
      </w:r>
      <w:r w:rsidR="001718CE" w:rsidRPr="001718CE">
        <w:rPr>
          <w:rFonts w:ascii="Calibri" w:hAnsi="Calibri" w:cs="Calibri"/>
          <w:color w:val="000000" w:themeColor="text1"/>
        </w:rPr>
        <w:t xml:space="preserve"> reported by study condition</w:t>
      </w:r>
      <w:r w:rsidR="00045DBB">
        <w:rPr>
          <w:rFonts w:ascii="Calibri" w:hAnsi="Calibri" w:cs="Calibri"/>
          <w:color w:val="000000" w:themeColor="text1"/>
        </w:rPr>
        <w:t>. T</w:t>
      </w:r>
      <w:r w:rsidR="001718CE" w:rsidRPr="001718CE">
        <w:rPr>
          <w:rFonts w:ascii="Calibri" w:hAnsi="Calibri" w:cs="Calibri"/>
          <w:color w:val="000000" w:themeColor="text1"/>
        </w:rPr>
        <w:t>hus, the differences in missing outcome data for the CBD and placebo groups could not be assessed.</w:t>
      </w:r>
      <w:r w:rsidR="00A10A07">
        <w:rPr>
          <w:rFonts w:ascii="Calibri" w:hAnsi="Calibri" w:cs="Calibri"/>
          <w:color w:val="000000" w:themeColor="text1"/>
        </w:rPr>
        <w:t xml:space="preserve"> </w:t>
      </w:r>
      <w:r w:rsidR="00575552">
        <w:rPr>
          <w:rFonts w:ascii="Calibri" w:hAnsi="Calibri" w:cs="Calibri"/>
          <w:color w:val="000000" w:themeColor="text1"/>
        </w:rPr>
        <w:t>Additionally, a</w:t>
      </w:r>
      <w:r w:rsidR="00890AD6" w:rsidRPr="00E45605">
        <w:rPr>
          <w:rFonts w:ascii="Calibri" w:hAnsi="Calibri" w:cs="Calibri"/>
          <w:color w:val="000000" w:themeColor="text1"/>
        </w:rPr>
        <w:t xml:space="preserve">bstinence was required for study participation, and </w:t>
      </w:r>
      <w:r w:rsidR="00CD096B">
        <w:rPr>
          <w:rFonts w:ascii="Calibri" w:hAnsi="Calibri" w:cs="Calibri"/>
          <w:color w:val="000000" w:themeColor="text1"/>
        </w:rPr>
        <w:t xml:space="preserve">the </w:t>
      </w:r>
      <w:r w:rsidR="00E45605" w:rsidRPr="00E45605">
        <w:rPr>
          <w:rFonts w:ascii="Calibri" w:hAnsi="Calibri" w:cs="Calibri"/>
          <w:color w:val="000000" w:themeColor="text1"/>
        </w:rPr>
        <w:t xml:space="preserve">participants </w:t>
      </w:r>
      <w:r w:rsidR="00890AD6" w:rsidRPr="00E45605">
        <w:rPr>
          <w:rFonts w:ascii="Calibri" w:hAnsi="Calibri" w:cs="Calibri"/>
          <w:color w:val="000000" w:themeColor="text1"/>
        </w:rPr>
        <w:t>who dropped out of the study may have had more severe symptoms</w:t>
      </w:r>
      <w:r w:rsidRPr="00E45605">
        <w:rPr>
          <w:rFonts w:ascii="Calibri" w:hAnsi="Calibri" w:cs="Calibri"/>
          <w:color w:val="000000" w:themeColor="text1"/>
        </w:rPr>
        <w:t xml:space="preserve"> of </w:t>
      </w:r>
      <w:r w:rsidR="00890AD6" w:rsidRPr="00E45605">
        <w:rPr>
          <w:rFonts w:ascii="Calibri" w:hAnsi="Calibri" w:cs="Calibri"/>
          <w:color w:val="000000" w:themeColor="text1"/>
        </w:rPr>
        <w:t>addiction.</w:t>
      </w:r>
      <w:r w:rsidR="00045DBB">
        <w:rPr>
          <w:rFonts w:ascii="Calibri" w:hAnsi="Calibri" w:cs="Calibri"/>
          <w:color w:val="000000" w:themeColor="text1"/>
        </w:rPr>
        <w:t xml:space="preserve"> </w:t>
      </w:r>
      <w:r w:rsidR="00CD096B">
        <w:rPr>
          <w:rFonts w:ascii="Calibri" w:hAnsi="Calibri" w:cs="Calibri"/>
          <w:color w:val="000000" w:themeColor="text1"/>
        </w:rPr>
        <w:t>Finally, t</w:t>
      </w:r>
      <w:r w:rsidR="00873520">
        <w:rPr>
          <w:rFonts w:ascii="Calibri" w:hAnsi="Calibri" w:cs="Calibri"/>
          <w:color w:val="000000" w:themeColor="text1"/>
        </w:rPr>
        <w:t>he eff</w:t>
      </w:r>
      <w:r w:rsidR="00C2443E">
        <w:rPr>
          <w:rFonts w:ascii="Calibri" w:hAnsi="Calibri" w:cs="Calibri"/>
          <w:color w:val="000000" w:themeColor="text1"/>
        </w:rPr>
        <w:t>icacy</w:t>
      </w:r>
      <w:r w:rsidR="00873520">
        <w:rPr>
          <w:rFonts w:ascii="Calibri" w:hAnsi="Calibri" w:cs="Calibri"/>
          <w:color w:val="000000" w:themeColor="text1"/>
        </w:rPr>
        <w:t xml:space="preserve"> of the</w:t>
      </w:r>
      <w:r w:rsidR="00CD096B">
        <w:rPr>
          <w:rFonts w:ascii="Calibri" w:hAnsi="Calibri" w:cs="Calibri"/>
          <w:color w:val="000000" w:themeColor="text1"/>
        </w:rPr>
        <w:t xml:space="preserve"> study blind</w:t>
      </w:r>
      <w:r w:rsidR="005E3F40" w:rsidRPr="005E3F40">
        <w:rPr>
          <w:rFonts w:ascii="Calibri" w:hAnsi="Calibri" w:cs="Calibri"/>
          <w:color w:val="000000" w:themeColor="text1"/>
        </w:rPr>
        <w:t xml:space="preserve"> was not assessed</w:t>
      </w:r>
      <w:r w:rsidR="00D61ABF">
        <w:rPr>
          <w:rFonts w:ascii="Calibri" w:hAnsi="Calibri" w:cs="Calibri"/>
          <w:color w:val="000000" w:themeColor="text1"/>
        </w:rPr>
        <w:t xml:space="preserve">, which </w:t>
      </w:r>
      <w:r w:rsidR="00F108BF">
        <w:rPr>
          <w:rFonts w:ascii="Calibri" w:hAnsi="Calibri" w:cs="Calibri"/>
          <w:color w:val="000000" w:themeColor="text1"/>
        </w:rPr>
        <w:t xml:space="preserve">may have </w:t>
      </w:r>
      <w:r w:rsidR="005B471C">
        <w:rPr>
          <w:rFonts w:ascii="Calibri" w:hAnsi="Calibri" w:cs="Calibri"/>
          <w:color w:val="000000" w:themeColor="text1"/>
        </w:rPr>
        <w:t xml:space="preserve">influenced responses to </w:t>
      </w:r>
      <w:r w:rsidR="009E2B82">
        <w:rPr>
          <w:rFonts w:ascii="Calibri" w:hAnsi="Calibri" w:cs="Calibri"/>
          <w:color w:val="000000" w:themeColor="text1"/>
        </w:rPr>
        <w:t xml:space="preserve">the self-reported </w:t>
      </w:r>
      <w:r w:rsidR="00793032">
        <w:rPr>
          <w:rFonts w:ascii="Calibri" w:hAnsi="Calibri" w:cs="Calibri"/>
          <w:color w:val="000000" w:themeColor="text1"/>
        </w:rPr>
        <w:t>outcome measures if participants discerned the allocation to study conditions</w:t>
      </w:r>
      <w:r w:rsidR="005E3F40" w:rsidRPr="005E3F40">
        <w:rPr>
          <w:rFonts w:ascii="Calibri" w:hAnsi="Calibri" w:cs="Calibri"/>
          <w:color w:val="000000" w:themeColor="text1"/>
        </w:rPr>
        <w:t>.</w:t>
      </w:r>
    </w:p>
    <w:p w14:paraId="33BCE800" w14:textId="056D6C1C" w:rsidR="003E1DB1" w:rsidRDefault="003E1DB1" w:rsidP="00167280">
      <w:pPr>
        <w:jc w:val="both"/>
        <w:rPr>
          <w:rFonts w:eastAsia="Times New Roman"/>
          <w:lang w:eastAsia="en-AU"/>
        </w:rPr>
      </w:pPr>
      <w:r w:rsidRPr="7F2F8ECC">
        <w:t>Hindocha and colleagues (2018</w:t>
      </w:r>
      <w:r w:rsidR="00A71A96" w:rsidRPr="7F2F8ECC">
        <w:t xml:space="preserve">; </w:t>
      </w:r>
      <w:r w:rsidR="00A71A96" w:rsidRPr="7F2F8ECC">
        <w:rPr>
          <w:i/>
          <w:iCs/>
        </w:rPr>
        <w:t>n</w:t>
      </w:r>
      <w:r w:rsidR="00A71A96" w:rsidRPr="7F2F8ECC">
        <w:t xml:space="preserve"> = </w:t>
      </w:r>
      <w:r w:rsidR="00461FA5">
        <w:t>44</w:t>
      </w:r>
      <w:r w:rsidRPr="7F2F8ECC">
        <w:t xml:space="preserve">) </w:t>
      </w:r>
      <w:r w:rsidR="00015B3C" w:rsidRPr="7F2F8ECC">
        <w:t>recruited</w:t>
      </w:r>
      <w:r w:rsidR="00573850">
        <w:t xml:space="preserve"> </w:t>
      </w:r>
      <w:r w:rsidR="00015B3C" w:rsidRPr="7F2F8ECC">
        <w:t>participants</w:t>
      </w:r>
      <w:r w:rsidR="00337FC9">
        <w:t xml:space="preserve"> </w:t>
      </w:r>
      <w:r w:rsidR="00CF0460">
        <w:t xml:space="preserve">with </w:t>
      </w:r>
      <w:r w:rsidR="00443225">
        <w:t xml:space="preserve">a </w:t>
      </w:r>
      <w:r w:rsidR="00337FC9">
        <w:t>nicotine dependen</w:t>
      </w:r>
      <w:r w:rsidR="00443225">
        <w:t>ce</w:t>
      </w:r>
      <w:r w:rsidR="00B61E21">
        <w:t>, who were not treatment seeking,</w:t>
      </w:r>
      <w:r w:rsidR="00337FC9">
        <w:t xml:space="preserve"> </w:t>
      </w:r>
      <w:r w:rsidR="00015B3C" w:rsidRPr="7F2F8ECC">
        <w:t xml:space="preserve">from </w:t>
      </w:r>
      <w:r w:rsidR="00890AD6">
        <w:t>the community</w:t>
      </w:r>
      <w:r w:rsidR="00015B3C" w:rsidRPr="7F2F8ECC">
        <w:t xml:space="preserve">. </w:t>
      </w:r>
      <w:r w:rsidR="00443225">
        <w:t xml:space="preserve">Nicotine dependence was defined as </w:t>
      </w:r>
      <w:r w:rsidR="00FF5A87">
        <w:t xml:space="preserve">smoking </w:t>
      </w:r>
      <w:r w:rsidR="005402EE">
        <w:t>a</w:t>
      </w:r>
      <w:r w:rsidR="005402EE" w:rsidRPr="005402EE">
        <w:t xml:space="preserve">t least (≥) 10 cigarettes </w:t>
      </w:r>
      <w:r w:rsidR="00B61E21">
        <w:t>per</w:t>
      </w:r>
      <w:r w:rsidR="005402EE" w:rsidRPr="005402EE">
        <w:t xml:space="preserve"> day</w:t>
      </w:r>
      <w:r w:rsidR="00EC4450">
        <w:t xml:space="preserve"> (</w:t>
      </w:r>
      <w:r w:rsidR="005402EE" w:rsidRPr="005402EE">
        <w:t>for a</w:t>
      </w:r>
      <w:r w:rsidR="005402EE">
        <w:t xml:space="preserve"> minimum of </w:t>
      </w:r>
      <w:r w:rsidR="005402EE" w:rsidRPr="005402EE">
        <w:t>one year</w:t>
      </w:r>
      <w:r w:rsidR="00EC4450">
        <w:t>)</w:t>
      </w:r>
      <w:r w:rsidR="005402EE" w:rsidRPr="005402EE">
        <w:t>; and a score of at least (≥) 4 (moderate dependence) on the Fagerström Test for Nicotine Dependence (FTND).</w:t>
      </w:r>
      <w:r w:rsidR="00B61E21">
        <w:t xml:space="preserve"> </w:t>
      </w:r>
      <w:r w:rsidR="00D7467B">
        <w:t xml:space="preserve">All participants received </w:t>
      </w:r>
      <w:r w:rsidR="00720468">
        <w:t>three (</w:t>
      </w:r>
      <w:r w:rsidR="00D7467B">
        <w:t>3</w:t>
      </w:r>
      <w:r w:rsidR="00720468">
        <w:t>)</w:t>
      </w:r>
      <w:r w:rsidR="00D7467B">
        <w:t xml:space="preserve"> sessio</w:t>
      </w:r>
      <w:r w:rsidR="00720468">
        <w:t>ns</w:t>
      </w:r>
      <w:r w:rsidR="00D7467B">
        <w:t>: one</w:t>
      </w:r>
      <w:r w:rsidR="00307A34">
        <w:t xml:space="preserve"> (75</w:t>
      </w:r>
      <w:r w:rsidR="008F7896">
        <w:t>-</w:t>
      </w:r>
      <w:r w:rsidR="00307A34">
        <w:t>minute)</w:t>
      </w:r>
      <w:r w:rsidR="00D7467B">
        <w:t xml:space="preserve"> </w:t>
      </w:r>
      <w:r w:rsidR="00A05978">
        <w:t>“</w:t>
      </w:r>
      <w:r w:rsidR="00D7467B">
        <w:t>satiated</w:t>
      </w:r>
      <w:r w:rsidR="00A05978">
        <w:t>”</w:t>
      </w:r>
      <w:r w:rsidR="00D7467B">
        <w:t xml:space="preserve"> session</w:t>
      </w:r>
      <w:r w:rsidR="00720468">
        <w:t xml:space="preserve"> (baseline</w:t>
      </w:r>
      <w:r w:rsidR="00775990">
        <w:t xml:space="preserve">; smoking </w:t>
      </w:r>
      <w:r w:rsidR="00340856">
        <w:t>“</w:t>
      </w:r>
      <w:r w:rsidR="00775990">
        <w:t>as normal</w:t>
      </w:r>
      <w:r w:rsidR="00340856">
        <w:t>”</w:t>
      </w:r>
      <w:r w:rsidR="00775990">
        <w:t xml:space="preserve"> prior to the session</w:t>
      </w:r>
      <w:r w:rsidR="00720468">
        <w:t>)</w:t>
      </w:r>
      <w:r w:rsidR="00D7467B">
        <w:t xml:space="preserve">, and two </w:t>
      </w:r>
      <w:r w:rsidR="00720468">
        <w:t>(3.5</w:t>
      </w:r>
      <w:r w:rsidR="00AB7C17">
        <w:t>-</w:t>
      </w:r>
      <w:r w:rsidR="00720468">
        <w:t xml:space="preserve">hour) </w:t>
      </w:r>
      <w:r w:rsidR="00A05978">
        <w:t>“</w:t>
      </w:r>
      <w:r w:rsidR="00D7467B">
        <w:t>abstinence</w:t>
      </w:r>
      <w:r w:rsidR="00A05978">
        <w:t>”</w:t>
      </w:r>
      <w:r w:rsidR="00D7467B">
        <w:t xml:space="preserve"> sessions</w:t>
      </w:r>
      <w:r w:rsidR="00720468">
        <w:t xml:space="preserve"> (intervention</w:t>
      </w:r>
      <w:r w:rsidR="00775990">
        <w:t xml:space="preserve">; </w:t>
      </w:r>
      <w:r w:rsidR="00D85A63">
        <w:t>overnight abstine</w:t>
      </w:r>
      <w:r w:rsidR="005D2485">
        <w:t>n</w:t>
      </w:r>
      <w:r w:rsidR="00D85A63">
        <w:t>ce prior to the sessions</w:t>
      </w:r>
      <w:r w:rsidR="00720468">
        <w:t>)</w:t>
      </w:r>
      <w:r w:rsidR="00D7467B">
        <w:t xml:space="preserve">. </w:t>
      </w:r>
      <w:r w:rsidR="00AB7C17">
        <w:t xml:space="preserve">For the </w:t>
      </w:r>
      <w:r w:rsidR="00015B3C" w:rsidRPr="7F2F8ECC">
        <w:t xml:space="preserve">two </w:t>
      </w:r>
      <w:r w:rsidR="00C166FD">
        <w:t>“abstinence” (</w:t>
      </w:r>
      <w:r w:rsidR="00015B3C" w:rsidRPr="7F2F8ECC">
        <w:t>intervention</w:t>
      </w:r>
      <w:r w:rsidR="00C166FD">
        <w:t>)</w:t>
      </w:r>
      <w:r w:rsidR="00F05DA6">
        <w:t xml:space="preserve"> session</w:t>
      </w:r>
      <w:r w:rsidR="00015B3C" w:rsidRPr="7F2F8ECC">
        <w:t>s</w:t>
      </w:r>
      <w:r w:rsidR="00F05DA6">
        <w:t xml:space="preserve">, participants received </w:t>
      </w:r>
      <w:r w:rsidR="00641927">
        <w:t>oral capsule</w:t>
      </w:r>
      <w:r w:rsidR="00F05DA6">
        <w:t>s</w:t>
      </w:r>
      <w:r w:rsidR="00641927">
        <w:t xml:space="preserve"> </w:t>
      </w:r>
      <w:r w:rsidR="00015B3C" w:rsidRPr="7F2F8ECC">
        <w:t xml:space="preserve">in a </w:t>
      </w:r>
      <w:r w:rsidR="00890AD6">
        <w:t>crossover design</w:t>
      </w:r>
      <w:r w:rsidR="00DB4DB1">
        <w:t>: (i</w:t>
      </w:r>
      <w:r w:rsidR="00DB4DB1" w:rsidRPr="7F2F8ECC">
        <w:t>) 800</w:t>
      </w:r>
      <w:r w:rsidR="00DB4DB1">
        <w:t xml:space="preserve"> mg</w:t>
      </w:r>
      <w:r w:rsidR="00DB4DB1" w:rsidRPr="7F2F8ECC">
        <w:t xml:space="preserve"> CBD</w:t>
      </w:r>
      <w:r w:rsidR="00DB4DB1">
        <w:t>; and (ii</w:t>
      </w:r>
      <w:r w:rsidR="00DB4DB1" w:rsidRPr="7F2F8ECC">
        <w:t xml:space="preserve">) </w:t>
      </w:r>
      <w:r w:rsidR="00DB4DB1">
        <w:t xml:space="preserve">matched </w:t>
      </w:r>
      <w:r w:rsidR="00DB4DB1" w:rsidRPr="7F2F8ECC">
        <w:t>placebo (lactose powder)</w:t>
      </w:r>
      <w:r w:rsidR="00824E64">
        <w:t xml:space="preserve">. The </w:t>
      </w:r>
      <w:r w:rsidR="00354B2F">
        <w:t xml:space="preserve">intervention </w:t>
      </w:r>
      <w:r w:rsidR="00D84B33">
        <w:t>order</w:t>
      </w:r>
      <w:r w:rsidR="00DB4DB1">
        <w:t xml:space="preserve"> was</w:t>
      </w:r>
      <w:r w:rsidR="00D84B33">
        <w:t xml:space="preserve"> randomised</w:t>
      </w:r>
      <w:r w:rsidR="00DB4DB1">
        <w:t>,</w:t>
      </w:r>
      <w:r w:rsidR="005411B3">
        <w:t xml:space="preserve"> and counterbalanced</w:t>
      </w:r>
      <w:r w:rsidR="00D84B33">
        <w:t xml:space="preserve"> across </w:t>
      </w:r>
      <w:r w:rsidR="00F179EF">
        <w:t>participant</w:t>
      </w:r>
      <w:r w:rsidR="009925C3">
        <w:t xml:space="preserve"> gender</w:t>
      </w:r>
      <w:r w:rsidR="00DB4DB1">
        <w:t>,</w:t>
      </w:r>
      <w:r w:rsidR="005411B3">
        <w:t xml:space="preserve"> </w:t>
      </w:r>
      <w:r w:rsidR="005411B3">
        <w:rPr>
          <w:color w:val="000000" w:themeColor="text1"/>
        </w:rPr>
        <w:t>an</w:t>
      </w:r>
      <w:r w:rsidR="00DB4DB1">
        <w:rPr>
          <w:color w:val="000000" w:themeColor="text1"/>
        </w:rPr>
        <w:t>d there was</w:t>
      </w:r>
      <w:r w:rsidR="005411B3">
        <w:rPr>
          <w:color w:val="000000" w:themeColor="text1"/>
        </w:rPr>
        <w:t xml:space="preserve"> </w:t>
      </w:r>
      <w:r w:rsidR="005411B3" w:rsidRPr="7F2F8ECC">
        <w:rPr>
          <w:color w:val="000000" w:themeColor="text1"/>
        </w:rPr>
        <w:t xml:space="preserve">a washout period of at least </w:t>
      </w:r>
      <w:r w:rsidR="005411B3">
        <w:rPr>
          <w:color w:val="000000" w:themeColor="text1"/>
        </w:rPr>
        <w:t xml:space="preserve">one week between </w:t>
      </w:r>
      <w:r w:rsidR="00B95DCF">
        <w:rPr>
          <w:color w:val="000000" w:themeColor="text1"/>
        </w:rPr>
        <w:t>sessions</w:t>
      </w:r>
      <w:r w:rsidR="00DB4DB1">
        <w:rPr>
          <w:color w:val="000000" w:themeColor="text1"/>
        </w:rPr>
        <w:t>.</w:t>
      </w:r>
      <w:r w:rsidR="00890AD6">
        <w:t xml:space="preserve"> </w:t>
      </w:r>
      <w:r w:rsidR="005E012E">
        <w:t>Individuals</w:t>
      </w:r>
      <w:r w:rsidR="00015B3C" w:rsidRPr="7F2F8ECC">
        <w:t xml:space="preserve"> who were undergoing nicotine </w:t>
      </w:r>
      <w:r w:rsidR="001A4226">
        <w:t>replacement</w:t>
      </w:r>
      <w:r w:rsidR="00221FD5">
        <w:t xml:space="preserve"> or </w:t>
      </w:r>
      <w:r w:rsidR="00B16425">
        <w:t>cessation</w:t>
      </w:r>
      <w:r w:rsidR="00015B3C" w:rsidRPr="7F2F8ECC">
        <w:t xml:space="preserve"> pharmacotherapy were not included in the study. The outcome measures were </w:t>
      </w:r>
      <w:r w:rsidR="00595C24">
        <w:t xml:space="preserve">the </w:t>
      </w:r>
      <w:r w:rsidR="00EA305B" w:rsidRPr="7F2F8ECC">
        <w:t>Questionnaire of Smoking Urg</w:t>
      </w:r>
      <w:r w:rsidR="00EA305B">
        <w:t>es – Brief (QSU-B; primary outcome</w:t>
      </w:r>
      <w:r w:rsidR="000F7D93">
        <w:t>: self-reported craving</w:t>
      </w:r>
      <w:r w:rsidR="00EA305B">
        <w:t xml:space="preserve">), the </w:t>
      </w:r>
      <w:r w:rsidR="00015B3C" w:rsidRPr="7F2F8ECC">
        <w:t>Mood and Physical Symptoms Scale (MPSS</w:t>
      </w:r>
      <w:r w:rsidR="00EA305B">
        <w:t>; primary outcome</w:t>
      </w:r>
      <w:r w:rsidR="00DE5B6E">
        <w:t>: self-reported</w:t>
      </w:r>
      <w:r w:rsidR="000F7D93">
        <w:t xml:space="preserve"> withdrawal</w:t>
      </w:r>
      <w:r w:rsidR="00015B3C" w:rsidRPr="7F2F8ECC">
        <w:t xml:space="preserve">), </w:t>
      </w:r>
      <w:r w:rsidR="00EA305B">
        <w:t>a</w:t>
      </w:r>
      <w:r w:rsidR="00EA305B" w:rsidRPr="7F2F8ECC">
        <w:t xml:space="preserve"> visual probe task, </w:t>
      </w:r>
      <w:r w:rsidR="00EA305B">
        <w:t xml:space="preserve">a </w:t>
      </w:r>
      <w:r w:rsidR="00EA305B" w:rsidRPr="7F2F8ECC">
        <w:t xml:space="preserve">pleasantness rating task, </w:t>
      </w:r>
      <w:r w:rsidR="00CF391C">
        <w:t xml:space="preserve">and </w:t>
      </w:r>
      <w:r w:rsidR="00EA305B">
        <w:t xml:space="preserve">a </w:t>
      </w:r>
      <w:r w:rsidR="00CF391C">
        <w:t>V</w:t>
      </w:r>
      <w:r w:rsidR="00CF391C" w:rsidRPr="7F2F8ECC">
        <w:t>is</w:t>
      </w:r>
      <w:r w:rsidR="00CF391C">
        <w:t>ual Analogue Scale (VAS</w:t>
      </w:r>
      <w:r w:rsidR="00B31C75">
        <w:t xml:space="preserve">; self-reported </w:t>
      </w:r>
      <w:r w:rsidR="00CF391C">
        <w:t>side effects</w:t>
      </w:r>
      <w:r w:rsidR="00B31C75">
        <w:t>)</w:t>
      </w:r>
      <w:r w:rsidR="00015B3C" w:rsidRPr="7F2F8ECC">
        <w:t xml:space="preserve">. Assessments were conducted at multiple time-points for each session: </w:t>
      </w:r>
      <w:r w:rsidR="00344CD5">
        <w:t>baseline</w:t>
      </w:r>
      <w:r w:rsidR="00015B3C" w:rsidRPr="7F2F8ECC">
        <w:t xml:space="preserve"> </w:t>
      </w:r>
      <w:r w:rsidR="005F12DB">
        <w:t xml:space="preserve">(satiated) </w:t>
      </w:r>
      <w:r w:rsidR="00D0793F">
        <w:t xml:space="preserve">session </w:t>
      </w:r>
      <w:r w:rsidR="00344CD5">
        <w:t>(</w:t>
      </w:r>
      <w:r w:rsidR="000354D3" w:rsidRPr="000354D3">
        <w:t>minute 12: T1</w:t>
      </w:r>
      <w:r w:rsidR="00D0793F">
        <w:t>;</w:t>
      </w:r>
      <w:r w:rsidR="000354D3" w:rsidRPr="000354D3">
        <w:t xml:space="preserve"> minute 35: T2</w:t>
      </w:r>
      <w:r w:rsidR="00D0793F">
        <w:t>; and</w:t>
      </w:r>
      <w:r w:rsidR="000354D3" w:rsidRPr="000354D3">
        <w:t xml:space="preserve"> minute 75: T3</w:t>
      </w:r>
      <w:r w:rsidR="00D0793F">
        <w:t xml:space="preserve">) </w:t>
      </w:r>
      <w:r w:rsidR="5C2ABF0E" w:rsidRPr="548414C3">
        <w:t xml:space="preserve">and </w:t>
      </w:r>
      <w:r w:rsidR="00D0793F">
        <w:t xml:space="preserve">intervention </w:t>
      </w:r>
      <w:r w:rsidR="005F12DB">
        <w:t xml:space="preserve">(abstinence) </w:t>
      </w:r>
      <w:r w:rsidR="00D0793F">
        <w:t>session</w:t>
      </w:r>
      <w:r w:rsidR="00F10761">
        <w:t>s</w:t>
      </w:r>
      <w:r w:rsidR="00D0793F">
        <w:t xml:space="preserve"> (</w:t>
      </w:r>
      <w:r w:rsidR="00167280">
        <w:t>minute 5</w:t>
      </w:r>
      <w:r w:rsidR="00FC0C83">
        <w:t xml:space="preserve">: </w:t>
      </w:r>
      <w:r w:rsidR="00167280">
        <w:t>T1; minute 70</w:t>
      </w:r>
      <w:r w:rsidR="00FC0C83">
        <w:t xml:space="preserve">: </w:t>
      </w:r>
      <w:r w:rsidR="00167280">
        <w:t>T2; minute 130</w:t>
      </w:r>
      <w:r w:rsidR="00FC0C83">
        <w:t xml:space="preserve">: </w:t>
      </w:r>
      <w:r w:rsidR="00167280">
        <w:t>T3; and minute 200</w:t>
      </w:r>
      <w:r w:rsidR="00FC0C83">
        <w:t xml:space="preserve">: </w:t>
      </w:r>
      <w:r w:rsidR="00167280">
        <w:t>T4</w:t>
      </w:r>
      <w:r w:rsidR="3B23F756" w:rsidRPr="548414C3">
        <w:t>)</w:t>
      </w:r>
      <w:r w:rsidR="00015B3C" w:rsidRPr="7F2F8ECC">
        <w:t xml:space="preserve">. Clinical treatment response was not defined in the study. </w:t>
      </w:r>
      <w:r w:rsidR="00530766" w:rsidRPr="00530766">
        <w:t>Prior to drug administration, craving (as measured by the QSU-B) and withdrawal (as measured by the MPSS) was greater under the abstinen</w:t>
      </w:r>
      <w:r w:rsidR="005F12DB">
        <w:t>ce</w:t>
      </w:r>
      <w:r w:rsidR="00530766" w:rsidRPr="00530766">
        <w:t xml:space="preserve"> (intervention) </w:t>
      </w:r>
      <w:r w:rsidR="00A00C95">
        <w:t>session</w:t>
      </w:r>
      <w:r w:rsidR="00530766" w:rsidRPr="00530766">
        <w:t xml:space="preserve">s than under the satiation (baseline) </w:t>
      </w:r>
      <w:r w:rsidR="00A00C95">
        <w:t>session</w:t>
      </w:r>
      <w:r w:rsidR="00530766" w:rsidRPr="00530766">
        <w:t xml:space="preserve"> (both </w:t>
      </w:r>
      <w:r w:rsidR="00530766" w:rsidRPr="00F62917">
        <w:rPr>
          <w:i/>
          <w:iCs/>
        </w:rPr>
        <w:t>p</w:t>
      </w:r>
      <w:r w:rsidR="00530766" w:rsidRPr="00530766">
        <w:t xml:space="preserve">'s &lt; 0.001), </w:t>
      </w:r>
      <w:r w:rsidR="00C457A8">
        <w:t>indicati</w:t>
      </w:r>
      <w:r w:rsidR="00530766" w:rsidRPr="00530766">
        <w:t xml:space="preserve">ng that abstinence increased </w:t>
      </w:r>
      <w:r w:rsidR="00C457A8">
        <w:t xml:space="preserve">self-reported </w:t>
      </w:r>
      <w:r w:rsidR="00530766" w:rsidRPr="00530766">
        <w:t xml:space="preserve">craving and withdrawal. Prior to drug administration, craving </w:t>
      </w:r>
      <w:r w:rsidR="00D77EE4">
        <w:t>a</w:t>
      </w:r>
      <w:r w:rsidR="00530766" w:rsidRPr="00530766">
        <w:t xml:space="preserve">nd withdrawal symptoms </w:t>
      </w:r>
      <w:r w:rsidR="008821D5">
        <w:t xml:space="preserve">did not significantly differ for </w:t>
      </w:r>
      <w:r w:rsidR="00530766" w:rsidRPr="00530766">
        <w:t xml:space="preserve">the CBD and placebo </w:t>
      </w:r>
      <w:r w:rsidR="00060F06">
        <w:t xml:space="preserve">conditions </w:t>
      </w:r>
      <w:r w:rsidR="00774ED8">
        <w:t>in the abstinence (</w:t>
      </w:r>
      <w:r w:rsidR="00530766" w:rsidRPr="00530766">
        <w:t xml:space="preserve">intervention) </w:t>
      </w:r>
      <w:r w:rsidR="00A00C95">
        <w:t>session</w:t>
      </w:r>
      <w:r w:rsidR="00530766" w:rsidRPr="00530766">
        <w:t>s (</w:t>
      </w:r>
      <w:r w:rsidR="00530766" w:rsidRPr="00F62917">
        <w:rPr>
          <w:i/>
          <w:iCs/>
        </w:rPr>
        <w:t>p</w:t>
      </w:r>
      <w:r w:rsidR="00530766" w:rsidRPr="00530766">
        <w:t xml:space="preserve"> = 0.99 and </w:t>
      </w:r>
      <w:r w:rsidR="00530766" w:rsidRPr="00F62917">
        <w:rPr>
          <w:i/>
          <w:iCs/>
        </w:rPr>
        <w:t>p</w:t>
      </w:r>
      <w:r w:rsidR="00530766" w:rsidRPr="00530766">
        <w:t xml:space="preserve"> = 0.85, respectively). Following drug administration in the abstinence </w:t>
      </w:r>
      <w:r w:rsidR="00774ED8">
        <w:t xml:space="preserve">(intervention) </w:t>
      </w:r>
      <w:r w:rsidR="00A00C95">
        <w:t>sessions</w:t>
      </w:r>
      <w:r w:rsidR="00530766" w:rsidRPr="00530766">
        <w:t>, craving and withdrawal</w:t>
      </w:r>
      <w:r w:rsidR="00D5435E">
        <w:t xml:space="preserve"> significantly differed over time</w:t>
      </w:r>
      <w:r w:rsidR="00530766" w:rsidRPr="00530766">
        <w:t xml:space="preserve"> (both </w:t>
      </w:r>
      <w:r w:rsidR="00530766" w:rsidRPr="00F62917">
        <w:rPr>
          <w:i/>
          <w:iCs/>
        </w:rPr>
        <w:t>p</w:t>
      </w:r>
      <w:r w:rsidR="00530766" w:rsidRPr="00530766">
        <w:t xml:space="preserve">'s &lt; 0.001). However, there was no </w:t>
      </w:r>
      <w:r w:rsidR="00DC7E39">
        <w:t xml:space="preserve">significant </w:t>
      </w:r>
      <w:r w:rsidR="00530766" w:rsidRPr="00530766">
        <w:t>effect of drug</w:t>
      </w:r>
      <w:r w:rsidR="00DC7E39">
        <w:t xml:space="preserve"> condition (CBD vs. placebo)</w:t>
      </w:r>
      <w:r w:rsidR="00530766" w:rsidRPr="00530766">
        <w:t xml:space="preserve"> on craving (</w:t>
      </w:r>
      <w:r w:rsidR="00530766" w:rsidRPr="00F62917">
        <w:rPr>
          <w:i/>
          <w:iCs/>
        </w:rPr>
        <w:t>p</w:t>
      </w:r>
      <w:r w:rsidR="00530766" w:rsidRPr="00530766">
        <w:t xml:space="preserve"> = 0.81) or withdrawal (</w:t>
      </w:r>
      <w:r w:rsidR="00530766" w:rsidRPr="00F62917">
        <w:rPr>
          <w:i/>
          <w:iCs/>
        </w:rPr>
        <w:t>p</w:t>
      </w:r>
      <w:r w:rsidR="00530766" w:rsidRPr="00530766">
        <w:t xml:space="preserve"> = 0.64), and </w:t>
      </w:r>
      <w:r w:rsidR="001E0826">
        <w:t xml:space="preserve">craving and withdrawal did not significantly differ for </w:t>
      </w:r>
      <w:r w:rsidR="00530766" w:rsidRPr="00530766">
        <w:t>the CBD and placebo (intervention) conditions o</w:t>
      </w:r>
      <w:r w:rsidR="001E0826">
        <w:t>ver time</w:t>
      </w:r>
      <w:r w:rsidR="00F43C50">
        <w:t xml:space="preserve"> </w:t>
      </w:r>
      <w:r w:rsidR="00F43C50" w:rsidRPr="00530766">
        <w:t>(p-values not reported)</w:t>
      </w:r>
      <w:r w:rsidR="00530766" w:rsidRPr="00530766">
        <w:t>.</w:t>
      </w:r>
      <w:r w:rsidR="00530766">
        <w:t xml:space="preserve"> </w:t>
      </w:r>
      <w:r w:rsidR="00015B3C" w:rsidRPr="7F2F8ECC">
        <w:t xml:space="preserve">This study </w:t>
      </w:r>
      <w:r w:rsidR="530DF30D" w:rsidRPr="548414C3">
        <w:t xml:space="preserve">was judged to have </w:t>
      </w:r>
      <w:r w:rsidR="00890AD6">
        <w:t xml:space="preserve">a high </w:t>
      </w:r>
      <w:r w:rsidR="00890AD6" w:rsidRPr="00461FA5">
        <w:t xml:space="preserve">risk of bias. </w:t>
      </w:r>
      <w:r w:rsidR="008036B2">
        <w:t>T</w:t>
      </w:r>
      <w:r w:rsidR="00E845F5" w:rsidRPr="00461FA5">
        <w:t>he</w:t>
      </w:r>
      <w:r w:rsidR="00E845F5">
        <w:t xml:space="preserve"> study employed</w:t>
      </w:r>
      <w:r w:rsidR="00E845F5" w:rsidRPr="548414C3">
        <w:t xml:space="preserve"> </w:t>
      </w:r>
      <w:r w:rsidR="00E845F5">
        <w:t>per-</w:t>
      </w:r>
      <w:r w:rsidR="00E845F5" w:rsidRPr="7F2F8ECC">
        <w:t>protocol analysis</w:t>
      </w:r>
      <w:r w:rsidR="00E845F5">
        <w:t xml:space="preserve"> (rather than intention-to-treat analysis)</w:t>
      </w:r>
      <w:r w:rsidR="008036B2">
        <w:t xml:space="preserve">, excluding 14 participants </w:t>
      </w:r>
      <w:r w:rsidR="008036B2" w:rsidRPr="00F42918">
        <w:t xml:space="preserve">following </w:t>
      </w:r>
      <w:r w:rsidR="004A6C7B">
        <w:t>randomisation</w:t>
      </w:r>
      <w:r w:rsidR="008036B2">
        <w:t xml:space="preserve"> </w:t>
      </w:r>
      <w:r w:rsidR="005D3960">
        <w:t>(</w:t>
      </w:r>
      <w:r w:rsidR="005D3960" w:rsidRPr="00F62917">
        <w:rPr>
          <w:i/>
          <w:iCs/>
        </w:rPr>
        <w:t>n</w:t>
      </w:r>
      <w:r w:rsidR="005D3960">
        <w:t xml:space="preserve"> = 14/44; </w:t>
      </w:r>
      <w:r w:rsidR="00D17926">
        <w:t xml:space="preserve">31.8%) </w:t>
      </w:r>
      <w:r w:rsidR="008036B2">
        <w:t>for various reasons</w:t>
      </w:r>
      <w:r w:rsidR="008036B2" w:rsidRPr="00F42918">
        <w:t xml:space="preserve">: </w:t>
      </w:r>
      <w:r w:rsidR="00C50BF5">
        <w:t>five (</w:t>
      </w:r>
      <w:r w:rsidR="008036B2" w:rsidRPr="00F42918">
        <w:t>5</w:t>
      </w:r>
      <w:r w:rsidR="00C50BF5">
        <w:t>)</w:t>
      </w:r>
      <w:r w:rsidR="008036B2" w:rsidRPr="00F42918">
        <w:t xml:space="preserve"> participants were excluded due to low carbon monoxide readings; </w:t>
      </w:r>
      <w:r w:rsidR="00C50BF5">
        <w:t>two (</w:t>
      </w:r>
      <w:r w:rsidR="008036B2" w:rsidRPr="00F42918">
        <w:t>2</w:t>
      </w:r>
      <w:r w:rsidR="00C50BF5">
        <w:t>)</w:t>
      </w:r>
      <w:r w:rsidR="008036B2" w:rsidRPr="00F42918">
        <w:t xml:space="preserve"> participants were excluded due to positive drug urine screens; and </w:t>
      </w:r>
      <w:r w:rsidR="00C50BF5">
        <w:t>seven (</w:t>
      </w:r>
      <w:r w:rsidR="008036B2" w:rsidRPr="00F42918">
        <w:t>7</w:t>
      </w:r>
      <w:r w:rsidR="00C50BF5">
        <w:t>)</w:t>
      </w:r>
      <w:r w:rsidR="008036B2" w:rsidRPr="00F42918">
        <w:t xml:space="preserve"> participants voluntarily dropped out</w:t>
      </w:r>
      <w:r w:rsidR="00F257F0">
        <w:t xml:space="preserve"> of the study.</w:t>
      </w:r>
      <w:r w:rsidR="00015B3C" w:rsidRPr="7F2F8ECC">
        <w:t xml:space="preserve"> </w:t>
      </w:r>
      <w:r w:rsidR="00424050">
        <w:t xml:space="preserve">Additionally, a pre-specified </w:t>
      </w:r>
      <w:r w:rsidR="00837BFE">
        <w:t xml:space="preserve">analysis plan was not </w:t>
      </w:r>
      <w:r w:rsidR="00424050">
        <w:t>available</w:t>
      </w:r>
      <w:r w:rsidR="00CC1F7F">
        <w:t>; therefore</w:t>
      </w:r>
      <w:r w:rsidR="00424050">
        <w:t>, the planned outcome measures and statistical analyses could not be compared with those reported in the published article.</w:t>
      </w:r>
    </w:p>
    <w:p w14:paraId="70065F7D" w14:textId="7B3EFB9D" w:rsidR="003E1DB1" w:rsidRPr="00FE3D79" w:rsidRDefault="00245013" w:rsidP="00245013">
      <w:pPr>
        <w:pStyle w:val="Heading2"/>
      </w:pPr>
      <w:bookmarkStart w:id="238" w:name="_Toc99653058"/>
      <w:bookmarkStart w:id="239" w:name="_Toc101536669"/>
      <w:bookmarkStart w:id="240" w:name="_Toc103944898"/>
      <w:bookmarkStart w:id="241" w:name="_Toc121096107"/>
      <w:bookmarkStart w:id="242" w:name="_Toc165018215"/>
      <w:r>
        <w:t>Substance-related and addictive d</w:t>
      </w:r>
      <w:r w:rsidR="003E1DB1" w:rsidRPr="009B4D43">
        <w:t>isorders: Combined interventions</w:t>
      </w:r>
      <w:bookmarkEnd w:id="238"/>
      <w:bookmarkEnd w:id="239"/>
      <w:bookmarkEnd w:id="240"/>
      <w:bookmarkEnd w:id="241"/>
      <w:bookmarkEnd w:id="242"/>
    </w:p>
    <w:p w14:paraId="3F8A2B22" w14:textId="7ACBEF4F" w:rsidR="003E1DB1" w:rsidRDefault="003E1DB1" w:rsidP="00424050">
      <w:pPr>
        <w:tabs>
          <w:tab w:val="left" w:pos="632"/>
          <w:tab w:val="left" w:pos="5070"/>
          <w:tab w:val="left" w:pos="7621"/>
          <w:tab w:val="left" w:pos="9747"/>
        </w:tabs>
        <w:spacing w:after="0"/>
        <w:jc w:val="both"/>
        <w:rPr>
          <w:rFonts w:eastAsia="Times New Roman" w:cstheme="minorHAnsi"/>
          <w:szCs w:val="20"/>
          <w:lang w:eastAsia="en-AU"/>
        </w:rPr>
      </w:pPr>
      <w:r>
        <w:rPr>
          <w:rFonts w:eastAsia="Times New Roman" w:cstheme="minorHAnsi"/>
          <w:szCs w:val="20"/>
          <w:lang w:eastAsia="en-AU"/>
        </w:rPr>
        <w:t>There were six studies that examined a combined medicinal cannabis and psychotherapy intervention in participants with substance-related disorde</w:t>
      </w:r>
      <w:r w:rsidR="0018385C">
        <w:rPr>
          <w:rFonts w:eastAsia="Times New Roman" w:cstheme="minorHAnsi"/>
          <w:szCs w:val="20"/>
          <w:lang w:eastAsia="en-AU"/>
        </w:rPr>
        <w:t xml:space="preserve">rs. The findings from these studies are synthesised based on </w:t>
      </w:r>
      <w:r w:rsidR="00A76C49">
        <w:rPr>
          <w:rFonts w:eastAsia="Times New Roman" w:cstheme="minorHAnsi"/>
          <w:szCs w:val="20"/>
          <w:lang w:eastAsia="en-AU"/>
        </w:rPr>
        <w:t xml:space="preserve">the </w:t>
      </w:r>
      <w:r>
        <w:rPr>
          <w:rFonts w:eastAsia="Times New Roman" w:cstheme="minorHAnsi"/>
          <w:szCs w:val="20"/>
          <w:lang w:eastAsia="en-AU"/>
        </w:rPr>
        <w:t>substance</w:t>
      </w:r>
      <w:r w:rsidR="0018385C">
        <w:rPr>
          <w:rFonts w:eastAsia="Times New Roman" w:cstheme="minorHAnsi"/>
          <w:szCs w:val="20"/>
          <w:lang w:eastAsia="en-AU"/>
        </w:rPr>
        <w:t>-related disorder</w:t>
      </w:r>
      <w:r>
        <w:rPr>
          <w:rFonts w:eastAsia="Times New Roman" w:cstheme="minorHAnsi"/>
          <w:szCs w:val="20"/>
          <w:lang w:eastAsia="en-AU"/>
        </w:rPr>
        <w:t>.</w:t>
      </w:r>
    </w:p>
    <w:p w14:paraId="32A58068" w14:textId="77777777" w:rsidR="003E1DB1" w:rsidRDefault="003E1DB1" w:rsidP="00245013">
      <w:pPr>
        <w:pStyle w:val="Heading3"/>
      </w:pPr>
      <w:bookmarkStart w:id="243" w:name="_Toc121096108"/>
      <w:bookmarkStart w:id="244" w:name="_Toc165018216"/>
      <w:r>
        <w:t>Cannabis Use</w:t>
      </w:r>
      <w:r w:rsidRPr="00E04238">
        <w:t xml:space="preserve"> Disorder</w:t>
      </w:r>
      <w:bookmarkEnd w:id="243"/>
      <w:bookmarkEnd w:id="244"/>
    </w:p>
    <w:p w14:paraId="123BF372" w14:textId="51D926E4" w:rsidR="003E1DB1" w:rsidRPr="004B7F28" w:rsidRDefault="003E1DB1" w:rsidP="003E1DB1">
      <w:r>
        <w:t xml:space="preserve">Four </w:t>
      </w:r>
      <w:r w:rsidRPr="00E04238">
        <w:t xml:space="preserve">studies </w:t>
      </w:r>
      <w:r w:rsidR="008517F7">
        <w:t>examined a</w:t>
      </w:r>
      <w:r w:rsidR="003772D1">
        <w:t xml:space="preserve"> combined medicinal cannabis and psychotherapy intervention in </w:t>
      </w:r>
      <w:r w:rsidRPr="00E04238">
        <w:t xml:space="preserve">participants with a </w:t>
      </w:r>
      <w:r w:rsidR="7C7ACD6B">
        <w:t>c</w:t>
      </w:r>
      <w:r w:rsidR="2E4DC2A1">
        <w:t xml:space="preserve">annabis </w:t>
      </w:r>
      <w:r w:rsidR="6E6BCEE9">
        <w:t>u</w:t>
      </w:r>
      <w:r w:rsidR="2E4DC2A1">
        <w:t xml:space="preserve">se </w:t>
      </w:r>
      <w:r w:rsidR="43F4CEB3">
        <w:t>d</w:t>
      </w:r>
      <w:r w:rsidRPr="00E04238">
        <w:t>isorder (</w:t>
      </w:r>
      <w:r w:rsidRPr="00A85996">
        <w:t>Freeman et al., 2020; Lintzeris et al., 2019; Trigo et al., 2018; Hill et al., 2017).</w:t>
      </w:r>
    </w:p>
    <w:p w14:paraId="20F711D7" w14:textId="59B1129A" w:rsidR="003E1DB1" w:rsidRPr="004B17CF" w:rsidRDefault="003E1DB1" w:rsidP="00493BC0">
      <w:pPr>
        <w:jc w:val="both"/>
      </w:pPr>
      <w:r>
        <w:t>Freeman and colleagues (2020</w:t>
      </w:r>
      <w:r w:rsidR="00E112C6" w:rsidRPr="00E112C6">
        <w:t xml:space="preserve">, </w:t>
      </w:r>
      <w:r w:rsidR="00E112C6" w:rsidRPr="005E012E">
        <w:rPr>
          <w:i/>
        </w:rPr>
        <w:t>n</w:t>
      </w:r>
      <w:r w:rsidR="00E112C6" w:rsidRPr="00E112C6">
        <w:t xml:space="preserve"> = 82) recruited participants with a diagnosis of cannabis use disorder (DSM-5 criteria) from</w:t>
      </w:r>
      <w:r w:rsidR="00D7450C">
        <w:t xml:space="preserve"> the community (via</w:t>
      </w:r>
      <w:r w:rsidR="00E112C6" w:rsidRPr="00E112C6">
        <w:t xml:space="preserve"> flyers and online advertisements</w:t>
      </w:r>
      <w:r w:rsidR="00D7450C">
        <w:t>)</w:t>
      </w:r>
      <w:r w:rsidR="00E112C6" w:rsidRPr="00E112C6">
        <w:t xml:space="preserve">. </w:t>
      </w:r>
      <w:r w:rsidR="00D7450C">
        <w:t>All participants received six (</w:t>
      </w:r>
      <w:r w:rsidR="7571F009">
        <w:t>30-minute</w:t>
      </w:r>
      <w:r w:rsidR="00D7450C">
        <w:t>)</w:t>
      </w:r>
      <w:r w:rsidR="7571F009">
        <w:t xml:space="preserve"> sessions of motivational interviewing. </w:t>
      </w:r>
      <w:r w:rsidR="00E112C6" w:rsidRPr="00E112C6">
        <w:t>Participants were ra</w:t>
      </w:r>
      <w:r w:rsidR="222715A0">
        <w:t>ndomised</w:t>
      </w:r>
      <w:r w:rsidR="00E112C6" w:rsidRPr="00E112C6">
        <w:t xml:space="preserve"> to </w:t>
      </w:r>
      <w:r w:rsidR="006350E3">
        <w:t xml:space="preserve">one of four study conditions </w:t>
      </w:r>
      <w:r w:rsidR="00115E61">
        <w:t>(</w:t>
      </w:r>
      <w:r w:rsidR="007410A1">
        <w:t xml:space="preserve">two </w:t>
      </w:r>
      <w:r w:rsidR="00115E61">
        <w:t>oral capsule</w:t>
      </w:r>
      <w:r w:rsidR="000F74C6">
        <w:t>s</w:t>
      </w:r>
      <w:r w:rsidR="00115E61">
        <w:t xml:space="preserve"> </w:t>
      </w:r>
      <w:r w:rsidR="007410A1">
        <w:t xml:space="preserve">twice </w:t>
      </w:r>
      <w:r w:rsidR="001F5A64">
        <w:t>per day</w:t>
      </w:r>
      <w:r w:rsidR="007410A1">
        <w:t xml:space="preserve"> </w:t>
      </w:r>
      <w:r w:rsidR="00115E61">
        <w:t>for four weeks</w:t>
      </w:r>
      <w:r w:rsidR="00C916C8">
        <w:t xml:space="preserve"> to achieve daily doses of</w:t>
      </w:r>
      <w:r w:rsidR="00115E61">
        <w:t>)</w:t>
      </w:r>
      <w:r w:rsidR="00D7450C">
        <w:t>: (i</w:t>
      </w:r>
      <w:r w:rsidR="2A0C4AEE">
        <w:t>)</w:t>
      </w:r>
      <w:r w:rsidR="00E112C6" w:rsidRPr="00E112C6">
        <w:t xml:space="preserve"> 200</w:t>
      </w:r>
      <w:r w:rsidR="009D01FE">
        <w:t xml:space="preserve"> mg</w:t>
      </w:r>
      <w:r w:rsidR="00E112C6" w:rsidRPr="00E112C6">
        <w:t xml:space="preserve"> CBD (</w:t>
      </w:r>
      <w:r w:rsidR="00E112C6" w:rsidRPr="00D7450C">
        <w:rPr>
          <w:i/>
        </w:rPr>
        <w:t>n</w:t>
      </w:r>
      <w:r w:rsidR="00E112C6" w:rsidRPr="00E112C6">
        <w:t xml:space="preserve"> = 12)</w:t>
      </w:r>
      <w:r w:rsidR="00B7144B">
        <w:t>;</w:t>
      </w:r>
      <w:r w:rsidR="00E112C6" w:rsidRPr="00E112C6">
        <w:t xml:space="preserve"> </w:t>
      </w:r>
      <w:r w:rsidR="00D7450C">
        <w:t>(ii</w:t>
      </w:r>
      <w:r w:rsidR="1A6F26E3">
        <w:t xml:space="preserve">) </w:t>
      </w:r>
      <w:r w:rsidR="00E112C6" w:rsidRPr="00E112C6">
        <w:t>400</w:t>
      </w:r>
      <w:r w:rsidR="009D01FE">
        <w:t xml:space="preserve"> mg</w:t>
      </w:r>
      <w:r w:rsidR="00E112C6" w:rsidRPr="00E112C6">
        <w:t xml:space="preserve"> CBD (</w:t>
      </w:r>
      <w:r w:rsidR="00E112C6" w:rsidRPr="00D7450C">
        <w:rPr>
          <w:i/>
        </w:rPr>
        <w:t>n</w:t>
      </w:r>
      <w:r w:rsidR="00E112C6" w:rsidRPr="00E112C6">
        <w:t xml:space="preserve"> = 24)</w:t>
      </w:r>
      <w:r w:rsidR="00B7144B">
        <w:t>;</w:t>
      </w:r>
      <w:r w:rsidR="00E112C6" w:rsidRPr="00E112C6">
        <w:t xml:space="preserve"> </w:t>
      </w:r>
      <w:r w:rsidR="453C976E">
        <w:t>(</w:t>
      </w:r>
      <w:r w:rsidR="00D7450C">
        <w:t>iii</w:t>
      </w:r>
      <w:r w:rsidR="453C976E">
        <w:t xml:space="preserve">) </w:t>
      </w:r>
      <w:r w:rsidR="00E112C6" w:rsidRPr="00E112C6">
        <w:t>800</w:t>
      </w:r>
      <w:r w:rsidR="009D01FE">
        <w:t xml:space="preserve"> mg</w:t>
      </w:r>
      <w:r w:rsidR="00E112C6" w:rsidRPr="00E112C6">
        <w:t xml:space="preserve"> CBD (</w:t>
      </w:r>
      <w:r w:rsidR="00E112C6" w:rsidRPr="00D7450C">
        <w:rPr>
          <w:i/>
        </w:rPr>
        <w:t>n</w:t>
      </w:r>
      <w:r w:rsidR="00E112C6" w:rsidRPr="00E112C6">
        <w:t xml:space="preserve"> = 23)</w:t>
      </w:r>
      <w:r w:rsidR="00B7144B">
        <w:t>;</w:t>
      </w:r>
      <w:r w:rsidR="00E112C6" w:rsidRPr="00E112C6">
        <w:t xml:space="preserve"> or </w:t>
      </w:r>
      <w:r w:rsidR="768972AA">
        <w:t>(</w:t>
      </w:r>
      <w:r w:rsidR="00D7450C">
        <w:t>iv</w:t>
      </w:r>
      <w:r w:rsidR="768972AA">
        <w:t xml:space="preserve">) </w:t>
      </w:r>
      <w:r w:rsidR="00E112C6">
        <w:t xml:space="preserve">placebo </w:t>
      </w:r>
      <w:r w:rsidR="00E112C6" w:rsidRPr="00E112C6">
        <w:t>(</w:t>
      </w:r>
      <w:r w:rsidR="00E112C6" w:rsidRPr="00D7450C">
        <w:rPr>
          <w:i/>
        </w:rPr>
        <w:t>n</w:t>
      </w:r>
      <w:r w:rsidR="00E112C6" w:rsidRPr="00E112C6">
        <w:t xml:space="preserve"> = 23</w:t>
      </w:r>
      <w:r w:rsidR="00E112C6">
        <w:t>)</w:t>
      </w:r>
      <w:r w:rsidR="00E112C6" w:rsidRPr="00E112C6">
        <w:t xml:space="preserve">. </w:t>
      </w:r>
      <w:r w:rsidR="00D7450C">
        <w:t xml:space="preserve">Individuals were not included in the study if they were </w:t>
      </w:r>
      <w:r w:rsidR="00E13EE2">
        <w:t>taking</w:t>
      </w:r>
      <w:r w:rsidR="00E112C6" w:rsidRPr="00E112C6">
        <w:t xml:space="preserve"> psychotropic medication</w:t>
      </w:r>
      <w:r w:rsidR="008D61FF">
        <w:t>s.</w:t>
      </w:r>
      <w:r w:rsidR="00574D33">
        <w:t xml:space="preserve"> </w:t>
      </w:r>
      <w:r w:rsidR="008D61FF">
        <w:t>The outcome measures were</w:t>
      </w:r>
      <w:r w:rsidR="003C732B">
        <w:t xml:space="preserve"> </w:t>
      </w:r>
      <w:r w:rsidR="00617DFD">
        <w:t>cannabis use (</w:t>
      </w:r>
      <w:r w:rsidR="008D61FF">
        <w:t>as measured by</w:t>
      </w:r>
      <w:r w:rsidR="00D70465">
        <w:t xml:space="preserve"> </w:t>
      </w:r>
      <w:r w:rsidR="002A72DD">
        <w:t xml:space="preserve">urine concentrations of </w:t>
      </w:r>
      <w:r w:rsidR="00D70465">
        <w:t>THC</w:t>
      </w:r>
      <w:r w:rsidR="005E63F0">
        <w:t>-</w:t>
      </w:r>
      <w:r w:rsidR="00D70465">
        <w:t>COOH</w:t>
      </w:r>
      <w:r w:rsidR="004B6F75">
        <w:t>:creatin</w:t>
      </w:r>
      <w:r w:rsidR="00335B3B">
        <w:t>ine</w:t>
      </w:r>
      <w:r w:rsidR="00E112C6">
        <w:t>)</w:t>
      </w:r>
      <w:r w:rsidR="33513154">
        <w:t>,</w:t>
      </w:r>
      <w:r w:rsidR="00E112C6" w:rsidRPr="00E112C6">
        <w:t xml:space="preserve"> and </w:t>
      </w:r>
      <w:r w:rsidR="00D7450C">
        <w:t>self-reported</w:t>
      </w:r>
      <w:r w:rsidR="00E112C6" w:rsidRPr="00E112C6">
        <w:t xml:space="preserve"> </w:t>
      </w:r>
      <w:r w:rsidR="00865191">
        <w:t xml:space="preserve">cannabis </w:t>
      </w:r>
      <w:r w:rsidR="00E112C6" w:rsidRPr="00E112C6">
        <w:t>abstinence (</w:t>
      </w:r>
      <w:r w:rsidR="00865191">
        <w:t xml:space="preserve">number of </w:t>
      </w:r>
      <w:r w:rsidR="00E112C6" w:rsidRPr="00E112C6">
        <w:t xml:space="preserve">days per week). </w:t>
      </w:r>
      <w:r w:rsidR="00E112C6" w:rsidRPr="00E112C6">
        <w:lastRenderedPageBreak/>
        <w:t xml:space="preserve">Assessments were conducted at five (5) time-points: baseline </w:t>
      </w:r>
      <w:r w:rsidR="0FFBB6B8">
        <w:t>(</w:t>
      </w:r>
      <w:r w:rsidR="4348271E">
        <w:t>w</w:t>
      </w:r>
      <w:r w:rsidR="0FFBB6B8">
        <w:t xml:space="preserve">eek 0) </w:t>
      </w:r>
      <w:r w:rsidR="00E112C6">
        <w:t>and</w:t>
      </w:r>
      <w:r w:rsidR="2F09A037">
        <w:t xml:space="preserve"> during intervention</w:t>
      </w:r>
      <w:r w:rsidR="00E112C6">
        <w:t xml:space="preserve"> </w:t>
      </w:r>
      <w:r w:rsidR="279CB19C">
        <w:t>(</w:t>
      </w:r>
      <w:r w:rsidR="00E112C6" w:rsidRPr="00E112C6">
        <w:t>week 1 to 4</w:t>
      </w:r>
      <w:r w:rsidR="6774089D">
        <w:t>)</w:t>
      </w:r>
      <w:r w:rsidR="00E112C6">
        <w:t>.</w:t>
      </w:r>
      <w:r w:rsidR="00E112C6" w:rsidRPr="00E112C6">
        <w:t xml:space="preserve"> </w:t>
      </w:r>
      <w:r w:rsidR="00E112C6" w:rsidRPr="00E844B4">
        <w:t xml:space="preserve">Clinical treatment response was defined as </w:t>
      </w:r>
      <w:r w:rsidR="00493BC0" w:rsidRPr="00E844B4">
        <w:t>lower</w:t>
      </w:r>
      <w:r w:rsidR="00493BC0">
        <w:t xml:space="preserve"> </w:t>
      </w:r>
      <w:r w:rsidR="0062532C">
        <w:t>cannabis use</w:t>
      </w:r>
      <w:r w:rsidR="00744CB1">
        <w:t>,</w:t>
      </w:r>
      <w:r w:rsidR="00493BC0">
        <w:t xml:space="preserve"> or increased </w:t>
      </w:r>
      <w:r w:rsidR="00335B3B">
        <w:t>cannabis abstinence</w:t>
      </w:r>
      <w:r w:rsidR="00493BC0">
        <w:t xml:space="preserve">, </w:t>
      </w:r>
      <w:r w:rsidR="006C37DF">
        <w:t xml:space="preserve">as </w:t>
      </w:r>
      <w:r w:rsidR="00493BC0">
        <w:t xml:space="preserve">evidenced by posterior probabilities </w:t>
      </w:r>
      <w:r w:rsidR="003E57B2">
        <w:t xml:space="preserve">exceeding 0.9 </w:t>
      </w:r>
      <w:r w:rsidR="00896961">
        <w:t xml:space="preserve">(i.e., </w:t>
      </w:r>
      <w:r w:rsidR="00493BC0">
        <w:t>Pr</w:t>
      </w:r>
      <w:r w:rsidR="00896961">
        <w:t xml:space="preserve"> &gt; </w:t>
      </w:r>
      <w:r w:rsidR="00493BC0">
        <w:t>0.9</w:t>
      </w:r>
      <w:r w:rsidR="00F15D39">
        <w:t>)</w:t>
      </w:r>
      <w:r w:rsidR="00493BC0">
        <w:t xml:space="preserve"> for CBD </w:t>
      </w:r>
      <w:r w:rsidR="0025052C">
        <w:t>compared with</w:t>
      </w:r>
      <w:r w:rsidR="00BF0D51">
        <w:t xml:space="preserve"> </w:t>
      </w:r>
      <w:r w:rsidR="00493BC0">
        <w:t>placebo</w:t>
      </w:r>
      <w:r w:rsidR="00112B67">
        <w:t xml:space="preserve">. </w:t>
      </w:r>
      <w:r w:rsidR="00D95935">
        <w:t>T</w:t>
      </w:r>
      <w:r w:rsidR="00E112C6" w:rsidRPr="00E112C6">
        <w:t xml:space="preserve">he interim </w:t>
      </w:r>
      <w:r w:rsidR="00243A0A">
        <w:t xml:space="preserve">Bayesian </w:t>
      </w:r>
      <w:r w:rsidR="00E112C6" w:rsidRPr="00E112C6">
        <w:t>analysis</w:t>
      </w:r>
      <w:r w:rsidR="00125524">
        <w:t xml:space="preserve"> (</w:t>
      </w:r>
      <w:r w:rsidR="00125524" w:rsidRPr="00F62917">
        <w:rPr>
          <w:i/>
          <w:iCs/>
        </w:rPr>
        <w:t>n</w:t>
      </w:r>
      <w:r w:rsidR="00125524">
        <w:t xml:space="preserve"> = 48)</w:t>
      </w:r>
      <w:r w:rsidR="00D95935">
        <w:t xml:space="preserve"> indicated</w:t>
      </w:r>
      <w:r w:rsidR="00E112C6" w:rsidRPr="00E112C6">
        <w:t xml:space="preserve"> </w:t>
      </w:r>
      <w:r w:rsidR="009914F1">
        <w:t xml:space="preserve">that </w:t>
      </w:r>
      <w:r w:rsidR="00E112C6" w:rsidRPr="00E112C6">
        <w:t>the 200</w:t>
      </w:r>
      <w:r w:rsidR="009D01FE">
        <w:t xml:space="preserve"> mg</w:t>
      </w:r>
      <w:r w:rsidR="00E112C6" w:rsidRPr="00E112C6">
        <w:t xml:space="preserve"> CBD </w:t>
      </w:r>
      <w:r w:rsidR="005A1669">
        <w:t xml:space="preserve">treatment </w:t>
      </w:r>
      <w:r w:rsidR="008D61FF">
        <w:t xml:space="preserve">was </w:t>
      </w:r>
      <w:r w:rsidR="00AE683D">
        <w:t>in</w:t>
      </w:r>
      <w:r w:rsidR="008D61FF">
        <w:t>effective</w:t>
      </w:r>
      <w:r w:rsidR="00DD3FD9">
        <w:t xml:space="preserve">, and </w:t>
      </w:r>
      <w:r w:rsidR="00FF5CC0">
        <w:t xml:space="preserve">the </w:t>
      </w:r>
      <w:r w:rsidR="00B62962">
        <w:t xml:space="preserve">participants that were </w:t>
      </w:r>
      <w:r w:rsidR="00DA6D4F">
        <w:t xml:space="preserve">subsequently recruited </w:t>
      </w:r>
      <w:r w:rsidR="00B62962">
        <w:t xml:space="preserve">to the study </w:t>
      </w:r>
      <w:r w:rsidR="00747867">
        <w:t>(</w:t>
      </w:r>
      <w:r w:rsidR="00747867" w:rsidRPr="00F62917">
        <w:rPr>
          <w:i/>
          <w:iCs/>
        </w:rPr>
        <w:t>n</w:t>
      </w:r>
      <w:r w:rsidR="00747867">
        <w:t xml:space="preserve"> = 34) </w:t>
      </w:r>
      <w:r w:rsidR="00E112C6" w:rsidRPr="00E112C6">
        <w:t xml:space="preserve">were </w:t>
      </w:r>
      <w:r w:rsidR="00114A0F">
        <w:t xml:space="preserve">not </w:t>
      </w:r>
      <w:r w:rsidR="00E112C6" w:rsidRPr="00E112C6">
        <w:t xml:space="preserve">randomised to this </w:t>
      </w:r>
      <w:r w:rsidR="008D61FF">
        <w:t>condition.</w:t>
      </w:r>
      <w:r w:rsidR="00E112C6" w:rsidRPr="00E112C6">
        <w:t xml:space="preserve"> </w:t>
      </w:r>
      <w:r w:rsidR="00125524">
        <w:t>T</w:t>
      </w:r>
      <w:r w:rsidR="00E112C6" w:rsidRPr="00E112C6">
        <w:t>he fina</w:t>
      </w:r>
      <w:r w:rsidR="008D61FF">
        <w:t xml:space="preserve">l </w:t>
      </w:r>
      <w:r w:rsidR="007D1CB9">
        <w:t xml:space="preserve">Bayesian </w:t>
      </w:r>
      <w:r w:rsidR="008D61FF">
        <w:t>analysis</w:t>
      </w:r>
      <w:r w:rsidR="00125524">
        <w:t xml:space="preserve"> (</w:t>
      </w:r>
      <w:r w:rsidR="00125524" w:rsidRPr="00F62917">
        <w:rPr>
          <w:i/>
          <w:iCs/>
        </w:rPr>
        <w:t>n</w:t>
      </w:r>
      <w:r w:rsidR="00125524">
        <w:t xml:space="preserve"> = </w:t>
      </w:r>
      <w:r w:rsidR="00EF6431">
        <w:t xml:space="preserve">70) </w:t>
      </w:r>
      <w:r w:rsidR="00125524">
        <w:t>indicated that</w:t>
      </w:r>
      <w:r w:rsidR="00E112C6" w:rsidRPr="00E112C6">
        <w:t xml:space="preserve"> </w:t>
      </w:r>
      <w:r w:rsidR="008E1336">
        <w:t>the</w:t>
      </w:r>
      <w:r w:rsidR="00AB66BD">
        <w:t xml:space="preserve"> CBD groups </w:t>
      </w:r>
      <w:r w:rsidR="00AB66BD" w:rsidRPr="00E112C6">
        <w:t>exceeded the defined posterior probabili</w:t>
      </w:r>
      <w:r w:rsidR="00AB66BD">
        <w:t xml:space="preserve">ties </w:t>
      </w:r>
      <w:r w:rsidR="004954D3">
        <w:t xml:space="preserve">(Pr &gt; .9) </w:t>
      </w:r>
      <w:r w:rsidR="00AB66BD">
        <w:t xml:space="preserve">for </w:t>
      </w:r>
      <w:r w:rsidR="00EF7B57">
        <w:t xml:space="preserve">both </w:t>
      </w:r>
      <w:r w:rsidR="00A8324A">
        <w:t>cannabis use (</w:t>
      </w:r>
      <w:r w:rsidR="00F34AEF" w:rsidRPr="00F34AEF">
        <w:t xml:space="preserve">400 mg </w:t>
      </w:r>
      <w:r w:rsidR="00265545">
        <w:t>CBD</w:t>
      </w:r>
      <w:r w:rsidR="00F34AEF" w:rsidRPr="00F34AEF">
        <w:t xml:space="preserve">: Pr = 0.9995; 800 mg </w:t>
      </w:r>
      <w:r w:rsidR="00265545">
        <w:t>CBD</w:t>
      </w:r>
      <w:r w:rsidR="00F34AEF" w:rsidRPr="00F34AEF">
        <w:t>: Pr = 0.9965</w:t>
      </w:r>
      <w:r w:rsidR="00F34AEF">
        <w:t>)</w:t>
      </w:r>
      <w:r w:rsidR="00AB66BD" w:rsidRPr="00E112C6">
        <w:t xml:space="preserve"> and </w:t>
      </w:r>
      <w:r w:rsidR="00AB66BD">
        <w:t>self-reported cannabis abstinence</w:t>
      </w:r>
      <w:r w:rsidR="00F34AEF">
        <w:t xml:space="preserve"> (</w:t>
      </w:r>
      <w:r w:rsidR="0033023F" w:rsidRPr="0033023F">
        <w:t>400 mg CBD: Pr = 0.9966; 800 mg CBD: Pr = 0.9247</w:t>
      </w:r>
      <w:r w:rsidR="0033023F">
        <w:t>)</w:t>
      </w:r>
      <w:r w:rsidR="001B349B">
        <w:t xml:space="preserve"> compared with </w:t>
      </w:r>
      <w:r w:rsidR="004303C4">
        <w:t xml:space="preserve">the </w:t>
      </w:r>
      <w:r w:rsidR="001B349B">
        <w:t>placebo</w:t>
      </w:r>
      <w:r w:rsidR="004303C4">
        <w:t xml:space="preserve"> group</w:t>
      </w:r>
      <w:r w:rsidR="00AB66BD" w:rsidRPr="00E112C6">
        <w:t>.</w:t>
      </w:r>
      <w:r w:rsidR="00030B8C">
        <w:t xml:space="preserve"> U</w:t>
      </w:r>
      <w:r w:rsidR="00EB1B99">
        <w:t xml:space="preserve">rine </w:t>
      </w:r>
      <w:r w:rsidR="00C17DC8">
        <w:t xml:space="preserve">THC </w:t>
      </w:r>
      <w:r w:rsidR="00EB1B99" w:rsidRPr="00E112C6">
        <w:t xml:space="preserve">concentrations </w:t>
      </w:r>
      <w:r w:rsidR="00EB1B99">
        <w:t xml:space="preserve">were significantly lower for the </w:t>
      </w:r>
      <w:r w:rsidR="00E705AA">
        <w:t xml:space="preserve">400mg </w:t>
      </w:r>
      <w:r w:rsidR="00E112C6" w:rsidRPr="00E112C6">
        <w:t xml:space="preserve">CBD </w:t>
      </w:r>
      <w:r w:rsidR="00EB1B99">
        <w:t>group</w:t>
      </w:r>
      <w:r w:rsidR="003406BA">
        <w:t xml:space="preserve"> (M = </w:t>
      </w:r>
      <w:r w:rsidR="003406BA" w:rsidRPr="00786BAD">
        <w:t>-94.21 ng/ml</w:t>
      </w:r>
      <w:r w:rsidR="00530D9A">
        <w:t>;</w:t>
      </w:r>
      <w:r w:rsidR="003406BA" w:rsidRPr="00786BAD">
        <w:t xml:space="preserve"> 95% CI = -161.83 to -35.56</w:t>
      </w:r>
      <w:r w:rsidR="003406BA">
        <w:t>) and the 800 mg CBD group</w:t>
      </w:r>
      <w:r w:rsidR="00EB1B99">
        <w:t xml:space="preserve"> </w:t>
      </w:r>
      <w:r w:rsidR="003406BA">
        <w:t xml:space="preserve">(M = </w:t>
      </w:r>
      <w:r w:rsidR="003406BA" w:rsidRPr="00786BAD">
        <w:t>-72.02 ng/ml</w:t>
      </w:r>
      <w:r w:rsidR="00530D9A">
        <w:t>;</w:t>
      </w:r>
      <w:r w:rsidR="003406BA" w:rsidRPr="00786BAD">
        <w:t xml:space="preserve"> 95% CI = -135.47 to -19.52</w:t>
      </w:r>
      <w:r w:rsidR="003406BA">
        <w:t xml:space="preserve">) </w:t>
      </w:r>
      <w:r w:rsidR="00EB1B99">
        <w:t>compared with</w:t>
      </w:r>
      <w:r w:rsidR="00E112C6" w:rsidRPr="00E112C6">
        <w:t xml:space="preserve"> </w:t>
      </w:r>
      <w:r w:rsidR="00EB1B99">
        <w:t xml:space="preserve">the </w:t>
      </w:r>
      <w:r w:rsidR="00E112C6" w:rsidRPr="00E112C6">
        <w:t>placebo</w:t>
      </w:r>
      <w:r w:rsidR="00EB1B99">
        <w:t xml:space="preserve"> group</w:t>
      </w:r>
      <w:r w:rsidR="00E112C6" w:rsidRPr="00E112C6">
        <w:t xml:space="preserve">. </w:t>
      </w:r>
      <w:r w:rsidR="0D2BC3D6">
        <w:t xml:space="preserve">Similarly, self-reported </w:t>
      </w:r>
      <w:r w:rsidR="008D61FF">
        <w:t xml:space="preserve">cannabis </w:t>
      </w:r>
      <w:r w:rsidR="00EB1976">
        <w:t>abstinence</w:t>
      </w:r>
      <w:r w:rsidR="00874223">
        <w:t xml:space="preserve"> </w:t>
      </w:r>
      <w:r w:rsidR="00193EFB">
        <w:t>in</w:t>
      </w:r>
      <w:r w:rsidR="00874223">
        <w:t xml:space="preserve">creased </w:t>
      </w:r>
      <w:r w:rsidR="00EB1B99">
        <w:t>for the CBD groups</w:t>
      </w:r>
      <w:r w:rsidR="001A40D1">
        <w:t xml:space="preserve"> </w:t>
      </w:r>
      <w:r w:rsidR="0D2BC3D6">
        <w:t xml:space="preserve">compared </w:t>
      </w:r>
      <w:r w:rsidR="00DC25FC">
        <w:t>with the</w:t>
      </w:r>
      <w:r w:rsidR="0D2BC3D6">
        <w:t xml:space="preserve"> placebo</w:t>
      </w:r>
      <w:r w:rsidR="00DC25FC">
        <w:t xml:space="preserve"> group</w:t>
      </w:r>
      <w:r w:rsidR="00874223">
        <w:t>; h</w:t>
      </w:r>
      <w:r w:rsidR="00E112C6" w:rsidRPr="00E112C6">
        <w:t xml:space="preserve">owever, </w:t>
      </w:r>
      <w:r w:rsidR="00874223">
        <w:t xml:space="preserve">the </w:t>
      </w:r>
      <w:r w:rsidR="000045F1">
        <w:t xml:space="preserve">increase in </w:t>
      </w:r>
      <w:r w:rsidR="00F82B82">
        <w:t xml:space="preserve">cannabis </w:t>
      </w:r>
      <w:r w:rsidR="000045F1">
        <w:t>abstinence</w:t>
      </w:r>
      <w:r w:rsidR="008D61FF">
        <w:t xml:space="preserve"> was </w:t>
      </w:r>
      <w:r w:rsidR="00874223">
        <w:t xml:space="preserve">significant for the </w:t>
      </w:r>
      <w:r w:rsidR="00E112C6" w:rsidRPr="00E112C6">
        <w:t>400</w:t>
      </w:r>
      <w:r w:rsidR="009D01FE">
        <w:t xml:space="preserve"> mg</w:t>
      </w:r>
      <w:r w:rsidR="00E112C6" w:rsidRPr="00E112C6">
        <w:t xml:space="preserve"> </w:t>
      </w:r>
      <w:r w:rsidR="008D61FF">
        <w:t xml:space="preserve">CBD </w:t>
      </w:r>
      <w:r w:rsidR="00E112C6" w:rsidRPr="00E112C6">
        <w:t>group</w:t>
      </w:r>
      <w:r w:rsidR="0038466D">
        <w:t xml:space="preserve"> (</w:t>
      </w:r>
      <w:r w:rsidR="0038466D" w:rsidRPr="00B7418F">
        <w:t>M = 0.48</w:t>
      </w:r>
      <w:r w:rsidR="0038466D" w:rsidRPr="00AA1249">
        <w:t xml:space="preserve"> days per week</w:t>
      </w:r>
      <w:r w:rsidR="0038466D" w:rsidRPr="00B7418F">
        <w:t>, 95% CI = 0.15 to 0.82 days</w:t>
      </w:r>
      <w:r w:rsidR="0038466D">
        <w:t>)</w:t>
      </w:r>
      <w:r w:rsidR="008D61FF">
        <w:t xml:space="preserve">, </w:t>
      </w:r>
      <w:r w:rsidR="0070679F">
        <w:t xml:space="preserve">but </w:t>
      </w:r>
      <w:r w:rsidR="008D61FF">
        <w:t xml:space="preserve">not </w:t>
      </w:r>
      <w:r w:rsidR="00F662D0">
        <w:t xml:space="preserve">for </w:t>
      </w:r>
      <w:r w:rsidR="008D61FF">
        <w:t>the 800</w:t>
      </w:r>
      <w:r w:rsidR="009D01FE">
        <w:t xml:space="preserve"> mg</w:t>
      </w:r>
      <w:r w:rsidR="008D61FF">
        <w:t xml:space="preserve"> CBD </w:t>
      </w:r>
      <w:r w:rsidR="008D61FF" w:rsidRPr="00B7418F">
        <w:t>group</w:t>
      </w:r>
      <w:r w:rsidR="00874223" w:rsidRPr="00B7418F">
        <w:t xml:space="preserve"> (</w:t>
      </w:r>
      <w:r w:rsidR="005720B8" w:rsidRPr="00B7418F">
        <w:t xml:space="preserve">M = </w:t>
      </w:r>
      <w:r w:rsidR="00874223" w:rsidRPr="00B7418F">
        <w:t>0.27</w:t>
      </w:r>
      <w:r w:rsidR="00266AEE" w:rsidRPr="00F62917">
        <w:t xml:space="preserve"> days per week</w:t>
      </w:r>
      <w:r w:rsidR="005720B8" w:rsidRPr="00B7418F">
        <w:t xml:space="preserve">, </w:t>
      </w:r>
      <w:r w:rsidR="00AE683D" w:rsidRPr="00B7418F">
        <w:t>95% CI</w:t>
      </w:r>
      <w:r w:rsidR="005720B8" w:rsidRPr="00B7418F">
        <w:t xml:space="preserve"> = -</w:t>
      </w:r>
      <w:r w:rsidR="00AE683D" w:rsidRPr="00B7418F">
        <w:t>0</w:t>
      </w:r>
      <w:r w:rsidR="005720B8" w:rsidRPr="00B7418F">
        <w:t>.</w:t>
      </w:r>
      <w:r w:rsidR="00AE683D" w:rsidRPr="00B7418F">
        <w:t>09 to 0</w:t>
      </w:r>
      <w:r w:rsidR="005720B8" w:rsidRPr="00B7418F">
        <w:t>.</w:t>
      </w:r>
      <w:r w:rsidR="00AE683D" w:rsidRPr="00B7418F">
        <w:t>64</w:t>
      </w:r>
      <w:r w:rsidR="00874223" w:rsidRPr="00B7418F">
        <w:t xml:space="preserve"> days)</w:t>
      </w:r>
      <w:r w:rsidR="00D70465" w:rsidRPr="00B7418F">
        <w:t>.</w:t>
      </w:r>
      <w:r w:rsidR="00E112C6" w:rsidRPr="00E112C6">
        <w:t xml:space="preserve"> This study </w:t>
      </w:r>
      <w:r w:rsidR="5E15C534">
        <w:t>was judged to have</w:t>
      </w:r>
      <w:r w:rsidR="00E112C6" w:rsidRPr="00E112C6">
        <w:t xml:space="preserve"> </w:t>
      </w:r>
      <w:r w:rsidR="00492301">
        <w:t>a low r</w:t>
      </w:r>
      <w:r w:rsidR="004A1F14">
        <w:t>isk</w:t>
      </w:r>
      <w:r w:rsidR="00492301">
        <w:t xml:space="preserve"> </w:t>
      </w:r>
      <w:r w:rsidR="004A1F14">
        <w:t>of</w:t>
      </w:r>
      <w:r w:rsidR="00492301">
        <w:t xml:space="preserve"> </w:t>
      </w:r>
      <w:r w:rsidR="004A1F14">
        <w:t xml:space="preserve">bias. </w:t>
      </w:r>
      <w:r w:rsidR="00385138">
        <w:t>The study employed an intention-to-treat, Bayesian analysis</w:t>
      </w:r>
      <w:r w:rsidR="00385138" w:rsidRPr="00896961">
        <w:t>.</w:t>
      </w:r>
      <w:r w:rsidR="00385138">
        <w:t xml:space="preserve"> </w:t>
      </w:r>
      <w:r w:rsidR="00233A56">
        <w:t>While t</w:t>
      </w:r>
      <w:r w:rsidR="004A1F14">
        <w:t xml:space="preserve">he effectiveness of </w:t>
      </w:r>
      <w:r w:rsidR="00520DF2">
        <w:t xml:space="preserve">the </w:t>
      </w:r>
      <w:r w:rsidR="00DF0B4F">
        <w:t xml:space="preserve">study blind </w:t>
      </w:r>
      <w:r w:rsidR="004A1F14">
        <w:t>was not assessed</w:t>
      </w:r>
      <w:r w:rsidR="00901ED1">
        <w:t>,</w:t>
      </w:r>
      <w:r w:rsidR="0064739D">
        <w:t xml:space="preserve"> there </w:t>
      </w:r>
      <w:r w:rsidR="0070679F">
        <w:t>wa</w:t>
      </w:r>
      <w:r w:rsidR="0064739D">
        <w:t xml:space="preserve">s no evidence to suggest </w:t>
      </w:r>
      <w:r w:rsidR="006E749A">
        <w:t xml:space="preserve">that </w:t>
      </w:r>
      <w:r w:rsidR="0064739D">
        <w:t xml:space="preserve">the participants were aware of the </w:t>
      </w:r>
      <w:r w:rsidR="00F9604C">
        <w:t>allocation to study conditions (i.e., the CBD was administered in capsules; CBD</w:t>
      </w:r>
      <w:r w:rsidR="00E713A8">
        <w:t xml:space="preserve"> does not cause</w:t>
      </w:r>
      <w:r w:rsidR="00E713A8" w:rsidRPr="00330053">
        <w:rPr>
          <w:rStyle w:val="normaltextrun"/>
          <w:rFonts w:ascii="Calibri" w:hAnsi="Calibri" w:cs="Segoe UI"/>
          <w:szCs w:val="20"/>
        </w:rPr>
        <w:t xml:space="preserve"> intoxication or euphoria</w:t>
      </w:r>
      <w:r w:rsidR="00E713A8">
        <w:rPr>
          <w:rStyle w:val="normaltextrun"/>
          <w:rFonts w:ascii="Calibri" w:hAnsi="Calibri" w:cs="Segoe UI"/>
          <w:szCs w:val="20"/>
        </w:rPr>
        <w:t xml:space="preserve">; </w:t>
      </w:r>
      <w:r w:rsidR="00612718">
        <w:rPr>
          <w:rStyle w:val="normaltextrun"/>
          <w:rFonts w:ascii="Calibri" w:hAnsi="Calibri" w:cs="Segoe UI"/>
          <w:szCs w:val="20"/>
        </w:rPr>
        <w:t xml:space="preserve">and </w:t>
      </w:r>
      <w:r w:rsidR="00B17A5A">
        <w:rPr>
          <w:rStyle w:val="normaltextrun"/>
          <w:rFonts w:ascii="Calibri" w:hAnsi="Calibri" w:cs="Segoe UI"/>
          <w:szCs w:val="20"/>
        </w:rPr>
        <w:t xml:space="preserve">there was a high level of concordance between </w:t>
      </w:r>
      <w:r w:rsidR="0061632A">
        <w:t xml:space="preserve">the </w:t>
      </w:r>
      <w:r w:rsidR="00502184">
        <w:t xml:space="preserve">objective and </w:t>
      </w:r>
      <w:r w:rsidR="00470D26">
        <w:t xml:space="preserve">self-reported </w:t>
      </w:r>
      <w:r w:rsidR="0061632A">
        <w:t xml:space="preserve">findings </w:t>
      </w:r>
      <w:r w:rsidR="0064739D">
        <w:t xml:space="preserve">within </w:t>
      </w:r>
      <w:r w:rsidR="00502184">
        <w:t>the 400</w:t>
      </w:r>
      <w:r w:rsidR="0064602D">
        <w:t xml:space="preserve"> </w:t>
      </w:r>
      <w:r w:rsidR="00502184">
        <w:t>mg and 800</w:t>
      </w:r>
      <w:r w:rsidR="0064602D">
        <w:t xml:space="preserve"> </w:t>
      </w:r>
      <w:r w:rsidR="00502184">
        <w:t>mg CBD conditions</w:t>
      </w:r>
      <w:r w:rsidR="00B17A5A">
        <w:t>)</w:t>
      </w:r>
      <w:r w:rsidR="004A1F14">
        <w:t>.</w:t>
      </w:r>
      <w:r>
        <w:t xml:space="preserve"> </w:t>
      </w:r>
    </w:p>
    <w:p w14:paraId="41742C23" w14:textId="69C98384" w:rsidR="003E1DB1" w:rsidRPr="004B7F28" w:rsidRDefault="003E1DB1" w:rsidP="005A4379">
      <w:pPr>
        <w:tabs>
          <w:tab w:val="left" w:pos="632"/>
          <w:tab w:val="left" w:pos="5070"/>
          <w:tab w:val="left" w:pos="7621"/>
          <w:tab w:val="left" w:pos="9747"/>
        </w:tabs>
        <w:jc w:val="both"/>
      </w:pPr>
      <w:r w:rsidRPr="1CCBFDCC">
        <w:t>Lintzeris and colleagues (2019</w:t>
      </w:r>
      <w:r w:rsidR="00A57103" w:rsidRPr="1CCBFDCC">
        <w:t xml:space="preserve">, </w:t>
      </w:r>
      <w:r w:rsidR="00F74931" w:rsidRPr="1CCBFDCC">
        <w:rPr>
          <w:i/>
        </w:rPr>
        <w:t>n</w:t>
      </w:r>
      <w:r w:rsidR="00F74931" w:rsidRPr="1CCBFDCC">
        <w:t xml:space="preserve"> = 1</w:t>
      </w:r>
      <w:r w:rsidR="004C4ECA">
        <w:t>37</w:t>
      </w:r>
      <w:r w:rsidR="00F74931" w:rsidRPr="1CCBFDCC">
        <w:t>)</w:t>
      </w:r>
      <w:r w:rsidR="00A57103" w:rsidRPr="1CCBFDCC">
        <w:t xml:space="preserve"> </w:t>
      </w:r>
      <w:r w:rsidR="00EB175C" w:rsidRPr="1CCBFDCC">
        <w:t xml:space="preserve">recruited participants with a diagnosis of cannabis use disorder (ICD-10 criteria) from four (4) outpatient specialist alcohol and drug treatment services. </w:t>
      </w:r>
      <w:r w:rsidR="6E7D5797" w:rsidRPr="230259A5">
        <w:t xml:space="preserve">All participants </w:t>
      </w:r>
      <w:r w:rsidR="00B10AFE">
        <w:t xml:space="preserve">were </w:t>
      </w:r>
      <w:r w:rsidR="00B10AFE" w:rsidRPr="0015596A">
        <w:t>offered</w:t>
      </w:r>
      <w:r w:rsidR="6E7D5797" w:rsidRPr="0015596A">
        <w:t xml:space="preserve"> </w:t>
      </w:r>
      <w:r w:rsidR="00380DBB" w:rsidRPr="0015596A">
        <w:t xml:space="preserve">six </w:t>
      </w:r>
      <w:r w:rsidR="00E059B0" w:rsidRPr="0015596A">
        <w:t xml:space="preserve">sessions of </w:t>
      </w:r>
      <w:r w:rsidR="00411F59" w:rsidRPr="0015596A">
        <w:t>individual</w:t>
      </w:r>
      <w:r w:rsidR="001A53C4" w:rsidRPr="0015596A">
        <w:t xml:space="preserve"> (</w:t>
      </w:r>
      <w:r w:rsidR="00411F59" w:rsidRPr="0015596A">
        <w:t>CBT-based</w:t>
      </w:r>
      <w:r w:rsidR="001A53C4" w:rsidRPr="0015596A">
        <w:t>)</w:t>
      </w:r>
      <w:r w:rsidR="00411F59" w:rsidRPr="0015596A">
        <w:t xml:space="preserve"> counselling</w:t>
      </w:r>
      <w:r w:rsidR="001A53C4">
        <w:t>,</w:t>
      </w:r>
      <w:r w:rsidR="009C4D22">
        <w:t xml:space="preserve"> </w:t>
      </w:r>
      <w:r w:rsidR="6E7D5797" w:rsidRPr="230259A5">
        <w:t xml:space="preserve">and </w:t>
      </w:r>
      <w:r w:rsidR="00823A90">
        <w:t xml:space="preserve">weekly </w:t>
      </w:r>
      <w:r w:rsidR="6E7D5797" w:rsidRPr="230259A5">
        <w:t xml:space="preserve">clinical reviews to titrate </w:t>
      </w:r>
      <w:r w:rsidR="00976A37">
        <w:t xml:space="preserve">the </w:t>
      </w:r>
      <w:r w:rsidR="6E7D5797" w:rsidRPr="230259A5">
        <w:t>dose</w:t>
      </w:r>
      <w:r w:rsidR="00C433C1">
        <w:t xml:space="preserve"> </w:t>
      </w:r>
      <w:r w:rsidR="006F4DD7">
        <w:t xml:space="preserve">of medication </w:t>
      </w:r>
      <w:r w:rsidR="00C433C1">
        <w:t>(</w:t>
      </w:r>
      <w:r w:rsidR="004652AC">
        <w:t xml:space="preserve">i.e., </w:t>
      </w:r>
      <w:r w:rsidR="6E7D5797" w:rsidRPr="230259A5">
        <w:t>optimise</w:t>
      </w:r>
      <w:r w:rsidR="00976A37">
        <w:t xml:space="preserve"> </w:t>
      </w:r>
      <w:r w:rsidR="6E7D5797" w:rsidRPr="230259A5">
        <w:t>eff</w:t>
      </w:r>
      <w:r w:rsidR="00044C29">
        <w:t>icacy</w:t>
      </w:r>
      <w:r w:rsidR="004652AC">
        <w:t xml:space="preserve"> and </w:t>
      </w:r>
      <w:r w:rsidR="006F4DD7">
        <w:t>safety</w:t>
      </w:r>
      <w:r w:rsidR="00C433C1">
        <w:t>)</w:t>
      </w:r>
      <w:r w:rsidR="6E7D5797" w:rsidRPr="230259A5">
        <w:t xml:space="preserve">. </w:t>
      </w:r>
      <w:r w:rsidR="00EB175C" w:rsidRPr="1CCBFDCC">
        <w:t xml:space="preserve">Participants were </w:t>
      </w:r>
      <w:r w:rsidR="46A9309E" w:rsidRPr="230259A5">
        <w:t>randomised</w:t>
      </w:r>
      <w:r w:rsidR="00EB175C" w:rsidRPr="1CCBFDCC">
        <w:t xml:space="preserve"> to </w:t>
      </w:r>
      <w:r w:rsidR="00EB175C" w:rsidRPr="004C3931">
        <w:t xml:space="preserve">receive </w:t>
      </w:r>
      <w:r w:rsidR="00976A37" w:rsidRPr="004C3931">
        <w:t>an oromucosal spray (daily for 12</w:t>
      </w:r>
      <w:r w:rsidR="00976A37">
        <w:t xml:space="preserve"> weeks) of either self-</w:t>
      </w:r>
      <w:r w:rsidR="00976A37" w:rsidRPr="0048771D">
        <w:t>titrated</w:t>
      </w:r>
      <w:r w:rsidR="00EB175C" w:rsidRPr="0048771D">
        <w:t xml:space="preserve"> </w:t>
      </w:r>
      <w:r w:rsidR="6C166561" w:rsidRPr="0048771D">
        <w:t>nabiximols</w:t>
      </w:r>
      <w:r w:rsidR="00EB175C" w:rsidRPr="0048771D">
        <w:t xml:space="preserve"> (</w:t>
      </w:r>
      <w:r w:rsidR="00DA5C9F" w:rsidRPr="00F62917">
        <w:rPr>
          <w:i/>
          <w:iCs/>
        </w:rPr>
        <w:t>n</w:t>
      </w:r>
      <w:r w:rsidR="00DA5C9F">
        <w:t xml:space="preserve"> = 64; </w:t>
      </w:r>
      <w:r w:rsidR="0010090B">
        <w:t xml:space="preserve">natural cannabis extract containing a </w:t>
      </w:r>
      <w:r w:rsidR="00DA5C9F" w:rsidRPr="006323DC">
        <w:rPr>
          <w:rFonts w:cstheme="minorHAnsi"/>
          <w:color w:val="000000"/>
          <w:szCs w:val="20"/>
        </w:rPr>
        <w:t>max</w:t>
      </w:r>
      <w:r w:rsidR="00DA5C9F">
        <w:rPr>
          <w:rFonts w:cstheme="minorHAnsi"/>
          <w:color w:val="000000"/>
          <w:szCs w:val="20"/>
        </w:rPr>
        <w:t>imum of</w:t>
      </w:r>
      <w:r w:rsidR="00DA5C9F" w:rsidRPr="006323DC">
        <w:rPr>
          <w:rFonts w:cstheme="minorHAnsi"/>
          <w:color w:val="000000"/>
          <w:szCs w:val="20"/>
        </w:rPr>
        <w:t xml:space="preserve"> 86.4</w:t>
      </w:r>
      <w:r w:rsidR="00E13EBD">
        <w:rPr>
          <w:rFonts w:cstheme="minorHAnsi"/>
          <w:color w:val="000000"/>
          <w:szCs w:val="20"/>
        </w:rPr>
        <w:t xml:space="preserve"> </w:t>
      </w:r>
      <w:r w:rsidR="00DA5C9F" w:rsidRPr="006323DC">
        <w:rPr>
          <w:rFonts w:cstheme="minorHAnsi"/>
          <w:color w:val="000000"/>
          <w:szCs w:val="20"/>
        </w:rPr>
        <w:t>mg of THC and 80</w:t>
      </w:r>
      <w:r w:rsidR="00E13EBD">
        <w:rPr>
          <w:rFonts w:cstheme="minorHAnsi"/>
          <w:color w:val="000000"/>
          <w:szCs w:val="20"/>
        </w:rPr>
        <w:t xml:space="preserve"> </w:t>
      </w:r>
      <w:r w:rsidR="00DA5C9F" w:rsidRPr="006323DC">
        <w:rPr>
          <w:rFonts w:cstheme="minorHAnsi"/>
          <w:color w:val="000000"/>
          <w:szCs w:val="20"/>
        </w:rPr>
        <w:t>mg of CBD</w:t>
      </w:r>
      <w:r w:rsidR="00E4230F">
        <w:rPr>
          <w:rFonts w:cstheme="minorHAnsi"/>
          <w:color w:val="000000"/>
          <w:szCs w:val="20"/>
        </w:rPr>
        <w:t xml:space="preserve"> per day</w:t>
      </w:r>
      <w:r w:rsidR="00EB175C" w:rsidRPr="1CCBFDCC">
        <w:t>) or placebo (</w:t>
      </w:r>
      <w:r w:rsidR="00EB175C" w:rsidRPr="0033578C">
        <w:rPr>
          <w:i/>
        </w:rPr>
        <w:t>n</w:t>
      </w:r>
      <w:r w:rsidR="00EB175C" w:rsidRPr="1CCBFDCC">
        <w:t xml:space="preserve"> = </w:t>
      </w:r>
      <w:r w:rsidR="00F12492">
        <w:t>73</w:t>
      </w:r>
      <w:r w:rsidR="00E923CD">
        <w:t xml:space="preserve">; </w:t>
      </w:r>
      <w:r w:rsidR="00E923CD" w:rsidRPr="1CCBFDCC">
        <w:t>using the same carrier and flavouring</w:t>
      </w:r>
      <w:r w:rsidR="00EB175C" w:rsidRPr="1CCBFDCC">
        <w:t xml:space="preserve">). </w:t>
      </w:r>
      <w:r w:rsidR="005A4379">
        <w:t xml:space="preserve">Participants who did not attend clinical sessions for more than </w:t>
      </w:r>
      <w:r w:rsidR="00391D93">
        <w:t>two</w:t>
      </w:r>
      <w:r w:rsidR="005A4379">
        <w:t xml:space="preserve"> consecutive weeks were </w:t>
      </w:r>
      <w:r w:rsidR="00290E40">
        <w:t>excluded from the study</w:t>
      </w:r>
      <w:r w:rsidR="005A4379">
        <w:t>.</w:t>
      </w:r>
      <w:r w:rsidR="0013518F">
        <w:t xml:space="preserve"> </w:t>
      </w:r>
      <w:r w:rsidR="00EB175C" w:rsidRPr="1CCBFDCC">
        <w:t>The outcome measures were self-reported total days of illicit canna</w:t>
      </w:r>
      <w:r w:rsidR="0048771D">
        <w:t xml:space="preserve">bis use </w:t>
      </w:r>
      <w:r w:rsidR="00C2616A">
        <w:t>(</w:t>
      </w:r>
      <w:r w:rsidR="0048771D">
        <w:t>week 1 to 12</w:t>
      </w:r>
      <w:r w:rsidR="00E060AF">
        <w:t xml:space="preserve">; </w:t>
      </w:r>
      <w:r w:rsidR="00EB175C" w:rsidRPr="1CCBFDCC">
        <w:t>maximum of 84 days</w:t>
      </w:r>
      <w:r w:rsidR="0005065F">
        <w:t>;</w:t>
      </w:r>
      <w:r w:rsidR="00265958">
        <w:t xml:space="preserve"> using the Timeline Followback method</w:t>
      </w:r>
      <w:r w:rsidR="0042103A">
        <w:t>)</w:t>
      </w:r>
      <w:r w:rsidR="00EB175C" w:rsidRPr="1CCBFDCC">
        <w:t xml:space="preserve">, treatment </w:t>
      </w:r>
      <w:r w:rsidR="00EB175C" w:rsidRPr="00990CF6">
        <w:t>retention</w:t>
      </w:r>
      <w:r w:rsidR="00FA1008" w:rsidRPr="00990CF6">
        <w:t xml:space="preserve"> </w:t>
      </w:r>
      <w:r w:rsidR="00E408B3">
        <w:t>(</w:t>
      </w:r>
      <w:r w:rsidR="001D4C51">
        <w:t xml:space="preserve">number of </w:t>
      </w:r>
      <w:r w:rsidR="006E7073">
        <w:t>participants who completed the 12-week tr</w:t>
      </w:r>
      <w:r w:rsidR="007B55BB">
        <w:t>eatment</w:t>
      </w:r>
      <w:r w:rsidR="006E7073">
        <w:t xml:space="preserve"> protocol</w:t>
      </w:r>
      <w:r w:rsidR="00FA1008" w:rsidRPr="00990CF6">
        <w:t>)</w:t>
      </w:r>
      <w:r w:rsidR="00EB69C2" w:rsidRPr="00990CF6">
        <w:t>,</w:t>
      </w:r>
      <w:r w:rsidR="00EB69C2">
        <w:t xml:space="preserve"> </w:t>
      </w:r>
      <w:r w:rsidR="00097FF2">
        <w:t xml:space="preserve">the </w:t>
      </w:r>
      <w:r w:rsidR="00DB521E" w:rsidRPr="00DB521E">
        <w:t>Cannabis Problems Questionnaire</w:t>
      </w:r>
      <w:r w:rsidR="001A3C19">
        <w:t xml:space="preserve"> (CPQ)</w:t>
      </w:r>
      <w:r w:rsidR="00DB521E" w:rsidRPr="00DB521E">
        <w:t xml:space="preserve">, </w:t>
      </w:r>
      <w:r w:rsidR="00097FF2">
        <w:t xml:space="preserve">the </w:t>
      </w:r>
      <w:r w:rsidR="00DB521E" w:rsidRPr="00DB521E">
        <w:t>Cannabis Withdrawal Scale</w:t>
      </w:r>
      <w:r w:rsidR="001A3C19">
        <w:t xml:space="preserve"> (CWS)</w:t>
      </w:r>
      <w:r w:rsidR="00DB521E" w:rsidRPr="00DB521E">
        <w:t xml:space="preserve">, </w:t>
      </w:r>
      <w:r w:rsidR="00097FF2">
        <w:t xml:space="preserve">the </w:t>
      </w:r>
      <w:r w:rsidR="00DB521E" w:rsidRPr="00DB521E">
        <w:t>Marijuana Craving Questionnaire</w:t>
      </w:r>
      <w:r w:rsidR="001A3C19">
        <w:t xml:space="preserve"> (MCQ)</w:t>
      </w:r>
      <w:r w:rsidR="00DB521E" w:rsidRPr="00DB521E">
        <w:t xml:space="preserve">, </w:t>
      </w:r>
      <w:r w:rsidR="00097FF2">
        <w:t xml:space="preserve">the </w:t>
      </w:r>
      <w:r w:rsidR="00DB521E" w:rsidRPr="00DB521E">
        <w:t>Fagerström Test for Nicotine Dependence</w:t>
      </w:r>
      <w:r w:rsidR="001A3C19">
        <w:t xml:space="preserve"> (FTND)</w:t>
      </w:r>
      <w:r w:rsidR="00DB521E" w:rsidRPr="00DB521E">
        <w:t xml:space="preserve">, </w:t>
      </w:r>
      <w:r w:rsidR="00097FF2">
        <w:t xml:space="preserve">the </w:t>
      </w:r>
      <w:r w:rsidR="00DB521E" w:rsidRPr="00DB521E">
        <w:t xml:space="preserve">Alcohol Use Disorders Identification Test (AUDIT), </w:t>
      </w:r>
      <w:r w:rsidR="00097FF2">
        <w:t xml:space="preserve">the </w:t>
      </w:r>
      <w:r w:rsidR="00DB521E" w:rsidRPr="00DB521E">
        <w:t xml:space="preserve">36-item Short Form Survey (SF-36), and </w:t>
      </w:r>
      <w:r w:rsidR="00DB521E">
        <w:t xml:space="preserve">the </w:t>
      </w:r>
      <w:r w:rsidR="00DB521E" w:rsidRPr="00DB521E">
        <w:t>Opioid Treatment Index (OTI)</w:t>
      </w:r>
      <w:r w:rsidR="00EB175C" w:rsidRPr="1CCBFDCC">
        <w:t xml:space="preserve">. Assessments were conducted at four (4) time-points: baseline (week 0), </w:t>
      </w:r>
      <w:r w:rsidR="0048771D">
        <w:t xml:space="preserve">during intervention (week 4 and </w:t>
      </w:r>
      <w:r w:rsidR="29F92BA3" w:rsidRPr="1CCBFDCC">
        <w:t xml:space="preserve">8), </w:t>
      </w:r>
      <w:r w:rsidR="00EB175C" w:rsidRPr="1CCBFDCC">
        <w:t xml:space="preserve">and </w:t>
      </w:r>
      <w:r w:rsidR="18B1D5DB" w:rsidRPr="1CCBFDCC">
        <w:t>post-intervention (week 12).</w:t>
      </w:r>
      <w:r w:rsidR="00EB175C" w:rsidRPr="1CCBFDCC">
        <w:t xml:space="preserve"> Clinical treatment response was not defined in the study. </w:t>
      </w:r>
      <w:r w:rsidR="00BF69E3">
        <w:t>I</w:t>
      </w:r>
      <w:r w:rsidR="000F6018">
        <w:t>n a</w:t>
      </w:r>
      <w:r w:rsidR="000F6018" w:rsidRPr="000F6018">
        <w:t xml:space="preserve"> modified intention-to-treat </w:t>
      </w:r>
      <w:r w:rsidR="00BF69E3">
        <w:t xml:space="preserve">(ITT) </w:t>
      </w:r>
      <w:r w:rsidR="000F6018" w:rsidRPr="000F6018">
        <w:t>analysis (</w:t>
      </w:r>
      <w:r w:rsidR="003D51F9">
        <w:t xml:space="preserve">defined as </w:t>
      </w:r>
      <w:r w:rsidR="000F6018" w:rsidRPr="000F6018">
        <w:t xml:space="preserve">participants who attended all four </w:t>
      </w:r>
      <w:r w:rsidR="000B6BBA">
        <w:t>assessment</w:t>
      </w:r>
      <w:r w:rsidR="00E14A78">
        <w:t xml:space="preserve"> time</w:t>
      </w:r>
      <w:r w:rsidR="00E6436B">
        <w:t>-point</w:t>
      </w:r>
      <w:r w:rsidR="000B6BBA">
        <w:t>s</w:t>
      </w:r>
      <w:r w:rsidR="006E702C">
        <w:t xml:space="preserve"> across the 84-day trial</w:t>
      </w:r>
      <w:r w:rsidR="001E58AD">
        <w:t>;</w:t>
      </w:r>
      <w:r w:rsidR="000F6018" w:rsidRPr="000F6018">
        <w:t xml:space="preserve"> </w:t>
      </w:r>
      <w:r w:rsidR="000F6018">
        <w:t>p</w:t>
      </w:r>
      <w:r w:rsidR="000F6018" w:rsidRPr="000F6018">
        <w:t xml:space="preserve">lacebo: </w:t>
      </w:r>
      <w:r w:rsidR="000F6018" w:rsidRPr="00F62917">
        <w:rPr>
          <w:i/>
          <w:iCs/>
        </w:rPr>
        <w:t>n</w:t>
      </w:r>
      <w:r w:rsidR="000F6018" w:rsidRPr="000F6018">
        <w:t xml:space="preserve"> = 36; </w:t>
      </w:r>
      <w:r w:rsidR="0023551A">
        <w:t>n</w:t>
      </w:r>
      <w:r w:rsidR="000F6018" w:rsidRPr="000F6018">
        <w:t xml:space="preserve">abiximols: </w:t>
      </w:r>
      <w:r w:rsidR="000F6018" w:rsidRPr="00F62917">
        <w:rPr>
          <w:i/>
          <w:iCs/>
        </w:rPr>
        <w:t>n</w:t>
      </w:r>
      <w:r w:rsidR="000F6018" w:rsidRPr="000F6018">
        <w:t xml:space="preserve"> = 31), </w:t>
      </w:r>
      <w:r w:rsidR="00485D6C">
        <w:t xml:space="preserve">the number of </w:t>
      </w:r>
      <w:r w:rsidR="00C3486F">
        <w:t>self-</w:t>
      </w:r>
      <w:r w:rsidR="002A1DC6">
        <w:t>reported</w:t>
      </w:r>
      <w:r w:rsidR="00C3486F">
        <w:t xml:space="preserve"> days </w:t>
      </w:r>
      <w:r w:rsidR="00C20FE7">
        <w:t>of</w:t>
      </w:r>
      <w:r w:rsidR="000F6018" w:rsidRPr="000F6018">
        <w:t xml:space="preserve"> illicit cannabis </w:t>
      </w:r>
      <w:r w:rsidR="00C20FE7">
        <w:t xml:space="preserve">use </w:t>
      </w:r>
      <w:r w:rsidR="009031DE">
        <w:t>w</w:t>
      </w:r>
      <w:r w:rsidR="00485D6C">
        <w:t>as</w:t>
      </w:r>
      <w:r w:rsidR="00C35401">
        <w:t xml:space="preserve"> higher in the placebo group</w:t>
      </w:r>
      <w:r w:rsidR="001D4537">
        <w:t xml:space="preserve"> (M =</w:t>
      </w:r>
      <w:r w:rsidR="001D4537" w:rsidRPr="000F6018">
        <w:t xml:space="preserve"> 53.1 </w:t>
      </w:r>
      <w:r w:rsidR="001D4537">
        <w:t xml:space="preserve">days; SD = </w:t>
      </w:r>
      <w:r w:rsidR="001D4537" w:rsidRPr="000F6018">
        <w:t>33.0 days</w:t>
      </w:r>
      <w:r w:rsidR="001D4537">
        <w:t>)</w:t>
      </w:r>
      <w:r w:rsidR="000F6018" w:rsidRPr="000F6018">
        <w:t xml:space="preserve"> compared with the nabiximols group</w:t>
      </w:r>
      <w:r w:rsidR="00992520">
        <w:t xml:space="preserve"> (</w:t>
      </w:r>
      <w:r w:rsidR="001A2803">
        <w:t>M = 35.0 days; SD = 32.4 days)</w:t>
      </w:r>
      <w:r w:rsidR="00C20FE7">
        <w:t>;</w:t>
      </w:r>
      <w:r w:rsidR="000F6018" w:rsidRPr="000F6018">
        <w:t xml:space="preserve"> a significant difference of 18.6 days</w:t>
      </w:r>
      <w:r w:rsidR="00744E83">
        <w:t xml:space="preserve"> (</w:t>
      </w:r>
      <w:r w:rsidR="00744E83" w:rsidRPr="000F6018">
        <w:t>95% CI</w:t>
      </w:r>
      <w:r w:rsidR="00744E83">
        <w:t xml:space="preserve"> =</w:t>
      </w:r>
      <w:r w:rsidR="00744E83" w:rsidRPr="000F6018">
        <w:t xml:space="preserve"> 3.5</w:t>
      </w:r>
      <w:r w:rsidR="00744E83">
        <w:t xml:space="preserve"> to </w:t>
      </w:r>
      <w:r w:rsidR="00744E83" w:rsidRPr="000F6018">
        <w:t>33.7 days</w:t>
      </w:r>
      <w:r w:rsidR="00744E83">
        <w:t>)</w:t>
      </w:r>
      <w:r w:rsidR="000F6018" w:rsidRPr="000F6018">
        <w:t xml:space="preserve"> </w:t>
      </w:r>
      <w:r w:rsidR="00E03113" w:rsidRPr="000F6018">
        <w:t xml:space="preserve">after adjusting for baseline cannabis use </w:t>
      </w:r>
      <w:r w:rsidR="00CD1F0B" w:rsidRPr="000F6018">
        <w:t>(</w:t>
      </w:r>
      <w:r w:rsidR="00CD1F0B" w:rsidRPr="00AB7BA6">
        <w:rPr>
          <w:i/>
          <w:iCs/>
        </w:rPr>
        <w:t>p</w:t>
      </w:r>
      <w:r w:rsidR="00CD1F0B" w:rsidRPr="000F6018">
        <w:t xml:space="preserve"> = </w:t>
      </w:r>
      <w:r w:rsidR="00E70F7C">
        <w:t>0</w:t>
      </w:r>
      <w:r w:rsidR="00CD1F0B" w:rsidRPr="000F6018">
        <w:t>.02)</w:t>
      </w:r>
      <w:r w:rsidR="000F6018" w:rsidRPr="000F6018">
        <w:t>.</w:t>
      </w:r>
      <w:r w:rsidR="00EB175C" w:rsidRPr="1CCBFDCC">
        <w:t xml:space="preserve"> </w:t>
      </w:r>
      <w:r w:rsidR="00415DDC" w:rsidRPr="00A32D4A">
        <w:t>There were no significant between-group differences in treatment retention (p-value not reported)</w:t>
      </w:r>
      <w:r w:rsidR="00415DDC">
        <w:t>: a</w:t>
      </w:r>
      <w:r w:rsidR="00A32D4A" w:rsidRPr="00A32D4A">
        <w:t xml:space="preserve"> total of 60 </w:t>
      </w:r>
      <w:r w:rsidR="00A32D4A" w:rsidRPr="00921AF6">
        <w:t>participants (</w:t>
      </w:r>
      <w:r w:rsidR="00D71EC1" w:rsidRPr="00F62917">
        <w:rPr>
          <w:i/>
          <w:iCs/>
        </w:rPr>
        <w:t>n</w:t>
      </w:r>
      <w:r w:rsidR="00D71EC1">
        <w:t xml:space="preserve"> = 60/128; </w:t>
      </w:r>
      <w:r w:rsidR="002E1C13">
        <w:t>46.9</w:t>
      </w:r>
      <w:r w:rsidR="00A32D4A" w:rsidRPr="00921AF6">
        <w:t>%) completed the 12-week treatment protocol</w:t>
      </w:r>
      <w:r w:rsidR="00FA021E">
        <w:t>;</w:t>
      </w:r>
      <w:r w:rsidR="00A32D4A" w:rsidRPr="00921AF6">
        <w:t xml:space="preserve"> 30 participants (</w:t>
      </w:r>
      <w:r w:rsidR="00D71EC1" w:rsidRPr="00F62917">
        <w:rPr>
          <w:i/>
          <w:iCs/>
        </w:rPr>
        <w:t>n</w:t>
      </w:r>
      <w:r w:rsidR="00D71EC1">
        <w:t xml:space="preserve"> = 30/</w:t>
      </w:r>
      <w:r w:rsidR="00EA5BBF">
        <w:t>6</w:t>
      </w:r>
      <w:r w:rsidR="00665772">
        <w:t>7</w:t>
      </w:r>
      <w:r w:rsidR="00EA5BBF">
        <w:t xml:space="preserve">; </w:t>
      </w:r>
      <w:r w:rsidR="00A32D4A" w:rsidRPr="00921AF6">
        <w:t>4</w:t>
      </w:r>
      <w:r w:rsidR="008A5247">
        <w:t>4.8</w:t>
      </w:r>
      <w:r w:rsidR="00A32D4A" w:rsidRPr="00921AF6">
        <w:t>%) in the placebo group</w:t>
      </w:r>
      <w:r w:rsidR="001B37EE">
        <w:t>,</w:t>
      </w:r>
      <w:r w:rsidR="00A32D4A" w:rsidRPr="00921AF6">
        <w:t xml:space="preserve"> and 30 participants (</w:t>
      </w:r>
      <w:r w:rsidR="00EA5BBF">
        <w:t>n = 30/6</w:t>
      </w:r>
      <w:r w:rsidR="00665772">
        <w:t>1</w:t>
      </w:r>
      <w:r w:rsidR="00EA5BBF">
        <w:t xml:space="preserve">; </w:t>
      </w:r>
      <w:r w:rsidR="00A32D4A" w:rsidRPr="00921AF6">
        <w:t>4</w:t>
      </w:r>
      <w:r w:rsidR="001B37EE">
        <w:t>9.2</w:t>
      </w:r>
      <w:r w:rsidR="00A32D4A" w:rsidRPr="00921AF6">
        <w:t>%) in</w:t>
      </w:r>
      <w:r w:rsidR="00A32D4A" w:rsidRPr="00A32D4A">
        <w:t xml:space="preserve"> the nabiximols group.</w:t>
      </w:r>
      <w:r w:rsidR="00713684">
        <w:t xml:space="preserve"> </w:t>
      </w:r>
      <w:r w:rsidR="00220DF4" w:rsidRPr="00220DF4">
        <w:t xml:space="preserve">Note that these reported findings exclude </w:t>
      </w:r>
      <w:r w:rsidR="00185442">
        <w:t>nine participants (</w:t>
      </w:r>
      <w:r w:rsidR="00185442" w:rsidRPr="00F62917">
        <w:rPr>
          <w:i/>
          <w:iCs/>
        </w:rPr>
        <w:t>n</w:t>
      </w:r>
      <w:r w:rsidR="00185442">
        <w:t xml:space="preserve"> = 9/137): </w:t>
      </w:r>
      <w:r w:rsidR="00220DF4">
        <w:t>six (</w:t>
      </w:r>
      <w:r w:rsidR="00220DF4" w:rsidRPr="00220DF4">
        <w:t>6</w:t>
      </w:r>
      <w:r w:rsidR="00220DF4">
        <w:t>)</w:t>
      </w:r>
      <w:r w:rsidR="00220DF4" w:rsidRPr="00220DF4">
        <w:t xml:space="preserve"> participants in the placebo group</w:t>
      </w:r>
      <w:r w:rsidR="00E23376">
        <w:t>,</w:t>
      </w:r>
      <w:r w:rsidR="00220DF4" w:rsidRPr="00220DF4">
        <w:t xml:space="preserve"> and </w:t>
      </w:r>
      <w:r w:rsidR="00220DF4">
        <w:t>three (</w:t>
      </w:r>
      <w:r w:rsidR="00220DF4" w:rsidRPr="00220DF4">
        <w:t>3</w:t>
      </w:r>
      <w:r w:rsidR="00220DF4">
        <w:t>)</w:t>
      </w:r>
      <w:r w:rsidR="00220DF4" w:rsidRPr="00220DF4">
        <w:t xml:space="preserve"> participants in the nabiximols group</w:t>
      </w:r>
      <w:r w:rsidR="00E23376">
        <w:t>,</w:t>
      </w:r>
      <w:r w:rsidR="00220DF4" w:rsidRPr="00220DF4">
        <w:t xml:space="preserve"> who did not receive the</w:t>
      </w:r>
      <w:r w:rsidR="005D24D1">
        <w:t>ir</w:t>
      </w:r>
      <w:r w:rsidR="00220DF4" w:rsidRPr="00220DF4">
        <w:t xml:space="preserve"> allocat</w:t>
      </w:r>
      <w:r w:rsidR="005D24D1">
        <w:t>ed</w:t>
      </w:r>
      <w:r w:rsidR="00220DF4" w:rsidRPr="00220DF4">
        <w:t xml:space="preserve"> intervention following </w:t>
      </w:r>
      <w:r w:rsidR="00220DF4" w:rsidRPr="003C6DD3">
        <w:t xml:space="preserve">randomisation. </w:t>
      </w:r>
      <w:r w:rsidR="00C53DD3" w:rsidRPr="003C6DD3">
        <w:t xml:space="preserve">No significant between-group differences were observed in </w:t>
      </w:r>
      <w:r w:rsidR="000E1A62" w:rsidRPr="003C6DD3">
        <w:t xml:space="preserve">the remaining </w:t>
      </w:r>
      <w:r w:rsidR="00C53DD3" w:rsidRPr="003C6DD3">
        <w:t xml:space="preserve">outcome measures </w:t>
      </w:r>
      <w:r w:rsidR="000E1A62" w:rsidRPr="003C6DD3">
        <w:t xml:space="preserve">(e.g., </w:t>
      </w:r>
      <w:r w:rsidR="00856EB8" w:rsidRPr="00F62917">
        <w:t xml:space="preserve">4-week </w:t>
      </w:r>
      <w:r w:rsidR="00C53DD3" w:rsidRPr="003C6DD3">
        <w:t xml:space="preserve">abstinence rate, </w:t>
      </w:r>
      <w:r w:rsidR="003A7404" w:rsidRPr="00F62917">
        <w:t xml:space="preserve">cannabis-related problems, </w:t>
      </w:r>
      <w:r w:rsidR="00C53DD3" w:rsidRPr="003C6DD3">
        <w:t xml:space="preserve">cannabis craving, </w:t>
      </w:r>
      <w:r w:rsidR="001C1815" w:rsidRPr="00F62917">
        <w:t xml:space="preserve">cannabis </w:t>
      </w:r>
      <w:r w:rsidR="00C53DD3" w:rsidRPr="003C6DD3">
        <w:t xml:space="preserve">withdrawal, </w:t>
      </w:r>
      <w:r w:rsidR="00283F31">
        <w:t xml:space="preserve">alcohol </w:t>
      </w:r>
      <w:r w:rsidR="001441EC">
        <w:t xml:space="preserve">use, </w:t>
      </w:r>
      <w:r w:rsidR="00283F31">
        <w:t xml:space="preserve">nicotine </w:t>
      </w:r>
      <w:r w:rsidR="00C53DD3" w:rsidRPr="003C6DD3">
        <w:t>use</w:t>
      </w:r>
      <w:r w:rsidR="00E54585" w:rsidRPr="003C6DD3">
        <w:t>,</w:t>
      </w:r>
      <w:r w:rsidR="00C53DD3" w:rsidRPr="003C6DD3">
        <w:t xml:space="preserve"> general health status</w:t>
      </w:r>
      <w:r w:rsidR="00201A9D">
        <w:t xml:space="preserve"> and</w:t>
      </w:r>
      <w:r w:rsidR="00C53DD3" w:rsidRPr="003C6DD3">
        <w:t xml:space="preserve"> psychosocial function</w:t>
      </w:r>
      <w:r w:rsidR="001441EC">
        <w:t>ing</w:t>
      </w:r>
      <w:r w:rsidR="00E347EB" w:rsidRPr="00F62917">
        <w:t xml:space="preserve">, </w:t>
      </w:r>
      <w:r w:rsidR="00530ECB">
        <w:t>aberrant medication use, or adverse events</w:t>
      </w:r>
      <w:r w:rsidR="00E54585" w:rsidRPr="003C6DD3">
        <w:t>)</w:t>
      </w:r>
      <w:r w:rsidR="00C53DD3" w:rsidRPr="003C6DD3">
        <w:t>.</w:t>
      </w:r>
      <w:r w:rsidR="00C53DD3" w:rsidRPr="00315912">
        <w:t xml:space="preserve"> </w:t>
      </w:r>
      <w:r w:rsidR="771EEC67" w:rsidRPr="00315912">
        <w:t xml:space="preserve">This study </w:t>
      </w:r>
      <w:r w:rsidR="2EFA0986" w:rsidRPr="00315912">
        <w:t xml:space="preserve">was judged to have </w:t>
      </w:r>
      <w:r w:rsidR="00DD03BD" w:rsidRPr="00F62917">
        <w:t xml:space="preserve">a high </w:t>
      </w:r>
      <w:r w:rsidR="009739D3" w:rsidRPr="00315912">
        <w:t>risk</w:t>
      </w:r>
      <w:r w:rsidR="00DD03BD" w:rsidRPr="00F62917">
        <w:t xml:space="preserve"> </w:t>
      </w:r>
      <w:r w:rsidR="009739D3" w:rsidRPr="00315912">
        <w:t>of</w:t>
      </w:r>
      <w:r w:rsidR="00DD03BD" w:rsidRPr="00F62917">
        <w:t xml:space="preserve"> </w:t>
      </w:r>
      <w:r w:rsidR="009739D3" w:rsidRPr="00315912">
        <w:t>bias</w:t>
      </w:r>
      <w:r w:rsidR="008917B6">
        <w:t>; primarily due to missing outcome data</w:t>
      </w:r>
      <w:r w:rsidR="00EB175C" w:rsidRPr="00315912">
        <w:t>.</w:t>
      </w:r>
      <w:r w:rsidR="00315912" w:rsidRPr="00315912">
        <w:t xml:space="preserve"> </w:t>
      </w:r>
      <w:r w:rsidR="00A35E11">
        <w:t>P</w:t>
      </w:r>
      <w:r w:rsidR="00F55A08">
        <w:t>rior to the end of the 12-week tr</w:t>
      </w:r>
      <w:r w:rsidR="005702D5">
        <w:t>ial protocol</w:t>
      </w:r>
      <w:r w:rsidR="00DA3275">
        <w:t>,</w:t>
      </w:r>
      <w:r w:rsidR="001F479B">
        <w:t xml:space="preserve"> </w:t>
      </w:r>
      <w:r w:rsidR="00315020">
        <w:rPr>
          <w:rFonts w:ascii="Calibri" w:hAnsi="Calibri" w:cs="Calibri"/>
          <w:color w:val="000000" w:themeColor="text1"/>
        </w:rPr>
        <w:t>77</w:t>
      </w:r>
      <w:r w:rsidR="009C59D6" w:rsidRPr="001718CE">
        <w:rPr>
          <w:rFonts w:ascii="Calibri" w:hAnsi="Calibri" w:cs="Calibri"/>
          <w:color w:val="000000" w:themeColor="text1"/>
        </w:rPr>
        <w:t xml:space="preserve"> participants </w:t>
      </w:r>
      <w:r w:rsidR="00CD06DE">
        <w:rPr>
          <w:rFonts w:ascii="Calibri" w:hAnsi="Calibri" w:cs="Calibri"/>
          <w:color w:val="000000" w:themeColor="text1"/>
        </w:rPr>
        <w:t>(</w:t>
      </w:r>
      <w:r w:rsidR="00D32F71" w:rsidRPr="00F62917">
        <w:rPr>
          <w:rFonts w:ascii="Calibri" w:hAnsi="Calibri" w:cs="Calibri"/>
          <w:i/>
          <w:iCs/>
          <w:color w:val="000000" w:themeColor="text1"/>
        </w:rPr>
        <w:t>n</w:t>
      </w:r>
      <w:r w:rsidR="00D32F71">
        <w:rPr>
          <w:rFonts w:ascii="Calibri" w:hAnsi="Calibri" w:cs="Calibri"/>
          <w:color w:val="000000" w:themeColor="text1"/>
        </w:rPr>
        <w:t xml:space="preserve"> = 77/137; </w:t>
      </w:r>
      <w:r w:rsidR="00CD06DE">
        <w:rPr>
          <w:rFonts w:ascii="Calibri" w:hAnsi="Calibri" w:cs="Calibri"/>
          <w:color w:val="000000" w:themeColor="text1"/>
        </w:rPr>
        <w:t>5</w:t>
      </w:r>
      <w:r w:rsidR="006C49C1">
        <w:rPr>
          <w:rFonts w:ascii="Calibri" w:hAnsi="Calibri" w:cs="Calibri"/>
          <w:color w:val="000000" w:themeColor="text1"/>
        </w:rPr>
        <w:t>6</w:t>
      </w:r>
      <w:r w:rsidR="00D32F71">
        <w:rPr>
          <w:rFonts w:ascii="Calibri" w:hAnsi="Calibri" w:cs="Calibri"/>
          <w:color w:val="000000" w:themeColor="text1"/>
        </w:rPr>
        <w:t>.2</w:t>
      </w:r>
      <w:r w:rsidR="00CD06DE">
        <w:rPr>
          <w:rFonts w:ascii="Calibri" w:hAnsi="Calibri" w:cs="Calibri"/>
          <w:color w:val="000000" w:themeColor="text1"/>
        </w:rPr>
        <w:t xml:space="preserve">%) </w:t>
      </w:r>
      <w:r w:rsidR="009C59D6" w:rsidRPr="001718CE">
        <w:rPr>
          <w:rFonts w:ascii="Calibri" w:hAnsi="Calibri" w:cs="Calibri"/>
          <w:color w:val="000000" w:themeColor="text1"/>
        </w:rPr>
        <w:t xml:space="preserve">dropped out of the study </w:t>
      </w:r>
      <w:r w:rsidR="00A35E11">
        <w:rPr>
          <w:rFonts w:ascii="Calibri" w:hAnsi="Calibri" w:cs="Calibri"/>
          <w:color w:val="000000" w:themeColor="text1"/>
        </w:rPr>
        <w:t>following randomisation</w:t>
      </w:r>
      <w:r w:rsidR="00F14719">
        <w:rPr>
          <w:rFonts w:ascii="Calibri" w:hAnsi="Calibri" w:cs="Calibri"/>
          <w:color w:val="000000" w:themeColor="text1"/>
        </w:rPr>
        <w:t xml:space="preserve"> </w:t>
      </w:r>
      <w:r w:rsidR="009C59D6" w:rsidRPr="001718CE">
        <w:rPr>
          <w:rFonts w:ascii="Calibri" w:hAnsi="Calibri" w:cs="Calibri"/>
          <w:color w:val="000000" w:themeColor="text1"/>
        </w:rPr>
        <w:t>for various reason</w:t>
      </w:r>
      <w:r w:rsidR="009C59D6">
        <w:rPr>
          <w:rFonts w:ascii="Calibri" w:hAnsi="Calibri" w:cs="Calibri"/>
          <w:color w:val="000000" w:themeColor="text1"/>
        </w:rPr>
        <w:t>s</w:t>
      </w:r>
      <w:r w:rsidR="00490E9C">
        <w:rPr>
          <w:rFonts w:ascii="Calibri" w:hAnsi="Calibri" w:cs="Calibri"/>
          <w:color w:val="000000" w:themeColor="text1"/>
        </w:rPr>
        <w:t xml:space="preserve"> </w:t>
      </w:r>
      <w:r w:rsidR="00213DFF">
        <w:t>(e.g., protocol deviations</w:t>
      </w:r>
      <w:r w:rsidR="00EA122F">
        <w:t>,</w:t>
      </w:r>
      <w:r w:rsidR="00213DFF">
        <w:t xml:space="preserve"> unknown reasons</w:t>
      </w:r>
      <w:r w:rsidR="00EA122F">
        <w:t>,</w:t>
      </w:r>
      <w:r w:rsidR="00490E9C">
        <w:t xml:space="preserve"> unable to attend</w:t>
      </w:r>
      <w:r w:rsidR="00213DFF">
        <w:t>)</w:t>
      </w:r>
      <w:r w:rsidR="008917B6">
        <w:t>.</w:t>
      </w:r>
      <w:r w:rsidR="00315912" w:rsidRPr="00315912">
        <w:t xml:space="preserve"> Additionally,</w:t>
      </w:r>
      <w:r w:rsidR="00671092">
        <w:t xml:space="preserve"> the </w:t>
      </w:r>
      <w:r w:rsidR="009840A1">
        <w:t xml:space="preserve">criteria employed for the </w:t>
      </w:r>
      <w:r w:rsidR="00671092">
        <w:t>modified ITT analysis</w:t>
      </w:r>
      <w:r w:rsidR="00FC7FF6">
        <w:t xml:space="preserve"> excluded </w:t>
      </w:r>
      <w:r w:rsidR="00997F8C">
        <w:t xml:space="preserve">data </w:t>
      </w:r>
      <w:r w:rsidR="0081606D">
        <w:t>for</w:t>
      </w:r>
      <w:r w:rsidR="00997F8C">
        <w:t xml:space="preserve"> </w:t>
      </w:r>
      <w:r w:rsidR="00536CD4">
        <w:t>over half the randomised participants (</w:t>
      </w:r>
      <w:r w:rsidR="00536CD4" w:rsidRPr="00F62917">
        <w:rPr>
          <w:i/>
          <w:iCs/>
        </w:rPr>
        <w:t>n</w:t>
      </w:r>
      <w:r w:rsidR="00536CD4">
        <w:t xml:space="preserve"> = 70/137</w:t>
      </w:r>
      <w:r w:rsidR="0081606D">
        <w:t>; 51.1%</w:t>
      </w:r>
      <w:r w:rsidR="00536CD4">
        <w:t>)</w:t>
      </w:r>
      <w:r w:rsidR="009E3EB2">
        <w:t>, which</w:t>
      </w:r>
      <w:r w:rsidR="00DC01EA">
        <w:t xml:space="preserve"> </w:t>
      </w:r>
      <w:r w:rsidR="00671092">
        <w:t xml:space="preserve">is likely to have introduced </w:t>
      </w:r>
      <w:r w:rsidR="009840A1">
        <w:t xml:space="preserve">a </w:t>
      </w:r>
      <w:r w:rsidR="0021580B">
        <w:t>significant</w:t>
      </w:r>
      <w:r w:rsidR="009840A1">
        <w:t xml:space="preserve"> risk of bias</w:t>
      </w:r>
      <w:r w:rsidR="00DC01EA">
        <w:t>. Finally,</w:t>
      </w:r>
      <w:r w:rsidR="00315912" w:rsidRPr="00315912">
        <w:t xml:space="preserve"> </w:t>
      </w:r>
      <w:r w:rsidR="00315912" w:rsidRPr="00F62917">
        <w:t>p</w:t>
      </w:r>
      <w:r w:rsidR="00E84C51" w:rsidRPr="00315912">
        <w:t>articipants were more likely to correctly guess the</w:t>
      </w:r>
      <w:r w:rsidR="00E54585" w:rsidRPr="00315912">
        <w:t>ir allocation to</w:t>
      </w:r>
      <w:r w:rsidR="00E84C51" w:rsidRPr="00315912">
        <w:t xml:space="preserve"> </w:t>
      </w:r>
      <w:r w:rsidR="00580D65" w:rsidRPr="00315912">
        <w:t xml:space="preserve">study condition </w:t>
      </w:r>
      <w:r w:rsidR="00E84C51" w:rsidRPr="00315912">
        <w:t xml:space="preserve">in the </w:t>
      </w:r>
      <w:r w:rsidR="00C53DD3" w:rsidRPr="00315912">
        <w:t xml:space="preserve">nabiximols </w:t>
      </w:r>
      <w:r w:rsidR="00E84C51" w:rsidRPr="00315912">
        <w:t xml:space="preserve">group </w:t>
      </w:r>
      <w:r w:rsidR="0043353B">
        <w:t>(82.</w:t>
      </w:r>
      <w:r w:rsidR="00BD4576">
        <w:t>4</w:t>
      </w:r>
      <w:r w:rsidR="0043353B">
        <w:t xml:space="preserve">%) </w:t>
      </w:r>
      <w:r w:rsidR="00E84C51" w:rsidRPr="00315912">
        <w:t xml:space="preserve">than </w:t>
      </w:r>
      <w:r w:rsidR="00E54585" w:rsidRPr="00315912">
        <w:t xml:space="preserve">in </w:t>
      </w:r>
      <w:r w:rsidR="00E84C51" w:rsidRPr="00315912">
        <w:t xml:space="preserve">the </w:t>
      </w:r>
      <w:r w:rsidR="00C53DD3" w:rsidRPr="00315912">
        <w:t xml:space="preserve">placebo </w:t>
      </w:r>
      <w:r w:rsidR="00E84C51" w:rsidRPr="00315912">
        <w:t>group</w:t>
      </w:r>
      <w:r w:rsidR="0043353B">
        <w:t xml:space="preserve"> (</w:t>
      </w:r>
      <w:r w:rsidR="00BD4576">
        <w:t>49.1%)</w:t>
      </w:r>
      <w:r w:rsidR="00E84C51" w:rsidRPr="00315912">
        <w:t xml:space="preserve">, which may </w:t>
      </w:r>
      <w:r w:rsidR="00E54585" w:rsidRPr="00315912">
        <w:t xml:space="preserve">have </w:t>
      </w:r>
      <w:r w:rsidR="00E84C51" w:rsidRPr="00315912">
        <w:t>influence</w:t>
      </w:r>
      <w:r w:rsidR="00E54585" w:rsidRPr="00315912">
        <w:t>d</w:t>
      </w:r>
      <w:r w:rsidR="00E84C51" w:rsidRPr="00315912">
        <w:t xml:space="preserve"> </w:t>
      </w:r>
      <w:r w:rsidR="006440F7">
        <w:t>their</w:t>
      </w:r>
      <w:r w:rsidR="00893779" w:rsidRPr="00315912">
        <w:t xml:space="preserve"> responses to the</w:t>
      </w:r>
      <w:r w:rsidR="007117EB" w:rsidRPr="00315912">
        <w:t xml:space="preserve"> </w:t>
      </w:r>
      <w:r w:rsidR="00E84C51" w:rsidRPr="00315912">
        <w:t>self-reported outcome</w:t>
      </w:r>
      <w:r w:rsidR="00E54585" w:rsidRPr="00315912">
        <w:t xml:space="preserve"> measure</w:t>
      </w:r>
      <w:r w:rsidR="00E84C51" w:rsidRPr="00315912">
        <w:t>s.</w:t>
      </w:r>
      <w:r w:rsidR="00C53DD3" w:rsidRPr="00315912">
        <w:t xml:space="preserve"> </w:t>
      </w:r>
    </w:p>
    <w:p w14:paraId="33A7F087" w14:textId="28C9EF9C" w:rsidR="006C528E" w:rsidRPr="00E42569" w:rsidRDefault="003E1DB1" w:rsidP="0075288B">
      <w:pPr>
        <w:tabs>
          <w:tab w:val="left" w:pos="632"/>
          <w:tab w:val="left" w:pos="5070"/>
          <w:tab w:val="left" w:pos="7621"/>
          <w:tab w:val="left" w:pos="9747"/>
        </w:tabs>
        <w:jc w:val="both"/>
        <w:rPr>
          <w:rFonts w:eastAsia="Times New Roman"/>
          <w:lang w:eastAsia="en-AU"/>
        </w:rPr>
      </w:pPr>
      <w:r w:rsidRPr="29B4B51F">
        <w:rPr>
          <w:rFonts w:eastAsia="Times New Roman"/>
          <w:lang w:eastAsia="en-AU"/>
        </w:rPr>
        <w:lastRenderedPageBreak/>
        <w:t>Trigo and colleagues (2018</w:t>
      </w:r>
      <w:r w:rsidR="00EB175C" w:rsidRPr="29B4B51F">
        <w:rPr>
          <w:rFonts w:eastAsia="Times New Roman"/>
          <w:lang w:eastAsia="en-AU"/>
        </w:rPr>
        <w:t>,</w:t>
      </w:r>
      <w:r w:rsidR="00F74931" w:rsidRPr="29B4B51F">
        <w:rPr>
          <w:rFonts w:eastAsia="Times New Roman"/>
          <w:lang w:eastAsia="en-AU"/>
        </w:rPr>
        <w:t xml:space="preserve"> </w:t>
      </w:r>
      <w:r w:rsidR="00F74931" w:rsidRPr="29B4B51F">
        <w:rPr>
          <w:rFonts w:eastAsia="Times New Roman"/>
          <w:i/>
          <w:iCs/>
          <w:lang w:eastAsia="en-AU"/>
        </w:rPr>
        <w:t>n</w:t>
      </w:r>
      <w:r w:rsidR="00F74931" w:rsidRPr="29B4B51F">
        <w:rPr>
          <w:rFonts w:eastAsia="Times New Roman"/>
          <w:lang w:eastAsia="en-AU"/>
        </w:rPr>
        <w:t xml:space="preserve"> = </w:t>
      </w:r>
      <w:r w:rsidR="00E17D80">
        <w:rPr>
          <w:rFonts w:eastAsia="Times New Roman"/>
          <w:lang w:eastAsia="en-AU"/>
        </w:rPr>
        <w:t>5</w:t>
      </w:r>
      <w:r w:rsidR="00F74931" w:rsidRPr="29B4B51F">
        <w:rPr>
          <w:rFonts w:eastAsia="Times New Roman"/>
          <w:lang w:eastAsia="en-AU"/>
        </w:rPr>
        <w:t>0</w:t>
      </w:r>
      <w:r w:rsidRPr="29B4B51F">
        <w:rPr>
          <w:rFonts w:eastAsia="Times New Roman"/>
          <w:lang w:eastAsia="en-AU"/>
        </w:rPr>
        <w:t>)</w:t>
      </w:r>
      <w:r w:rsidR="00F74931" w:rsidRPr="29B4B51F">
        <w:rPr>
          <w:rFonts w:eastAsia="Times New Roman"/>
          <w:lang w:eastAsia="en-AU"/>
        </w:rPr>
        <w:t xml:space="preserve"> </w:t>
      </w:r>
      <w:r w:rsidR="0006107A" w:rsidRPr="29B4B51F">
        <w:rPr>
          <w:rFonts w:eastAsia="Times New Roman"/>
          <w:lang w:eastAsia="en-AU"/>
        </w:rPr>
        <w:t>recruited participants with a diagnosis of cannabis use disorder (DSM-IV criteria) from</w:t>
      </w:r>
      <w:r w:rsidR="0075288B">
        <w:rPr>
          <w:rFonts w:eastAsia="Times New Roman"/>
          <w:lang w:eastAsia="en-AU"/>
        </w:rPr>
        <w:t xml:space="preserve"> the community (via</w:t>
      </w:r>
      <w:r w:rsidR="0006107A" w:rsidRPr="29B4B51F">
        <w:rPr>
          <w:rFonts w:eastAsia="Times New Roman"/>
          <w:lang w:eastAsia="en-AU"/>
        </w:rPr>
        <w:t xml:space="preserve"> flyers and media advertisements</w:t>
      </w:r>
      <w:r w:rsidR="0075288B">
        <w:rPr>
          <w:rFonts w:eastAsia="Times New Roman"/>
          <w:lang w:eastAsia="en-AU"/>
        </w:rPr>
        <w:t>)</w:t>
      </w:r>
      <w:r w:rsidR="0006107A" w:rsidRPr="29B4B51F">
        <w:rPr>
          <w:rFonts w:eastAsia="Times New Roman"/>
          <w:lang w:eastAsia="en-AU"/>
        </w:rPr>
        <w:t xml:space="preserve">. </w:t>
      </w:r>
      <w:r w:rsidR="720B6047" w:rsidRPr="29B4B51F">
        <w:rPr>
          <w:rFonts w:eastAsia="Times New Roman"/>
          <w:lang w:eastAsia="en-AU"/>
        </w:rPr>
        <w:t>All participants received</w:t>
      </w:r>
      <w:r w:rsidR="00545AB6">
        <w:rPr>
          <w:rFonts w:eastAsia="Times New Roman"/>
          <w:lang w:eastAsia="en-AU"/>
        </w:rPr>
        <w:t xml:space="preserve"> 12 (1-hour) </w:t>
      </w:r>
      <w:r w:rsidR="00855DA9">
        <w:rPr>
          <w:rFonts w:eastAsia="Times New Roman"/>
          <w:lang w:eastAsia="en-AU"/>
        </w:rPr>
        <w:t xml:space="preserve">sessions </w:t>
      </w:r>
      <w:r w:rsidR="00545AB6">
        <w:rPr>
          <w:rFonts w:eastAsia="Times New Roman"/>
          <w:lang w:eastAsia="en-AU"/>
        </w:rPr>
        <w:t xml:space="preserve">(one session per week) </w:t>
      </w:r>
      <w:r w:rsidR="00855DA9">
        <w:rPr>
          <w:rFonts w:eastAsia="Times New Roman"/>
          <w:lang w:eastAsia="en-AU"/>
        </w:rPr>
        <w:t xml:space="preserve">of </w:t>
      </w:r>
      <w:r w:rsidR="00A02B2A">
        <w:rPr>
          <w:rFonts w:eastAsia="Times New Roman"/>
          <w:lang w:eastAsia="en-AU"/>
        </w:rPr>
        <w:t>m</w:t>
      </w:r>
      <w:r w:rsidR="720B6047" w:rsidRPr="29B4B51F">
        <w:rPr>
          <w:rFonts w:eastAsia="Times New Roman"/>
          <w:lang w:eastAsia="en-AU"/>
        </w:rPr>
        <w:t xml:space="preserve">otivational </w:t>
      </w:r>
      <w:r w:rsidR="00A02B2A">
        <w:rPr>
          <w:rFonts w:eastAsia="Times New Roman"/>
          <w:lang w:eastAsia="en-AU"/>
        </w:rPr>
        <w:t>e</w:t>
      </w:r>
      <w:r w:rsidR="720B6047" w:rsidRPr="29B4B51F">
        <w:rPr>
          <w:rFonts w:eastAsia="Times New Roman"/>
          <w:lang w:eastAsia="en-AU"/>
        </w:rPr>
        <w:t xml:space="preserve">nhancement </w:t>
      </w:r>
      <w:r w:rsidR="00A02B2A">
        <w:rPr>
          <w:rFonts w:eastAsia="Times New Roman"/>
          <w:lang w:eastAsia="en-AU"/>
        </w:rPr>
        <w:t>t</w:t>
      </w:r>
      <w:r w:rsidR="720B6047" w:rsidRPr="29B4B51F">
        <w:rPr>
          <w:rFonts w:eastAsia="Times New Roman"/>
          <w:lang w:eastAsia="en-AU"/>
        </w:rPr>
        <w:t xml:space="preserve">herapy and </w:t>
      </w:r>
      <w:r w:rsidR="00A02B2A">
        <w:rPr>
          <w:rFonts w:eastAsia="Times New Roman"/>
          <w:lang w:eastAsia="en-AU"/>
        </w:rPr>
        <w:t>c</w:t>
      </w:r>
      <w:r w:rsidR="720B6047" w:rsidRPr="29B4B51F">
        <w:rPr>
          <w:rFonts w:eastAsia="Times New Roman"/>
          <w:lang w:eastAsia="en-AU"/>
        </w:rPr>
        <w:t xml:space="preserve">ognitive </w:t>
      </w:r>
      <w:r w:rsidR="00A02B2A">
        <w:rPr>
          <w:rFonts w:eastAsia="Times New Roman"/>
          <w:lang w:eastAsia="en-AU"/>
        </w:rPr>
        <w:t>b</w:t>
      </w:r>
      <w:r w:rsidR="720B6047" w:rsidRPr="29B4B51F">
        <w:rPr>
          <w:rFonts w:eastAsia="Times New Roman"/>
          <w:lang w:eastAsia="en-AU"/>
        </w:rPr>
        <w:t xml:space="preserve">ehavioural </w:t>
      </w:r>
      <w:r w:rsidR="00A02B2A">
        <w:rPr>
          <w:rFonts w:eastAsia="Times New Roman"/>
          <w:lang w:eastAsia="en-AU"/>
        </w:rPr>
        <w:t>t</w:t>
      </w:r>
      <w:r w:rsidR="720B6047" w:rsidRPr="29B4B51F">
        <w:rPr>
          <w:rFonts w:eastAsia="Times New Roman"/>
          <w:lang w:eastAsia="en-AU"/>
        </w:rPr>
        <w:t>herapy (MET/CBT).</w:t>
      </w:r>
      <w:r w:rsidR="0006107A" w:rsidRPr="29B4B51F">
        <w:rPr>
          <w:rFonts w:eastAsia="Times New Roman"/>
          <w:lang w:eastAsia="en-AU"/>
        </w:rPr>
        <w:t xml:space="preserve"> Participants were random</w:t>
      </w:r>
      <w:r w:rsidR="00503D2A">
        <w:rPr>
          <w:rFonts w:eastAsia="Times New Roman"/>
          <w:lang w:eastAsia="en-AU"/>
        </w:rPr>
        <w:t xml:space="preserve">ised to </w:t>
      </w:r>
      <w:r w:rsidR="00503D2A" w:rsidRPr="00503D2A">
        <w:rPr>
          <w:rFonts w:eastAsia="Times New Roman"/>
          <w:lang w:eastAsia="en-AU"/>
        </w:rPr>
        <w:t xml:space="preserve">receive an </w:t>
      </w:r>
      <w:r w:rsidR="00503D2A" w:rsidRPr="00503D2A">
        <w:t>oromucosal spray (daily for 12 weeks) of either</w:t>
      </w:r>
      <w:r w:rsidR="0006107A" w:rsidRPr="00503D2A">
        <w:rPr>
          <w:rFonts w:eastAsia="Times New Roman"/>
          <w:lang w:eastAsia="en-AU"/>
        </w:rPr>
        <w:t xml:space="preserve"> </w:t>
      </w:r>
      <w:r w:rsidR="6803F738" w:rsidRPr="00503D2A">
        <w:rPr>
          <w:rFonts w:eastAsia="Times New Roman"/>
          <w:lang w:eastAsia="en-AU"/>
        </w:rPr>
        <w:t>nabiximols</w:t>
      </w:r>
      <w:r w:rsidR="0006107A" w:rsidRPr="00503D2A">
        <w:rPr>
          <w:rFonts w:eastAsia="Times New Roman"/>
          <w:lang w:eastAsia="en-AU"/>
        </w:rPr>
        <w:t xml:space="preserve"> (</w:t>
      </w:r>
      <w:r w:rsidR="00CF01C0">
        <w:rPr>
          <w:rFonts w:eastAsia="Times New Roman"/>
          <w:lang w:eastAsia="en-AU"/>
        </w:rPr>
        <w:t xml:space="preserve">natural cannabis extract; </w:t>
      </w:r>
      <w:r w:rsidR="0006107A" w:rsidRPr="29B4B51F">
        <w:rPr>
          <w:rFonts w:eastAsia="Times New Roman"/>
          <w:lang w:eastAsia="en-AU"/>
        </w:rPr>
        <w:t>maximum of 42 sprays equal to 113.4</w:t>
      </w:r>
      <w:r w:rsidR="009D01FE">
        <w:rPr>
          <w:rFonts w:eastAsia="Times New Roman"/>
          <w:lang w:eastAsia="en-AU"/>
        </w:rPr>
        <w:t xml:space="preserve"> mg</w:t>
      </w:r>
      <w:r w:rsidR="0006107A" w:rsidRPr="29B4B51F">
        <w:rPr>
          <w:rFonts w:eastAsia="Times New Roman"/>
          <w:lang w:eastAsia="en-AU"/>
        </w:rPr>
        <w:t xml:space="preserve"> THC/105</w:t>
      </w:r>
      <w:r w:rsidR="009D01FE">
        <w:rPr>
          <w:rFonts w:eastAsia="Times New Roman"/>
          <w:lang w:eastAsia="en-AU"/>
        </w:rPr>
        <w:t xml:space="preserve"> mg</w:t>
      </w:r>
      <w:r w:rsidR="0006107A" w:rsidRPr="29B4B51F">
        <w:rPr>
          <w:rFonts w:eastAsia="Times New Roman"/>
          <w:lang w:eastAsia="en-AU"/>
        </w:rPr>
        <w:t xml:space="preserve"> CBD per day; </w:t>
      </w:r>
      <w:r w:rsidR="0006107A" w:rsidRPr="00503D2A">
        <w:rPr>
          <w:rFonts w:eastAsia="Times New Roman"/>
          <w:i/>
          <w:lang w:eastAsia="en-AU"/>
        </w:rPr>
        <w:t>n</w:t>
      </w:r>
      <w:r w:rsidR="0006107A" w:rsidRPr="29B4B51F">
        <w:rPr>
          <w:rFonts w:eastAsia="Times New Roman"/>
          <w:lang w:eastAsia="en-AU"/>
        </w:rPr>
        <w:t xml:space="preserve"> = 20) or matched placebo (</w:t>
      </w:r>
      <w:r w:rsidR="0006107A" w:rsidRPr="00503D2A">
        <w:rPr>
          <w:rFonts w:eastAsia="Times New Roman"/>
          <w:i/>
          <w:lang w:eastAsia="en-AU"/>
        </w:rPr>
        <w:t>n</w:t>
      </w:r>
      <w:r w:rsidR="0006107A" w:rsidRPr="29B4B51F">
        <w:rPr>
          <w:rFonts w:eastAsia="Times New Roman"/>
          <w:lang w:eastAsia="en-AU"/>
        </w:rPr>
        <w:t xml:space="preserve"> = 20). </w:t>
      </w:r>
      <w:r w:rsidR="0075288B">
        <w:rPr>
          <w:rFonts w:eastAsia="Times New Roman"/>
          <w:lang w:eastAsia="en-AU"/>
        </w:rPr>
        <w:t>Individual</w:t>
      </w:r>
      <w:r w:rsidR="0006107A" w:rsidRPr="29B4B51F">
        <w:rPr>
          <w:rFonts w:eastAsia="Times New Roman"/>
          <w:lang w:eastAsia="en-AU"/>
        </w:rPr>
        <w:t xml:space="preserve">s </w:t>
      </w:r>
      <w:r w:rsidR="00A15AF1" w:rsidRPr="29B4B51F">
        <w:rPr>
          <w:rFonts w:eastAsia="Times New Roman"/>
          <w:lang w:eastAsia="en-AU"/>
        </w:rPr>
        <w:t xml:space="preserve">were not included in the study </w:t>
      </w:r>
      <w:r w:rsidR="00A15AF1">
        <w:rPr>
          <w:rFonts w:eastAsia="Times New Roman"/>
          <w:lang w:eastAsia="en-AU"/>
        </w:rPr>
        <w:t xml:space="preserve">if they </w:t>
      </w:r>
      <w:r w:rsidR="0006107A" w:rsidRPr="29B4B51F">
        <w:rPr>
          <w:rFonts w:eastAsia="Times New Roman"/>
          <w:lang w:eastAsia="en-AU"/>
        </w:rPr>
        <w:t xml:space="preserve">were </w:t>
      </w:r>
      <w:r w:rsidR="1574D844" w:rsidRPr="29B4B51F">
        <w:rPr>
          <w:rFonts w:eastAsia="Times New Roman"/>
          <w:lang w:eastAsia="en-AU"/>
        </w:rPr>
        <w:t>taking</w:t>
      </w:r>
      <w:r w:rsidR="0006107A" w:rsidRPr="29B4B51F">
        <w:rPr>
          <w:rFonts w:eastAsia="Times New Roman"/>
          <w:lang w:eastAsia="en-AU"/>
        </w:rPr>
        <w:t xml:space="preserve"> psychotropic medication</w:t>
      </w:r>
      <w:r w:rsidR="0075288B">
        <w:rPr>
          <w:rFonts w:eastAsia="Times New Roman"/>
          <w:lang w:eastAsia="en-AU"/>
        </w:rPr>
        <w:t>s</w:t>
      </w:r>
      <w:r w:rsidR="0006107A" w:rsidRPr="29B4B51F">
        <w:rPr>
          <w:rFonts w:eastAsia="Times New Roman"/>
          <w:lang w:eastAsia="en-AU"/>
        </w:rPr>
        <w:t xml:space="preserve"> </w:t>
      </w:r>
      <w:r w:rsidR="0075288B">
        <w:rPr>
          <w:rFonts w:eastAsia="Times New Roman"/>
          <w:lang w:eastAsia="en-AU"/>
        </w:rPr>
        <w:t>(</w:t>
      </w:r>
      <w:r w:rsidR="0006107A" w:rsidRPr="29B4B51F">
        <w:rPr>
          <w:rFonts w:eastAsia="Times New Roman"/>
          <w:lang w:eastAsia="en-AU"/>
        </w:rPr>
        <w:t xml:space="preserve">other than treatment </w:t>
      </w:r>
      <w:r w:rsidR="77E23B9D" w:rsidRPr="29B4B51F">
        <w:rPr>
          <w:rFonts w:eastAsia="Times New Roman"/>
          <w:lang w:eastAsia="en-AU"/>
        </w:rPr>
        <w:t xml:space="preserve">for </w:t>
      </w:r>
      <w:r w:rsidR="0006107A" w:rsidRPr="29B4B51F">
        <w:rPr>
          <w:rFonts w:eastAsia="Times New Roman"/>
          <w:lang w:eastAsia="en-AU"/>
        </w:rPr>
        <w:t>insomnia</w:t>
      </w:r>
      <w:r w:rsidR="0075288B">
        <w:rPr>
          <w:rFonts w:eastAsia="Times New Roman"/>
          <w:lang w:eastAsia="en-AU"/>
        </w:rPr>
        <w:t>)</w:t>
      </w:r>
      <w:r w:rsidR="0006107A" w:rsidRPr="29B4B51F">
        <w:rPr>
          <w:rFonts w:eastAsia="Times New Roman"/>
          <w:lang w:eastAsia="en-AU"/>
        </w:rPr>
        <w:t>. The outcome measures were</w:t>
      </w:r>
      <w:r w:rsidRPr="29B4B51F">
        <w:rPr>
          <w:rFonts w:eastAsia="Times New Roman"/>
          <w:lang w:eastAsia="en-AU"/>
        </w:rPr>
        <w:t xml:space="preserve"> </w:t>
      </w:r>
      <w:r w:rsidR="0075288B">
        <w:rPr>
          <w:rFonts w:eastAsia="Times New Roman"/>
          <w:lang w:eastAsia="en-AU"/>
        </w:rPr>
        <w:t xml:space="preserve">the </w:t>
      </w:r>
      <w:r w:rsidR="0006107A" w:rsidRPr="29B4B51F">
        <w:rPr>
          <w:rFonts w:eastAsia="Times New Roman"/>
          <w:lang w:eastAsia="en-AU"/>
        </w:rPr>
        <w:t>tolerability</w:t>
      </w:r>
      <w:r w:rsidR="001D182F">
        <w:rPr>
          <w:rFonts w:eastAsia="Times New Roman"/>
          <w:lang w:eastAsia="en-AU"/>
        </w:rPr>
        <w:t xml:space="preserve"> of the self-titrated medication (self-reported number of sprays per day)</w:t>
      </w:r>
      <w:r w:rsidR="00A74E28">
        <w:rPr>
          <w:rFonts w:eastAsia="Times New Roman"/>
          <w:lang w:eastAsia="en-AU"/>
        </w:rPr>
        <w:t>;</w:t>
      </w:r>
      <w:r w:rsidR="0006107A" w:rsidRPr="29B4B51F">
        <w:rPr>
          <w:rFonts w:eastAsia="Times New Roman"/>
          <w:lang w:eastAsia="en-AU"/>
        </w:rPr>
        <w:t xml:space="preserve"> </w:t>
      </w:r>
      <w:r w:rsidR="0049008D">
        <w:rPr>
          <w:rFonts w:eastAsia="Times New Roman"/>
          <w:lang w:eastAsia="en-AU"/>
        </w:rPr>
        <w:t xml:space="preserve">and </w:t>
      </w:r>
      <w:r w:rsidR="00C21CE0">
        <w:rPr>
          <w:rFonts w:eastAsia="Times New Roman"/>
          <w:lang w:eastAsia="en-AU"/>
        </w:rPr>
        <w:t xml:space="preserve">self-reported </w:t>
      </w:r>
      <w:r w:rsidR="0049008D">
        <w:rPr>
          <w:rFonts w:eastAsia="Times New Roman"/>
          <w:lang w:eastAsia="en-AU"/>
        </w:rPr>
        <w:t xml:space="preserve">cannabis </w:t>
      </w:r>
      <w:r w:rsidR="00C21CE0">
        <w:rPr>
          <w:rFonts w:eastAsia="Times New Roman"/>
          <w:lang w:eastAsia="en-AU"/>
        </w:rPr>
        <w:t xml:space="preserve">abstinence, </w:t>
      </w:r>
      <w:r w:rsidR="00195B0D">
        <w:rPr>
          <w:rFonts w:eastAsia="Times New Roman"/>
          <w:lang w:eastAsia="en-AU"/>
        </w:rPr>
        <w:t>use</w:t>
      </w:r>
      <w:r w:rsidR="00C21CE0">
        <w:rPr>
          <w:rFonts w:eastAsia="Times New Roman"/>
          <w:lang w:eastAsia="en-AU"/>
        </w:rPr>
        <w:t xml:space="preserve"> (quantity and frequency)</w:t>
      </w:r>
      <w:r w:rsidR="00195B0D">
        <w:rPr>
          <w:rFonts w:eastAsia="Times New Roman"/>
          <w:lang w:eastAsia="en-AU"/>
        </w:rPr>
        <w:t xml:space="preserve">, </w:t>
      </w:r>
      <w:r w:rsidR="0049008D">
        <w:rPr>
          <w:rFonts w:eastAsia="Times New Roman"/>
          <w:lang w:eastAsia="en-AU"/>
        </w:rPr>
        <w:t>craving</w:t>
      </w:r>
      <w:r w:rsidR="008917B6">
        <w:rPr>
          <w:rFonts w:eastAsia="Times New Roman"/>
          <w:lang w:eastAsia="en-AU"/>
        </w:rPr>
        <w:t>,</w:t>
      </w:r>
      <w:r w:rsidR="0049008D">
        <w:rPr>
          <w:rFonts w:eastAsia="Times New Roman"/>
          <w:lang w:eastAsia="en-AU"/>
        </w:rPr>
        <w:t xml:space="preserve"> and withdrawal</w:t>
      </w:r>
      <w:r w:rsidR="0006107A" w:rsidRPr="29B4B51F">
        <w:rPr>
          <w:rFonts w:eastAsia="Times New Roman"/>
          <w:lang w:eastAsia="en-AU"/>
        </w:rPr>
        <w:t>. Assessments were conducted at mul</w:t>
      </w:r>
      <w:r w:rsidR="0075288B">
        <w:rPr>
          <w:rFonts w:eastAsia="Times New Roman"/>
          <w:lang w:eastAsia="en-AU"/>
        </w:rPr>
        <w:t>tiple time-points: baseline</w:t>
      </w:r>
      <w:r w:rsidR="009D55C2">
        <w:rPr>
          <w:rFonts w:eastAsia="Times New Roman"/>
          <w:lang w:eastAsia="en-AU"/>
        </w:rPr>
        <w:t xml:space="preserve"> (week 0) and</w:t>
      </w:r>
      <w:r w:rsidR="0006107A" w:rsidRPr="29B4B51F">
        <w:rPr>
          <w:rFonts w:eastAsia="Times New Roman"/>
          <w:lang w:eastAsia="en-AU"/>
        </w:rPr>
        <w:t xml:space="preserve"> </w:t>
      </w:r>
      <w:r w:rsidR="28A1C24C" w:rsidRPr="29B4B51F">
        <w:rPr>
          <w:rFonts w:eastAsia="Times New Roman"/>
          <w:lang w:eastAsia="en-AU"/>
        </w:rPr>
        <w:t xml:space="preserve">during treatment </w:t>
      </w:r>
      <w:r w:rsidR="0006107A" w:rsidRPr="29B4B51F">
        <w:rPr>
          <w:rFonts w:eastAsia="Times New Roman"/>
          <w:lang w:eastAsia="en-AU"/>
        </w:rPr>
        <w:t>(week 1</w:t>
      </w:r>
      <w:r w:rsidR="0075288B">
        <w:rPr>
          <w:rFonts w:eastAsia="Times New Roman"/>
          <w:lang w:eastAsia="en-AU"/>
        </w:rPr>
        <w:t xml:space="preserve"> </w:t>
      </w:r>
      <w:r w:rsidR="00A15AF1">
        <w:rPr>
          <w:rFonts w:eastAsia="Times New Roman"/>
          <w:lang w:eastAsia="en-AU"/>
        </w:rPr>
        <w:t>to</w:t>
      </w:r>
      <w:r w:rsidR="0075288B">
        <w:rPr>
          <w:rFonts w:eastAsia="Times New Roman"/>
          <w:lang w:eastAsia="en-AU"/>
        </w:rPr>
        <w:t xml:space="preserve"> </w:t>
      </w:r>
      <w:r w:rsidR="28A1C24C" w:rsidRPr="29B4B51F">
        <w:rPr>
          <w:rFonts w:eastAsia="Times New Roman"/>
          <w:lang w:eastAsia="en-AU"/>
        </w:rPr>
        <w:t>1</w:t>
      </w:r>
      <w:r w:rsidR="009D55C2">
        <w:rPr>
          <w:rFonts w:eastAsia="Times New Roman"/>
          <w:lang w:eastAsia="en-AU"/>
        </w:rPr>
        <w:t>2</w:t>
      </w:r>
      <w:r w:rsidR="28A1C24C" w:rsidRPr="29B4B51F">
        <w:rPr>
          <w:rFonts w:eastAsia="Times New Roman"/>
          <w:lang w:eastAsia="en-AU"/>
        </w:rPr>
        <w:t>)</w:t>
      </w:r>
      <w:r w:rsidR="0E91B573" w:rsidRPr="29B4B51F">
        <w:rPr>
          <w:rFonts w:eastAsia="Times New Roman"/>
          <w:lang w:eastAsia="en-AU"/>
        </w:rPr>
        <w:t>.</w:t>
      </w:r>
      <w:r w:rsidR="0006107A" w:rsidRPr="29B4B51F">
        <w:rPr>
          <w:rFonts w:eastAsia="Times New Roman"/>
          <w:lang w:eastAsia="en-AU"/>
        </w:rPr>
        <w:t xml:space="preserve"> Clinical treatment response was defined as at least </w:t>
      </w:r>
      <w:r w:rsidR="000E73F7">
        <w:rPr>
          <w:rFonts w:eastAsia="Times New Roman"/>
          <w:lang w:eastAsia="en-AU"/>
        </w:rPr>
        <w:t>(</w:t>
      </w:r>
      <w:r w:rsidR="000E73F7">
        <w:rPr>
          <w:rFonts w:eastAsia="Times New Roman" w:cstheme="minorHAnsi"/>
          <w:lang w:eastAsia="en-AU"/>
        </w:rPr>
        <w:t>≥</w:t>
      </w:r>
      <w:r w:rsidR="000E73F7">
        <w:rPr>
          <w:rFonts w:eastAsia="Times New Roman"/>
          <w:lang w:eastAsia="en-AU"/>
        </w:rPr>
        <w:t xml:space="preserve">) </w:t>
      </w:r>
      <w:r w:rsidR="0006107A" w:rsidRPr="29B4B51F">
        <w:rPr>
          <w:rFonts w:eastAsia="Times New Roman"/>
          <w:lang w:eastAsia="en-AU"/>
        </w:rPr>
        <w:t xml:space="preserve">50% reduction in cannabis use from baseline to post-treatment. </w:t>
      </w:r>
      <w:r w:rsidR="006223EA" w:rsidRPr="006223EA">
        <w:rPr>
          <w:rFonts w:eastAsia="Times New Roman"/>
          <w:lang w:eastAsia="en-AU"/>
        </w:rPr>
        <w:t xml:space="preserve">The medication was well tolerated by all participants and no serious adverse events were </w:t>
      </w:r>
      <w:r w:rsidR="009A1E84">
        <w:rPr>
          <w:rFonts w:eastAsia="Times New Roman"/>
          <w:lang w:eastAsia="en-AU"/>
        </w:rPr>
        <w:t>reported</w:t>
      </w:r>
      <w:r w:rsidR="00E12660">
        <w:rPr>
          <w:rFonts w:eastAsia="Times New Roman"/>
          <w:lang w:eastAsia="en-AU"/>
        </w:rPr>
        <w:t>.</w:t>
      </w:r>
      <w:r w:rsidR="00BF0549">
        <w:rPr>
          <w:rFonts w:eastAsia="Times New Roman"/>
          <w:lang w:eastAsia="en-AU"/>
        </w:rPr>
        <w:t xml:space="preserve"> </w:t>
      </w:r>
      <w:r w:rsidR="00FE2F63">
        <w:rPr>
          <w:rFonts w:eastAsia="Times New Roman"/>
          <w:lang w:eastAsia="en-AU"/>
        </w:rPr>
        <w:t>The study participants d</w:t>
      </w:r>
      <w:r w:rsidR="0043272D">
        <w:rPr>
          <w:rFonts w:eastAsia="Times New Roman"/>
          <w:lang w:eastAsia="en-AU"/>
        </w:rPr>
        <w:t>isplay</w:t>
      </w:r>
      <w:r w:rsidR="00FE2F63">
        <w:rPr>
          <w:rFonts w:eastAsia="Times New Roman"/>
          <w:lang w:eastAsia="en-AU"/>
        </w:rPr>
        <w:t xml:space="preserve">ed </w:t>
      </w:r>
      <w:r w:rsidR="0043272D">
        <w:rPr>
          <w:rFonts w:eastAsia="Times New Roman"/>
          <w:lang w:eastAsia="en-AU"/>
        </w:rPr>
        <w:t>h</w:t>
      </w:r>
      <w:r w:rsidR="0006107A" w:rsidRPr="29B4B51F">
        <w:rPr>
          <w:rFonts w:eastAsia="Times New Roman"/>
          <w:lang w:eastAsia="en-AU"/>
        </w:rPr>
        <w:t xml:space="preserve">igh variability in </w:t>
      </w:r>
      <w:r w:rsidR="00595380">
        <w:rPr>
          <w:rFonts w:eastAsia="Times New Roman"/>
          <w:lang w:eastAsia="en-AU"/>
        </w:rPr>
        <w:t>the</w:t>
      </w:r>
      <w:r w:rsidR="0043272D">
        <w:rPr>
          <w:rFonts w:eastAsia="Times New Roman"/>
          <w:lang w:eastAsia="en-AU"/>
        </w:rPr>
        <w:t>ir</w:t>
      </w:r>
      <w:r w:rsidR="00595380">
        <w:rPr>
          <w:rFonts w:eastAsia="Times New Roman"/>
          <w:lang w:eastAsia="en-AU"/>
        </w:rPr>
        <w:t xml:space="preserve"> </w:t>
      </w:r>
      <w:r w:rsidR="00842E41">
        <w:rPr>
          <w:rFonts w:eastAsia="Times New Roman"/>
          <w:lang w:eastAsia="en-AU"/>
        </w:rPr>
        <w:t xml:space="preserve">use of the </w:t>
      </w:r>
      <w:r w:rsidR="00595380">
        <w:rPr>
          <w:rFonts w:eastAsia="Times New Roman"/>
          <w:lang w:eastAsia="en-AU"/>
        </w:rPr>
        <w:t xml:space="preserve">self-titrated </w:t>
      </w:r>
      <w:r w:rsidR="0006107A" w:rsidRPr="29B4B51F">
        <w:rPr>
          <w:rFonts w:eastAsia="Times New Roman"/>
          <w:lang w:eastAsia="en-AU"/>
        </w:rPr>
        <w:t>medication</w:t>
      </w:r>
      <w:r w:rsidR="0043272D">
        <w:rPr>
          <w:rFonts w:eastAsia="Times New Roman"/>
          <w:lang w:eastAsia="en-AU"/>
        </w:rPr>
        <w:t>, which</w:t>
      </w:r>
      <w:r w:rsidR="0006107A" w:rsidRPr="29B4B51F">
        <w:rPr>
          <w:rFonts w:eastAsia="Times New Roman"/>
          <w:lang w:eastAsia="en-AU"/>
        </w:rPr>
        <w:t xml:space="preserve"> prompted </w:t>
      </w:r>
      <w:r w:rsidR="0075288B">
        <w:rPr>
          <w:rFonts w:eastAsia="Times New Roman"/>
          <w:lang w:eastAsia="en-AU"/>
        </w:rPr>
        <w:t xml:space="preserve">the </w:t>
      </w:r>
      <w:r w:rsidR="0006107A" w:rsidRPr="29B4B51F">
        <w:rPr>
          <w:rFonts w:eastAsia="Times New Roman"/>
          <w:lang w:eastAsia="en-AU"/>
        </w:rPr>
        <w:t>investigators to perform a sub</w:t>
      </w:r>
      <w:r w:rsidR="0043272D">
        <w:rPr>
          <w:rFonts w:eastAsia="Times New Roman"/>
          <w:lang w:eastAsia="en-AU"/>
        </w:rPr>
        <w:t>-</w:t>
      </w:r>
      <w:r w:rsidR="0006107A" w:rsidRPr="29B4B51F">
        <w:rPr>
          <w:rFonts w:eastAsia="Times New Roman"/>
          <w:lang w:eastAsia="en-AU"/>
        </w:rPr>
        <w:t>group analysis of “low” medication users (</w:t>
      </w:r>
      <w:r w:rsidR="00A36007">
        <w:rPr>
          <w:rFonts w:eastAsia="Times New Roman"/>
          <w:lang w:eastAsia="en-AU"/>
        </w:rPr>
        <w:t>less than</w:t>
      </w:r>
      <w:r w:rsidR="0006107A" w:rsidRPr="29B4B51F">
        <w:rPr>
          <w:rFonts w:eastAsia="Times New Roman"/>
          <w:lang w:eastAsia="en-AU"/>
        </w:rPr>
        <w:t xml:space="preserve"> 20 sprays on </w:t>
      </w:r>
      <w:r w:rsidR="00235B37">
        <w:rPr>
          <w:rFonts w:eastAsia="Times New Roman"/>
          <w:lang w:eastAsia="en-AU"/>
        </w:rPr>
        <w:t>all</w:t>
      </w:r>
      <w:r w:rsidR="001D182F">
        <w:rPr>
          <w:rFonts w:eastAsia="Times New Roman"/>
          <w:lang w:eastAsia="en-AU"/>
        </w:rPr>
        <w:t xml:space="preserve"> </w:t>
      </w:r>
      <w:r w:rsidR="0006107A" w:rsidRPr="29B4B51F">
        <w:rPr>
          <w:rFonts w:eastAsia="Times New Roman"/>
          <w:lang w:eastAsia="en-AU"/>
        </w:rPr>
        <w:t>day</w:t>
      </w:r>
      <w:r w:rsidR="00235B37">
        <w:rPr>
          <w:rFonts w:eastAsia="Times New Roman"/>
          <w:lang w:eastAsia="en-AU"/>
        </w:rPr>
        <w:t>s</w:t>
      </w:r>
      <w:r w:rsidR="0006107A" w:rsidRPr="29B4B51F">
        <w:rPr>
          <w:rFonts w:eastAsia="Times New Roman"/>
          <w:lang w:eastAsia="en-AU"/>
        </w:rPr>
        <w:t xml:space="preserve">; </w:t>
      </w:r>
      <w:r w:rsidR="0006107A" w:rsidRPr="0075288B">
        <w:rPr>
          <w:rFonts w:eastAsia="Times New Roman"/>
          <w:i/>
          <w:lang w:eastAsia="en-AU"/>
        </w:rPr>
        <w:t>n</w:t>
      </w:r>
      <w:r w:rsidR="0049008D">
        <w:rPr>
          <w:rFonts w:eastAsia="Times New Roman"/>
          <w:lang w:eastAsia="en-AU"/>
        </w:rPr>
        <w:t xml:space="preserve"> = </w:t>
      </w:r>
      <w:r w:rsidR="0006107A" w:rsidRPr="29B4B51F">
        <w:rPr>
          <w:rFonts w:eastAsia="Times New Roman"/>
          <w:lang w:eastAsia="en-AU"/>
        </w:rPr>
        <w:t xml:space="preserve">8 and </w:t>
      </w:r>
      <w:r w:rsidR="0006107A" w:rsidRPr="0075288B">
        <w:rPr>
          <w:rFonts w:eastAsia="Times New Roman"/>
          <w:i/>
          <w:lang w:eastAsia="en-AU"/>
        </w:rPr>
        <w:t>n</w:t>
      </w:r>
      <w:r w:rsidR="0006107A" w:rsidRPr="29B4B51F">
        <w:rPr>
          <w:rFonts w:eastAsia="Times New Roman"/>
          <w:lang w:eastAsia="en-AU"/>
        </w:rPr>
        <w:t xml:space="preserve"> = 11 for nabiximols and placebo, respectively) and “high” medication users </w:t>
      </w:r>
      <w:r w:rsidR="00A36007">
        <w:rPr>
          <w:rFonts w:eastAsia="Times New Roman"/>
          <w:lang w:eastAsia="en-AU"/>
        </w:rPr>
        <w:t>(at least</w:t>
      </w:r>
      <w:r w:rsidR="0006107A" w:rsidRPr="29B4B51F">
        <w:rPr>
          <w:rFonts w:eastAsia="Times New Roman"/>
          <w:lang w:eastAsia="en-AU"/>
        </w:rPr>
        <w:t xml:space="preserve"> 20 sprays on any day; </w:t>
      </w:r>
      <w:r w:rsidR="0006107A" w:rsidRPr="0075288B">
        <w:rPr>
          <w:rFonts w:eastAsia="Times New Roman"/>
          <w:i/>
          <w:lang w:eastAsia="en-AU"/>
        </w:rPr>
        <w:t>n</w:t>
      </w:r>
      <w:r w:rsidR="0006107A" w:rsidRPr="29B4B51F">
        <w:rPr>
          <w:rFonts w:eastAsia="Times New Roman"/>
          <w:lang w:eastAsia="en-AU"/>
        </w:rPr>
        <w:t xml:space="preserve"> = 5 and </w:t>
      </w:r>
      <w:r w:rsidR="0006107A" w:rsidRPr="0075288B">
        <w:rPr>
          <w:rFonts w:eastAsia="Times New Roman"/>
          <w:i/>
          <w:lang w:eastAsia="en-AU"/>
        </w:rPr>
        <w:t>n</w:t>
      </w:r>
      <w:r w:rsidR="0006107A" w:rsidRPr="29B4B51F">
        <w:rPr>
          <w:rFonts w:eastAsia="Times New Roman"/>
          <w:lang w:eastAsia="en-AU"/>
        </w:rPr>
        <w:t xml:space="preserve"> = 3 for nabiximols and placebo, respectively). </w:t>
      </w:r>
      <w:r w:rsidR="00BF0549" w:rsidRPr="00BF0549">
        <w:rPr>
          <w:rFonts w:eastAsia="Times New Roman"/>
          <w:lang w:eastAsia="en-AU"/>
        </w:rPr>
        <w:t xml:space="preserve">The rate of cannabis abstinence (seven-day point prevalence) measured one week after the </w:t>
      </w:r>
      <w:r w:rsidR="00B25B61">
        <w:rPr>
          <w:rFonts w:eastAsia="Times New Roman"/>
          <w:lang w:eastAsia="en-AU"/>
        </w:rPr>
        <w:t>treatment</w:t>
      </w:r>
      <w:r w:rsidR="00BF0549" w:rsidRPr="00BF0549">
        <w:rPr>
          <w:rFonts w:eastAsia="Times New Roman"/>
          <w:lang w:eastAsia="en-AU"/>
        </w:rPr>
        <w:t xml:space="preserve"> phase was 30.8% (</w:t>
      </w:r>
      <w:r w:rsidR="00BF0549" w:rsidRPr="00F62917">
        <w:rPr>
          <w:rFonts w:eastAsia="Times New Roman"/>
          <w:i/>
          <w:iCs/>
          <w:lang w:eastAsia="en-AU"/>
        </w:rPr>
        <w:t>n</w:t>
      </w:r>
      <w:r w:rsidR="00BF0549" w:rsidRPr="00BF0549">
        <w:rPr>
          <w:rFonts w:eastAsia="Times New Roman"/>
          <w:lang w:eastAsia="en-AU"/>
        </w:rPr>
        <w:t xml:space="preserve"> = 4) for the nabiximols group and 42.9% (</w:t>
      </w:r>
      <w:r w:rsidR="00BF0549" w:rsidRPr="00F62917">
        <w:rPr>
          <w:rFonts w:eastAsia="Times New Roman"/>
          <w:i/>
          <w:iCs/>
          <w:lang w:eastAsia="en-AU"/>
        </w:rPr>
        <w:t>n</w:t>
      </w:r>
      <w:r w:rsidR="00BF0549" w:rsidRPr="00BF0549">
        <w:rPr>
          <w:rFonts w:eastAsia="Times New Roman"/>
          <w:lang w:eastAsia="en-AU"/>
        </w:rPr>
        <w:t xml:space="preserve"> = 6) for the placebo group. There was no significant difference in abstinence rates </w:t>
      </w:r>
      <w:r w:rsidR="00F14A88">
        <w:rPr>
          <w:rFonts w:eastAsia="Times New Roman"/>
          <w:lang w:eastAsia="en-AU"/>
        </w:rPr>
        <w:t>for</w:t>
      </w:r>
      <w:r w:rsidR="00BF0549" w:rsidRPr="00BF0549">
        <w:rPr>
          <w:rFonts w:eastAsia="Times New Roman"/>
          <w:lang w:eastAsia="en-AU"/>
        </w:rPr>
        <w:t xml:space="preserve"> the two groups (</w:t>
      </w:r>
      <w:r w:rsidR="00BF0549" w:rsidRPr="00F62917">
        <w:rPr>
          <w:rFonts w:eastAsia="Times New Roman"/>
          <w:i/>
          <w:iCs/>
          <w:lang w:eastAsia="en-AU"/>
        </w:rPr>
        <w:t>p</w:t>
      </w:r>
      <w:r w:rsidR="00BF0549" w:rsidRPr="00BF0549">
        <w:rPr>
          <w:rFonts w:eastAsia="Times New Roman"/>
          <w:lang w:eastAsia="en-AU"/>
        </w:rPr>
        <w:t xml:space="preserve"> &lt; 0.05).</w:t>
      </w:r>
      <w:r w:rsidR="00BF0549">
        <w:rPr>
          <w:rFonts w:eastAsia="Times New Roman"/>
          <w:lang w:eastAsia="en-AU"/>
        </w:rPr>
        <w:t xml:space="preserve"> </w:t>
      </w:r>
      <w:r w:rsidR="00A47705" w:rsidRPr="00A47705">
        <w:rPr>
          <w:rFonts w:eastAsia="Times New Roman"/>
          <w:lang w:eastAsia="en-AU"/>
        </w:rPr>
        <w:t>Quantity of cannabis use (grams) decreased over time (</w:t>
      </w:r>
      <w:r w:rsidR="00A47705" w:rsidRPr="00F62917">
        <w:rPr>
          <w:rFonts w:eastAsia="Times New Roman"/>
          <w:i/>
          <w:iCs/>
          <w:lang w:eastAsia="en-AU"/>
        </w:rPr>
        <w:t>p</w:t>
      </w:r>
      <w:r w:rsidR="00A47705" w:rsidRPr="00A47705">
        <w:rPr>
          <w:rFonts w:eastAsia="Times New Roman"/>
          <w:lang w:eastAsia="en-AU"/>
        </w:rPr>
        <w:t xml:space="preserve"> &lt; 0.001). However, no significant between-group differences in cannabis use (grams) were observed (</w:t>
      </w:r>
      <w:r w:rsidR="00A47705" w:rsidRPr="00F62917">
        <w:rPr>
          <w:rFonts w:eastAsia="Times New Roman"/>
          <w:i/>
          <w:iCs/>
          <w:lang w:eastAsia="en-AU"/>
        </w:rPr>
        <w:t>p</w:t>
      </w:r>
      <w:r w:rsidR="00A47705" w:rsidRPr="00A47705">
        <w:rPr>
          <w:rFonts w:eastAsia="Times New Roman"/>
          <w:lang w:eastAsia="en-AU"/>
        </w:rPr>
        <w:t xml:space="preserve"> = 0.179), and cannabis use (grams) did not significantly differ between the nabiximols and placebo groups over time (</w:t>
      </w:r>
      <w:r w:rsidR="00A47705" w:rsidRPr="00F62917">
        <w:rPr>
          <w:rFonts w:eastAsia="Times New Roman"/>
          <w:i/>
          <w:iCs/>
          <w:lang w:eastAsia="en-AU"/>
        </w:rPr>
        <w:t>p</w:t>
      </w:r>
      <w:r w:rsidR="00A47705" w:rsidRPr="00A47705">
        <w:rPr>
          <w:rFonts w:eastAsia="Times New Roman"/>
          <w:lang w:eastAsia="en-AU"/>
        </w:rPr>
        <w:t xml:space="preserve"> = 0.664). Frequency of cannabis use (% days per week) decreased over time (</w:t>
      </w:r>
      <w:r w:rsidR="00A47705" w:rsidRPr="00F62917">
        <w:rPr>
          <w:rFonts w:eastAsia="Times New Roman"/>
          <w:i/>
          <w:iCs/>
          <w:lang w:eastAsia="en-AU"/>
        </w:rPr>
        <w:t>p</w:t>
      </w:r>
      <w:r w:rsidR="00A47705" w:rsidRPr="00A47705">
        <w:rPr>
          <w:rFonts w:eastAsia="Times New Roman"/>
          <w:lang w:eastAsia="en-AU"/>
        </w:rPr>
        <w:t xml:space="preserve"> &lt; 0.001). However, no significant between-group differences in cannabis use (% days per week) were observed (</w:t>
      </w:r>
      <w:r w:rsidR="00A47705" w:rsidRPr="00F62917">
        <w:rPr>
          <w:rFonts w:eastAsia="Times New Roman"/>
          <w:i/>
          <w:iCs/>
          <w:lang w:eastAsia="en-AU"/>
        </w:rPr>
        <w:t>p</w:t>
      </w:r>
      <w:r w:rsidR="00A47705" w:rsidRPr="00A47705">
        <w:rPr>
          <w:rFonts w:eastAsia="Times New Roman"/>
          <w:lang w:eastAsia="en-AU"/>
        </w:rPr>
        <w:t xml:space="preserve"> = 0.298), and cannabis use (% days per week) did not significantly differ between the nabiximols and placebo groups over time (</w:t>
      </w:r>
      <w:r w:rsidR="00A47705" w:rsidRPr="00F62917">
        <w:rPr>
          <w:rFonts w:eastAsia="Times New Roman"/>
          <w:i/>
          <w:iCs/>
          <w:lang w:eastAsia="en-AU"/>
        </w:rPr>
        <w:t>p</w:t>
      </w:r>
      <w:r w:rsidR="00A47705" w:rsidRPr="00A47705">
        <w:rPr>
          <w:rFonts w:eastAsia="Times New Roman"/>
          <w:lang w:eastAsia="en-AU"/>
        </w:rPr>
        <w:t xml:space="preserve"> = </w:t>
      </w:r>
      <w:r w:rsidR="007946CB">
        <w:rPr>
          <w:rFonts w:eastAsia="Times New Roman"/>
          <w:lang w:eastAsia="en-AU"/>
        </w:rPr>
        <w:t>0</w:t>
      </w:r>
      <w:r w:rsidR="00A47705" w:rsidRPr="00A47705">
        <w:rPr>
          <w:rFonts w:eastAsia="Times New Roman"/>
          <w:lang w:eastAsia="en-AU"/>
        </w:rPr>
        <w:t>.221). Cannabis craving decreased over time (</w:t>
      </w:r>
      <w:r w:rsidR="00A47705" w:rsidRPr="00F62917">
        <w:rPr>
          <w:rFonts w:eastAsia="Times New Roman"/>
          <w:i/>
          <w:iCs/>
          <w:lang w:eastAsia="en-AU"/>
        </w:rPr>
        <w:t>p</w:t>
      </w:r>
      <w:r w:rsidR="00A47705" w:rsidRPr="00A47705">
        <w:rPr>
          <w:rFonts w:eastAsia="Times New Roman"/>
          <w:lang w:eastAsia="en-AU"/>
        </w:rPr>
        <w:t xml:space="preserve"> &lt; 0.001). No significant between-group difference in craving was observed (</w:t>
      </w:r>
      <w:r w:rsidR="00A47705" w:rsidRPr="00F62917">
        <w:rPr>
          <w:rFonts w:eastAsia="Times New Roman"/>
          <w:i/>
          <w:iCs/>
          <w:lang w:eastAsia="en-AU"/>
        </w:rPr>
        <w:t>p</w:t>
      </w:r>
      <w:r w:rsidR="00A47705" w:rsidRPr="00A47705">
        <w:rPr>
          <w:rFonts w:eastAsia="Times New Roman"/>
          <w:lang w:eastAsia="en-AU"/>
        </w:rPr>
        <w:t xml:space="preserve"> = 0.438). However, there was a significant difference in craving between the nabiximols and placebo groups over time (</w:t>
      </w:r>
      <w:r w:rsidR="00A47705" w:rsidRPr="00F62917">
        <w:rPr>
          <w:rFonts w:eastAsia="Times New Roman"/>
          <w:i/>
          <w:iCs/>
          <w:lang w:eastAsia="en-AU"/>
        </w:rPr>
        <w:t>p</w:t>
      </w:r>
      <w:r w:rsidR="00A47705" w:rsidRPr="00A47705">
        <w:rPr>
          <w:rFonts w:eastAsia="Times New Roman"/>
          <w:lang w:eastAsia="en-AU"/>
        </w:rPr>
        <w:t xml:space="preserve"> &lt; 0.05). A follow-up analysis indicated this difference appeared to be </w:t>
      </w:r>
      <w:r w:rsidR="008226E1">
        <w:rPr>
          <w:rFonts w:eastAsia="Times New Roman"/>
          <w:lang w:eastAsia="en-AU"/>
        </w:rPr>
        <w:t xml:space="preserve">primarily </w:t>
      </w:r>
      <w:r w:rsidR="00A47705" w:rsidRPr="00A47705">
        <w:rPr>
          <w:rFonts w:eastAsia="Times New Roman"/>
          <w:lang w:eastAsia="en-AU"/>
        </w:rPr>
        <w:t>driven by higher craving scores in the placebo condition (relative to the nabiximols condition) at the week-7 timepoint. Cannabis withdrawal decreased over time (</w:t>
      </w:r>
      <w:r w:rsidR="00A47705" w:rsidRPr="00F62917">
        <w:rPr>
          <w:rFonts w:eastAsia="Times New Roman"/>
          <w:i/>
          <w:iCs/>
          <w:lang w:eastAsia="en-AU"/>
        </w:rPr>
        <w:t>p</w:t>
      </w:r>
      <w:r w:rsidR="00A47705" w:rsidRPr="00A47705">
        <w:rPr>
          <w:rFonts w:eastAsia="Times New Roman"/>
          <w:lang w:eastAsia="en-AU"/>
        </w:rPr>
        <w:t xml:space="preserve"> &lt; 0.001). However, no significant between-group difference in cannabis withdrawal was observed (</w:t>
      </w:r>
      <w:r w:rsidR="00A47705" w:rsidRPr="00F62917">
        <w:rPr>
          <w:rFonts w:eastAsia="Times New Roman"/>
          <w:i/>
          <w:iCs/>
          <w:lang w:eastAsia="en-AU"/>
        </w:rPr>
        <w:t>p</w:t>
      </w:r>
      <w:r w:rsidR="00A47705" w:rsidRPr="00A47705">
        <w:rPr>
          <w:rFonts w:eastAsia="Times New Roman"/>
          <w:lang w:eastAsia="en-AU"/>
        </w:rPr>
        <w:t xml:space="preserve"> = 0.593), and cannabis withdrawal did not significantly differ for the nabiximols and placebo groups over time (</w:t>
      </w:r>
      <w:r w:rsidR="00A47705" w:rsidRPr="00F62917">
        <w:rPr>
          <w:rFonts w:eastAsia="Times New Roman"/>
          <w:i/>
          <w:iCs/>
          <w:lang w:eastAsia="en-AU"/>
        </w:rPr>
        <w:t>p</w:t>
      </w:r>
      <w:r w:rsidR="00A47705" w:rsidRPr="00A47705">
        <w:rPr>
          <w:rFonts w:eastAsia="Times New Roman"/>
          <w:lang w:eastAsia="en-AU"/>
        </w:rPr>
        <w:t xml:space="preserve"> = 0.601).</w:t>
      </w:r>
      <w:r w:rsidR="00B37C11">
        <w:rPr>
          <w:rFonts w:eastAsia="Times New Roman"/>
          <w:lang w:eastAsia="en-AU"/>
        </w:rPr>
        <w:t xml:space="preserve"> </w:t>
      </w:r>
      <w:r w:rsidR="002A4393">
        <w:rPr>
          <w:rFonts w:eastAsia="Times New Roman"/>
          <w:lang w:eastAsia="en-AU"/>
        </w:rPr>
        <w:t xml:space="preserve">The </w:t>
      </w:r>
      <w:r w:rsidR="004D2A6D">
        <w:rPr>
          <w:rFonts w:eastAsia="Times New Roman"/>
          <w:lang w:eastAsia="en-AU"/>
        </w:rPr>
        <w:t xml:space="preserve">study </w:t>
      </w:r>
      <w:r w:rsidR="002A4393">
        <w:rPr>
          <w:rFonts w:eastAsia="Times New Roman"/>
          <w:lang w:eastAsia="en-AU"/>
        </w:rPr>
        <w:t xml:space="preserve">findings </w:t>
      </w:r>
      <w:r w:rsidR="00461A71">
        <w:rPr>
          <w:rFonts w:eastAsia="Times New Roman"/>
          <w:lang w:eastAsia="en-AU"/>
        </w:rPr>
        <w:t>suggest</w:t>
      </w:r>
      <w:r w:rsidR="004D2A6D">
        <w:rPr>
          <w:rFonts w:eastAsia="Times New Roman"/>
          <w:lang w:eastAsia="en-AU"/>
        </w:rPr>
        <w:t>ed</w:t>
      </w:r>
      <w:r w:rsidR="002A4393">
        <w:rPr>
          <w:rFonts w:eastAsia="Times New Roman"/>
          <w:lang w:eastAsia="en-AU"/>
        </w:rPr>
        <w:t xml:space="preserve"> </w:t>
      </w:r>
      <w:r w:rsidR="00277A9A">
        <w:rPr>
          <w:rFonts w:eastAsia="Times New Roman"/>
          <w:lang w:eastAsia="en-AU"/>
        </w:rPr>
        <w:t xml:space="preserve">that the </w:t>
      </w:r>
      <w:r w:rsidR="00277A9A" w:rsidRPr="29B4B51F">
        <w:rPr>
          <w:rFonts w:eastAsia="Times New Roman"/>
          <w:lang w:eastAsia="en-AU"/>
        </w:rPr>
        <w:t>MET/CBT</w:t>
      </w:r>
      <w:r w:rsidR="00574201">
        <w:rPr>
          <w:rFonts w:eastAsia="Times New Roman"/>
          <w:lang w:eastAsia="en-AU"/>
        </w:rPr>
        <w:t xml:space="preserve"> intervention, which was offered to all participants,</w:t>
      </w:r>
      <w:r w:rsidR="006428F4">
        <w:rPr>
          <w:rFonts w:eastAsia="Times New Roman"/>
          <w:lang w:eastAsia="en-AU"/>
        </w:rPr>
        <w:t xml:space="preserve"> </w:t>
      </w:r>
      <w:r w:rsidR="002060B4">
        <w:rPr>
          <w:rFonts w:eastAsia="Times New Roman"/>
          <w:lang w:eastAsia="en-AU"/>
        </w:rPr>
        <w:t xml:space="preserve">may have </w:t>
      </w:r>
      <w:r w:rsidR="006428F4">
        <w:rPr>
          <w:rFonts w:eastAsia="Times New Roman"/>
          <w:lang w:eastAsia="en-AU"/>
        </w:rPr>
        <w:t xml:space="preserve">improved </w:t>
      </w:r>
      <w:r w:rsidR="00006CE6">
        <w:rPr>
          <w:rFonts w:eastAsia="Times New Roman"/>
          <w:lang w:eastAsia="en-AU"/>
        </w:rPr>
        <w:t xml:space="preserve">cannabis </w:t>
      </w:r>
      <w:r w:rsidR="006428F4">
        <w:rPr>
          <w:rFonts w:eastAsia="Times New Roman"/>
          <w:lang w:eastAsia="en-AU"/>
        </w:rPr>
        <w:t>outcomes</w:t>
      </w:r>
      <w:r w:rsidR="0031054D">
        <w:rPr>
          <w:rFonts w:eastAsia="Times New Roman"/>
          <w:lang w:eastAsia="en-AU"/>
        </w:rPr>
        <w:t xml:space="preserve"> (</w:t>
      </w:r>
      <w:r w:rsidR="00D637E6">
        <w:rPr>
          <w:rFonts w:eastAsia="Times New Roman"/>
          <w:lang w:eastAsia="en-AU"/>
        </w:rPr>
        <w:t>i.e.</w:t>
      </w:r>
      <w:r w:rsidR="0031054D">
        <w:rPr>
          <w:rFonts w:eastAsia="Times New Roman"/>
          <w:lang w:eastAsia="en-AU"/>
        </w:rPr>
        <w:t>, abstinence</w:t>
      </w:r>
      <w:r w:rsidR="00F6024C">
        <w:rPr>
          <w:rFonts w:eastAsia="Times New Roman"/>
          <w:lang w:eastAsia="en-AU"/>
        </w:rPr>
        <w:t>;</w:t>
      </w:r>
      <w:r w:rsidR="0031054D">
        <w:rPr>
          <w:rFonts w:eastAsia="Times New Roman"/>
          <w:lang w:eastAsia="en-AU"/>
        </w:rPr>
        <w:t xml:space="preserve"> quantity and frequency of </w:t>
      </w:r>
      <w:r w:rsidR="00F6024C">
        <w:rPr>
          <w:rFonts w:eastAsia="Times New Roman"/>
          <w:lang w:eastAsia="en-AU"/>
        </w:rPr>
        <w:t xml:space="preserve">cannabis </w:t>
      </w:r>
      <w:r w:rsidR="0031054D">
        <w:rPr>
          <w:rFonts w:eastAsia="Times New Roman"/>
          <w:lang w:eastAsia="en-AU"/>
        </w:rPr>
        <w:t>use</w:t>
      </w:r>
      <w:r w:rsidR="00F6024C">
        <w:rPr>
          <w:rFonts w:eastAsia="Times New Roman"/>
          <w:lang w:eastAsia="en-AU"/>
        </w:rPr>
        <w:t>; cannabis</w:t>
      </w:r>
      <w:r w:rsidR="0031054D">
        <w:rPr>
          <w:rFonts w:eastAsia="Times New Roman"/>
          <w:lang w:eastAsia="en-AU"/>
        </w:rPr>
        <w:t xml:space="preserve"> </w:t>
      </w:r>
      <w:r w:rsidR="00646EDA">
        <w:rPr>
          <w:rFonts w:eastAsia="Times New Roman"/>
          <w:lang w:eastAsia="en-AU"/>
        </w:rPr>
        <w:t>craving and withdrawal)</w:t>
      </w:r>
      <w:r w:rsidR="006428F4">
        <w:rPr>
          <w:rFonts w:eastAsia="Times New Roman"/>
          <w:lang w:eastAsia="en-AU"/>
        </w:rPr>
        <w:t>.</w:t>
      </w:r>
      <w:r w:rsidR="00277A9A">
        <w:rPr>
          <w:rFonts w:eastAsia="Times New Roman"/>
          <w:lang w:eastAsia="en-AU"/>
        </w:rPr>
        <w:t xml:space="preserve"> </w:t>
      </w:r>
      <w:r w:rsidR="0075288B" w:rsidRPr="006162D9">
        <w:rPr>
          <w:rFonts w:eastAsia="Times New Roman"/>
          <w:lang w:eastAsia="en-AU"/>
        </w:rPr>
        <w:t>This</w:t>
      </w:r>
      <w:r w:rsidR="0006107A" w:rsidRPr="006162D9">
        <w:rPr>
          <w:rFonts w:eastAsia="Times New Roman"/>
          <w:lang w:eastAsia="en-AU"/>
        </w:rPr>
        <w:t xml:space="preserve"> study </w:t>
      </w:r>
      <w:r w:rsidR="4020AD13" w:rsidRPr="006162D9">
        <w:rPr>
          <w:rFonts w:eastAsia="Times New Roman"/>
          <w:lang w:eastAsia="en-AU"/>
        </w:rPr>
        <w:t xml:space="preserve">was judged to have </w:t>
      </w:r>
      <w:r w:rsidR="00A708F2" w:rsidRPr="00F62917">
        <w:rPr>
          <w:rFonts w:eastAsia="Times New Roman"/>
          <w:lang w:eastAsia="en-AU"/>
        </w:rPr>
        <w:t>a high risk of bias</w:t>
      </w:r>
      <w:r w:rsidR="006162D9">
        <w:rPr>
          <w:rFonts w:eastAsia="Times New Roman"/>
          <w:lang w:eastAsia="en-AU"/>
        </w:rPr>
        <w:t>; primarily due to missing outcome data</w:t>
      </w:r>
      <w:r w:rsidR="0006107A" w:rsidRPr="006162D9">
        <w:rPr>
          <w:rFonts w:eastAsia="Times New Roman"/>
          <w:lang w:eastAsia="en-AU"/>
        </w:rPr>
        <w:t>.</w:t>
      </w:r>
      <w:r w:rsidR="00975044" w:rsidRPr="006162D9">
        <w:t xml:space="preserve"> </w:t>
      </w:r>
      <w:r w:rsidR="00DC7B22">
        <w:t>Prio</w:t>
      </w:r>
      <w:r w:rsidR="00E54AD7">
        <w:t>r</w:t>
      </w:r>
      <w:r w:rsidR="00DC7B22">
        <w:t xml:space="preserve"> to the end of the 12-week trial protocol, </w:t>
      </w:r>
      <w:r w:rsidR="00B9585B">
        <w:t xml:space="preserve">study participation was terminated for </w:t>
      </w:r>
      <w:r w:rsidR="00DC7B22">
        <w:t>23</w:t>
      </w:r>
      <w:r w:rsidR="00DF43D6">
        <w:rPr>
          <w:rFonts w:eastAsia="Times New Roman"/>
          <w:lang w:eastAsia="en-AU"/>
        </w:rPr>
        <w:t xml:space="preserve"> </w:t>
      </w:r>
      <w:r w:rsidR="00975044" w:rsidRPr="006162D9">
        <w:rPr>
          <w:rFonts w:eastAsia="Times New Roman"/>
          <w:lang w:eastAsia="en-AU"/>
        </w:rPr>
        <w:t xml:space="preserve">participants </w:t>
      </w:r>
      <w:r w:rsidR="002329F1">
        <w:rPr>
          <w:rFonts w:eastAsia="Times New Roman"/>
          <w:lang w:eastAsia="en-AU"/>
        </w:rPr>
        <w:t>(</w:t>
      </w:r>
      <w:r w:rsidR="002329F1" w:rsidRPr="00F62917">
        <w:rPr>
          <w:rFonts w:eastAsia="Times New Roman"/>
          <w:i/>
          <w:iCs/>
          <w:lang w:eastAsia="en-AU"/>
        </w:rPr>
        <w:t>n</w:t>
      </w:r>
      <w:r w:rsidR="002329F1">
        <w:rPr>
          <w:rFonts w:eastAsia="Times New Roman"/>
          <w:lang w:eastAsia="en-AU"/>
        </w:rPr>
        <w:t xml:space="preserve"> = </w:t>
      </w:r>
      <w:r w:rsidR="00A84327">
        <w:rPr>
          <w:rFonts w:eastAsia="Times New Roman"/>
          <w:lang w:eastAsia="en-AU"/>
        </w:rPr>
        <w:t>23/</w:t>
      </w:r>
      <w:r w:rsidR="002329F1">
        <w:rPr>
          <w:rFonts w:eastAsia="Times New Roman"/>
          <w:lang w:eastAsia="en-AU"/>
        </w:rPr>
        <w:t>50</w:t>
      </w:r>
      <w:r w:rsidR="009262DC">
        <w:rPr>
          <w:rFonts w:eastAsia="Times New Roman"/>
          <w:lang w:eastAsia="en-AU"/>
        </w:rPr>
        <w:t>; 46%</w:t>
      </w:r>
      <w:r w:rsidR="002329F1">
        <w:rPr>
          <w:rFonts w:eastAsia="Times New Roman"/>
          <w:lang w:eastAsia="en-AU"/>
        </w:rPr>
        <w:t xml:space="preserve">) </w:t>
      </w:r>
      <w:r w:rsidR="00EF50AE">
        <w:rPr>
          <w:rFonts w:eastAsia="Times New Roman"/>
          <w:lang w:eastAsia="en-AU"/>
        </w:rPr>
        <w:t xml:space="preserve">for </w:t>
      </w:r>
      <w:r w:rsidR="00EA11A7">
        <w:rPr>
          <w:rFonts w:eastAsia="Times New Roman"/>
          <w:lang w:eastAsia="en-AU"/>
        </w:rPr>
        <w:t>“</w:t>
      </w:r>
      <w:r w:rsidR="00B13578" w:rsidRPr="00B13578">
        <w:rPr>
          <w:rFonts w:eastAsia="Times New Roman"/>
          <w:lang w:eastAsia="en-AU"/>
        </w:rPr>
        <w:t>one or more</w:t>
      </w:r>
      <w:r w:rsidR="00EA11A7">
        <w:rPr>
          <w:rFonts w:eastAsia="Times New Roman"/>
          <w:lang w:eastAsia="en-AU"/>
        </w:rPr>
        <w:t>”</w:t>
      </w:r>
      <w:r w:rsidR="00B13578" w:rsidRPr="00B13578">
        <w:rPr>
          <w:rFonts w:eastAsia="Times New Roman"/>
          <w:lang w:eastAsia="en-AU"/>
        </w:rPr>
        <w:t xml:space="preserve"> of the following reasons: </w:t>
      </w:r>
      <w:r w:rsidR="00B13578">
        <w:rPr>
          <w:rFonts w:eastAsia="Times New Roman"/>
          <w:lang w:eastAsia="en-AU"/>
        </w:rPr>
        <w:t>“</w:t>
      </w:r>
      <w:r w:rsidR="00B13578" w:rsidRPr="00B13578">
        <w:rPr>
          <w:rFonts w:eastAsia="Times New Roman"/>
          <w:lang w:eastAsia="en-AU"/>
        </w:rPr>
        <w:t>severe adverse effects; major protocol violations; loss to follow-up; pregnancy; or withdrawal of</w:t>
      </w:r>
      <w:r w:rsidR="00B13578">
        <w:rPr>
          <w:rFonts w:eastAsia="Times New Roman"/>
          <w:lang w:eastAsia="en-AU"/>
        </w:rPr>
        <w:t xml:space="preserve"> </w:t>
      </w:r>
      <w:r w:rsidR="00B13578" w:rsidRPr="00B13578">
        <w:rPr>
          <w:rFonts w:eastAsia="Times New Roman"/>
          <w:lang w:eastAsia="en-AU"/>
        </w:rPr>
        <w:t>consent</w:t>
      </w:r>
      <w:r w:rsidR="00B13578">
        <w:rPr>
          <w:rFonts w:eastAsia="Times New Roman"/>
          <w:lang w:eastAsia="en-AU"/>
        </w:rPr>
        <w:t>”</w:t>
      </w:r>
      <w:r w:rsidR="00B13578" w:rsidRPr="00B13578">
        <w:rPr>
          <w:rFonts w:eastAsia="Times New Roman"/>
          <w:lang w:eastAsia="en-AU"/>
        </w:rPr>
        <w:t xml:space="preserve"> (p.</w:t>
      </w:r>
      <w:r w:rsidR="007F12A6">
        <w:rPr>
          <w:rFonts w:eastAsia="Times New Roman"/>
          <w:lang w:eastAsia="en-AU"/>
        </w:rPr>
        <w:t xml:space="preserve"> </w:t>
      </w:r>
      <w:r w:rsidR="00B13578" w:rsidRPr="00B13578">
        <w:rPr>
          <w:rFonts w:eastAsia="Times New Roman"/>
          <w:lang w:eastAsia="en-AU"/>
        </w:rPr>
        <w:t>3)</w:t>
      </w:r>
      <w:r w:rsidR="00B151E0">
        <w:rPr>
          <w:rFonts w:eastAsia="Times New Roman"/>
          <w:lang w:eastAsia="en-AU"/>
        </w:rPr>
        <w:t xml:space="preserve">. </w:t>
      </w:r>
      <w:r w:rsidR="00CB022C" w:rsidRPr="00CB022C">
        <w:rPr>
          <w:rFonts w:eastAsia="Times New Roman"/>
          <w:lang w:eastAsia="en-AU"/>
        </w:rPr>
        <w:t xml:space="preserve">The authors reported that all analyses were </w:t>
      </w:r>
      <w:r w:rsidR="002F780F">
        <w:rPr>
          <w:rFonts w:eastAsia="Times New Roman"/>
          <w:lang w:eastAsia="en-AU"/>
        </w:rPr>
        <w:t>conducted</w:t>
      </w:r>
      <w:r w:rsidR="00CB022C" w:rsidRPr="00CB022C">
        <w:rPr>
          <w:rFonts w:eastAsia="Times New Roman"/>
          <w:lang w:eastAsia="en-AU"/>
        </w:rPr>
        <w:t xml:space="preserve"> on an intention-to-treat basis, and missing data were handled by </w:t>
      </w:r>
      <w:r w:rsidR="00913E1D">
        <w:rPr>
          <w:rFonts w:eastAsia="Times New Roman"/>
          <w:lang w:eastAsia="en-AU"/>
        </w:rPr>
        <w:t>m</w:t>
      </w:r>
      <w:r w:rsidR="00CB022C" w:rsidRPr="00CB022C">
        <w:rPr>
          <w:rFonts w:eastAsia="Times New Roman"/>
          <w:lang w:eastAsia="en-AU"/>
        </w:rPr>
        <w:t xml:space="preserve">aximum </w:t>
      </w:r>
      <w:r w:rsidR="00913E1D">
        <w:rPr>
          <w:rFonts w:eastAsia="Times New Roman"/>
          <w:lang w:eastAsia="en-AU"/>
        </w:rPr>
        <w:t>l</w:t>
      </w:r>
      <w:r w:rsidR="00CB022C" w:rsidRPr="00CB022C">
        <w:rPr>
          <w:rFonts w:eastAsia="Times New Roman"/>
          <w:lang w:eastAsia="en-AU"/>
        </w:rPr>
        <w:t>ikelihood</w:t>
      </w:r>
      <w:r w:rsidR="00CB022C">
        <w:rPr>
          <w:rFonts w:eastAsia="Times New Roman"/>
          <w:lang w:eastAsia="en-AU"/>
        </w:rPr>
        <w:t xml:space="preserve"> </w:t>
      </w:r>
      <w:r w:rsidR="00CB022C" w:rsidRPr="00CB022C">
        <w:rPr>
          <w:rFonts w:eastAsia="Times New Roman"/>
          <w:lang w:eastAsia="en-AU"/>
        </w:rPr>
        <w:t>estimation</w:t>
      </w:r>
      <w:r w:rsidR="000C6B94">
        <w:rPr>
          <w:rFonts w:eastAsia="Times New Roman"/>
          <w:lang w:eastAsia="en-AU"/>
        </w:rPr>
        <w:t>; however</w:t>
      </w:r>
      <w:r w:rsidR="00913E1D">
        <w:rPr>
          <w:rFonts w:eastAsia="Times New Roman"/>
          <w:lang w:eastAsia="en-AU"/>
        </w:rPr>
        <w:t xml:space="preserve">, </w:t>
      </w:r>
      <w:r w:rsidR="000C6B94">
        <w:rPr>
          <w:rFonts w:eastAsia="Times New Roman"/>
          <w:lang w:eastAsia="en-AU"/>
        </w:rPr>
        <w:t xml:space="preserve">it is </w:t>
      </w:r>
      <w:r w:rsidR="001A27DB">
        <w:rPr>
          <w:rFonts w:eastAsia="Times New Roman"/>
          <w:lang w:eastAsia="en-AU"/>
        </w:rPr>
        <w:t xml:space="preserve">unclear </w:t>
      </w:r>
      <w:r w:rsidR="00617214">
        <w:rPr>
          <w:rFonts w:eastAsia="Times New Roman"/>
          <w:lang w:eastAsia="en-AU"/>
        </w:rPr>
        <w:t>whether</w:t>
      </w:r>
      <w:r w:rsidR="000C6B94">
        <w:rPr>
          <w:rFonts w:eastAsia="Times New Roman"/>
          <w:lang w:eastAsia="en-AU"/>
        </w:rPr>
        <w:t xml:space="preserve"> </w:t>
      </w:r>
      <w:r w:rsidR="002511FA">
        <w:rPr>
          <w:rFonts w:eastAsia="Times New Roman"/>
          <w:lang w:eastAsia="en-AU"/>
        </w:rPr>
        <w:t xml:space="preserve">the data were missing at random. </w:t>
      </w:r>
      <w:r w:rsidR="00F129FD">
        <w:rPr>
          <w:rFonts w:eastAsia="Times New Roman"/>
          <w:lang w:eastAsia="en-AU"/>
        </w:rPr>
        <w:t>While participant</w:t>
      </w:r>
      <w:r w:rsidR="00592163">
        <w:rPr>
          <w:rFonts w:eastAsia="Times New Roman"/>
          <w:lang w:eastAsia="en-AU"/>
        </w:rPr>
        <w:t>s</w:t>
      </w:r>
      <w:r w:rsidR="00F129FD">
        <w:rPr>
          <w:rFonts w:eastAsia="Times New Roman"/>
          <w:lang w:eastAsia="en-AU"/>
        </w:rPr>
        <w:t xml:space="preserve"> were unable to differentiate the subjective effects of the nabi</w:t>
      </w:r>
      <w:r w:rsidR="00CF3E3E">
        <w:rPr>
          <w:rFonts w:eastAsia="Times New Roman"/>
          <w:lang w:eastAsia="en-AU"/>
        </w:rPr>
        <w:t xml:space="preserve">ximols and placebo </w:t>
      </w:r>
      <w:r w:rsidR="002414E4">
        <w:rPr>
          <w:rFonts w:eastAsia="Times New Roman"/>
          <w:lang w:eastAsia="en-AU"/>
        </w:rPr>
        <w:t>treatments</w:t>
      </w:r>
      <w:r w:rsidR="00CF3E3E">
        <w:rPr>
          <w:rFonts w:eastAsia="Times New Roman"/>
          <w:lang w:eastAsia="en-AU"/>
        </w:rPr>
        <w:t xml:space="preserve"> during a </w:t>
      </w:r>
      <w:r w:rsidR="00C320BC">
        <w:rPr>
          <w:rFonts w:eastAsia="Times New Roman"/>
          <w:lang w:eastAsia="en-AU"/>
        </w:rPr>
        <w:t>nurse</w:t>
      </w:r>
      <w:r w:rsidR="00436BEF">
        <w:rPr>
          <w:rFonts w:eastAsia="Times New Roman"/>
          <w:lang w:eastAsia="en-AU"/>
        </w:rPr>
        <w:t>-</w:t>
      </w:r>
      <w:r w:rsidR="008429D9">
        <w:rPr>
          <w:rFonts w:eastAsia="Times New Roman"/>
          <w:lang w:eastAsia="en-AU"/>
        </w:rPr>
        <w:t>supervised</w:t>
      </w:r>
      <w:r w:rsidR="00B70CF1">
        <w:rPr>
          <w:rFonts w:eastAsia="Times New Roman"/>
          <w:lang w:eastAsia="en-AU"/>
        </w:rPr>
        <w:t xml:space="preserve"> (2-hour</w:t>
      </w:r>
      <w:r w:rsidR="00306C6A">
        <w:rPr>
          <w:rFonts w:eastAsia="Times New Roman"/>
          <w:lang w:eastAsia="en-AU"/>
        </w:rPr>
        <w:t>)</w:t>
      </w:r>
      <w:r w:rsidR="00A109AE">
        <w:rPr>
          <w:rFonts w:eastAsia="Times New Roman"/>
          <w:lang w:eastAsia="en-AU"/>
        </w:rPr>
        <w:t xml:space="preserve"> intake</w:t>
      </w:r>
      <w:r w:rsidR="008429D9">
        <w:rPr>
          <w:rFonts w:eastAsia="Times New Roman"/>
          <w:lang w:eastAsia="en-AU"/>
        </w:rPr>
        <w:t xml:space="preserve"> </w:t>
      </w:r>
      <w:r w:rsidR="002414E4">
        <w:rPr>
          <w:rFonts w:eastAsia="Times New Roman"/>
          <w:lang w:eastAsia="en-AU"/>
        </w:rPr>
        <w:t>session</w:t>
      </w:r>
      <w:r w:rsidR="008429D9">
        <w:rPr>
          <w:rFonts w:eastAsia="Times New Roman"/>
          <w:lang w:eastAsia="en-AU"/>
        </w:rPr>
        <w:t>, t</w:t>
      </w:r>
      <w:r w:rsidR="001E5310" w:rsidRPr="006162D9">
        <w:rPr>
          <w:rFonts w:eastAsia="Times New Roman"/>
          <w:lang w:eastAsia="en-AU"/>
        </w:rPr>
        <w:t>he effectiveness of the</w:t>
      </w:r>
      <w:r w:rsidR="006C528E" w:rsidRPr="006162D9">
        <w:rPr>
          <w:rFonts w:eastAsia="Times New Roman"/>
          <w:lang w:eastAsia="en-AU"/>
        </w:rPr>
        <w:t xml:space="preserve"> study</w:t>
      </w:r>
      <w:r w:rsidR="001E5310" w:rsidRPr="006162D9">
        <w:rPr>
          <w:rFonts w:eastAsia="Times New Roman"/>
          <w:lang w:eastAsia="en-AU"/>
        </w:rPr>
        <w:t xml:space="preserve"> blind was not assessed</w:t>
      </w:r>
      <w:r w:rsidR="007C221E">
        <w:rPr>
          <w:rFonts w:eastAsia="Times New Roman"/>
          <w:lang w:eastAsia="en-AU"/>
        </w:rPr>
        <w:t xml:space="preserve"> at the end of the </w:t>
      </w:r>
      <w:r w:rsidR="00C320BC">
        <w:rPr>
          <w:rFonts w:eastAsia="Times New Roman"/>
          <w:lang w:eastAsia="en-AU"/>
        </w:rPr>
        <w:t xml:space="preserve">12-week </w:t>
      </w:r>
      <w:r w:rsidR="007C221E">
        <w:rPr>
          <w:rFonts w:eastAsia="Times New Roman"/>
          <w:lang w:eastAsia="en-AU"/>
        </w:rPr>
        <w:t>trial</w:t>
      </w:r>
      <w:r w:rsidR="001E5310" w:rsidRPr="006162D9">
        <w:rPr>
          <w:rFonts w:eastAsia="Times New Roman"/>
          <w:lang w:eastAsia="en-AU"/>
        </w:rPr>
        <w:t>.</w:t>
      </w:r>
      <w:r w:rsidR="00502490" w:rsidRPr="00F62917">
        <w:rPr>
          <w:rFonts w:eastAsia="Times New Roman"/>
          <w:lang w:eastAsia="en-AU"/>
        </w:rPr>
        <w:t xml:space="preserve"> </w:t>
      </w:r>
      <w:r w:rsidR="00627531">
        <w:rPr>
          <w:rFonts w:eastAsia="Times New Roman"/>
          <w:lang w:eastAsia="en-AU"/>
        </w:rPr>
        <w:t xml:space="preserve">If </w:t>
      </w:r>
      <w:r w:rsidR="00584FED">
        <w:rPr>
          <w:rFonts w:eastAsia="Times New Roman"/>
          <w:lang w:eastAsia="en-AU"/>
        </w:rPr>
        <w:t>participants</w:t>
      </w:r>
      <w:r w:rsidR="00627531">
        <w:rPr>
          <w:rFonts w:eastAsia="Times New Roman"/>
          <w:lang w:eastAsia="en-AU"/>
        </w:rPr>
        <w:t xml:space="preserve"> were</w:t>
      </w:r>
      <w:r w:rsidR="00D55970">
        <w:rPr>
          <w:rFonts w:eastAsia="Times New Roman"/>
          <w:lang w:eastAsia="en-AU"/>
        </w:rPr>
        <w:t xml:space="preserve"> aware of the allocation to study conditions, </w:t>
      </w:r>
      <w:r w:rsidR="00531168">
        <w:rPr>
          <w:rFonts w:eastAsia="Times New Roman"/>
          <w:lang w:eastAsia="en-AU"/>
        </w:rPr>
        <w:t xml:space="preserve">this </w:t>
      </w:r>
      <w:r w:rsidR="00D37B3E">
        <w:rPr>
          <w:rFonts w:eastAsia="Times New Roman"/>
          <w:lang w:eastAsia="en-AU"/>
        </w:rPr>
        <w:t xml:space="preserve">may have influenced </w:t>
      </w:r>
      <w:r w:rsidR="00D55970">
        <w:rPr>
          <w:rFonts w:eastAsia="Times New Roman"/>
          <w:lang w:eastAsia="en-AU"/>
        </w:rPr>
        <w:t xml:space="preserve">their </w:t>
      </w:r>
      <w:r w:rsidR="00584FED">
        <w:rPr>
          <w:rFonts w:eastAsia="Times New Roman"/>
          <w:lang w:eastAsia="en-AU"/>
        </w:rPr>
        <w:t xml:space="preserve">responses to </w:t>
      </w:r>
      <w:r w:rsidR="007C221E">
        <w:rPr>
          <w:rFonts w:eastAsia="Times New Roman"/>
          <w:lang w:eastAsia="en-AU"/>
        </w:rPr>
        <w:t>t</w:t>
      </w:r>
      <w:r w:rsidR="00502490" w:rsidRPr="00F62917">
        <w:rPr>
          <w:rFonts w:eastAsia="Times New Roman"/>
          <w:lang w:eastAsia="en-AU"/>
        </w:rPr>
        <w:t xml:space="preserve">he </w:t>
      </w:r>
      <w:r w:rsidR="001E5310" w:rsidRPr="006162D9">
        <w:rPr>
          <w:rFonts w:eastAsia="Times New Roman"/>
          <w:lang w:eastAsia="en-AU"/>
        </w:rPr>
        <w:t>self-reported outcome</w:t>
      </w:r>
      <w:r w:rsidR="00502490" w:rsidRPr="00F62917">
        <w:rPr>
          <w:rFonts w:eastAsia="Times New Roman"/>
          <w:lang w:eastAsia="en-AU"/>
        </w:rPr>
        <w:t xml:space="preserve"> measure</w:t>
      </w:r>
      <w:r w:rsidR="001E5310" w:rsidRPr="006162D9">
        <w:rPr>
          <w:rFonts w:eastAsia="Times New Roman"/>
          <w:lang w:eastAsia="en-AU"/>
        </w:rPr>
        <w:t>s.</w:t>
      </w:r>
    </w:p>
    <w:p w14:paraId="6C42E36E" w14:textId="5C8ED32C" w:rsidR="003E1DB1" w:rsidRPr="00E42569" w:rsidRDefault="003E1DB1" w:rsidP="0000143B">
      <w:pPr>
        <w:tabs>
          <w:tab w:val="left" w:pos="632"/>
          <w:tab w:val="left" w:pos="5070"/>
          <w:tab w:val="left" w:pos="7621"/>
          <w:tab w:val="left" w:pos="9747"/>
        </w:tabs>
        <w:jc w:val="both"/>
        <w:rPr>
          <w:rFonts w:eastAsia="Times New Roman"/>
          <w:lang w:eastAsia="en-AU"/>
        </w:rPr>
      </w:pPr>
      <w:r w:rsidRPr="29B4B51F">
        <w:rPr>
          <w:rFonts w:eastAsia="Times New Roman"/>
          <w:lang w:eastAsia="en-AU"/>
        </w:rPr>
        <w:t>Hill and colleagues (2017</w:t>
      </w:r>
      <w:r w:rsidR="0033578C">
        <w:rPr>
          <w:rFonts w:eastAsia="Times New Roman"/>
          <w:lang w:eastAsia="en-AU"/>
        </w:rPr>
        <w:t>;</w:t>
      </w:r>
      <w:r w:rsidR="0006107A" w:rsidRPr="29B4B51F">
        <w:rPr>
          <w:rFonts w:eastAsia="Times New Roman"/>
          <w:lang w:eastAsia="en-AU"/>
        </w:rPr>
        <w:t xml:space="preserve"> </w:t>
      </w:r>
      <w:r w:rsidR="00124375" w:rsidRPr="0033578C">
        <w:rPr>
          <w:rFonts w:eastAsia="Times New Roman"/>
          <w:i/>
          <w:lang w:eastAsia="en-AU"/>
        </w:rPr>
        <w:t>n</w:t>
      </w:r>
      <w:r w:rsidR="00124375" w:rsidRPr="29B4B51F">
        <w:rPr>
          <w:rFonts w:eastAsia="Times New Roman"/>
          <w:lang w:eastAsia="en-AU"/>
        </w:rPr>
        <w:t xml:space="preserve"> = 18) recruited participants with a diagnosis of cannabis use disorder (DSM-IV criteria) from </w:t>
      </w:r>
      <w:r w:rsidR="00D0431F">
        <w:rPr>
          <w:rFonts w:eastAsia="Times New Roman"/>
          <w:lang w:eastAsia="en-AU"/>
        </w:rPr>
        <w:t xml:space="preserve">the community (via </w:t>
      </w:r>
      <w:r w:rsidR="00124375" w:rsidRPr="29B4B51F">
        <w:rPr>
          <w:rFonts w:eastAsia="Times New Roman"/>
          <w:lang w:eastAsia="en-AU"/>
        </w:rPr>
        <w:t>newspaper and online advertisements</w:t>
      </w:r>
      <w:r w:rsidR="00D0431F">
        <w:rPr>
          <w:rFonts w:eastAsia="Times New Roman"/>
          <w:lang w:eastAsia="en-AU"/>
        </w:rPr>
        <w:t>)</w:t>
      </w:r>
      <w:r w:rsidR="00124375" w:rsidRPr="29B4B51F">
        <w:rPr>
          <w:rFonts w:eastAsia="Times New Roman"/>
          <w:lang w:eastAsia="en-AU"/>
        </w:rPr>
        <w:t xml:space="preserve">. </w:t>
      </w:r>
      <w:r w:rsidR="1B7E65D9" w:rsidRPr="29B4B51F">
        <w:rPr>
          <w:rFonts w:eastAsia="Times New Roman"/>
          <w:lang w:eastAsia="en-AU"/>
        </w:rPr>
        <w:t xml:space="preserve">All participants were offered weekly physician-guided </w:t>
      </w:r>
      <w:r w:rsidR="00867824">
        <w:rPr>
          <w:rFonts w:eastAsia="Times New Roman"/>
          <w:lang w:eastAsia="en-AU"/>
        </w:rPr>
        <w:t>m</w:t>
      </w:r>
      <w:r w:rsidR="1B7E65D9" w:rsidRPr="29B4B51F">
        <w:rPr>
          <w:rFonts w:eastAsia="Times New Roman"/>
          <w:lang w:eastAsia="en-AU"/>
        </w:rPr>
        <w:t xml:space="preserve">edical </w:t>
      </w:r>
      <w:r w:rsidR="00867824">
        <w:rPr>
          <w:rFonts w:eastAsia="Times New Roman"/>
          <w:lang w:eastAsia="en-AU"/>
        </w:rPr>
        <w:t>m</w:t>
      </w:r>
      <w:r w:rsidR="1B7E65D9" w:rsidRPr="29B4B51F">
        <w:rPr>
          <w:rFonts w:eastAsia="Times New Roman"/>
          <w:lang w:eastAsia="en-AU"/>
        </w:rPr>
        <w:t>anagement (MM) sessions, which included monitoring of medication side effects and strategies to increase medication adherence and support abstinence.</w:t>
      </w:r>
      <w:r w:rsidR="00F72D3A">
        <w:rPr>
          <w:rFonts w:eastAsia="Times New Roman"/>
          <w:lang w:eastAsia="en-AU"/>
        </w:rPr>
        <w:t xml:space="preserve"> </w:t>
      </w:r>
      <w:r w:rsidR="00124375" w:rsidRPr="29B4B51F">
        <w:rPr>
          <w:rFonts w:eastAsia="Times New Roman"/>
          <w:lang w:eastAsia="en-AU"/>
        </w:rPr>
        <w:t xml:space="preserve">Participants were </w:t>
      </w:r>
      <w:r w:rsidR="7BDCA5C1" w:rsidRPr="29B4B51F">
        <w:rPr>
          <w:rFonts w:eastAsia="Times New Roman"/>
          <w:lang w:eastAsia="en-AU"/>
        </w:rPr>
        <w:t>randomised</w:t>
      </w:r>
      <w:r w:rsidR="00124375" w:rsidRPr="29B4B51F">
        <w:rPr>
          <w:rFonts w:eastAsia="Times New Roman"/>
          <w:lang w:eastAsia="en-AU"/>
        </w:rPr>
        <w:t xml:space="preserve"> to receive</w:t>
      </w:r>
      <w:r w:rsidR="005958E3">
        <w:rPr>
          <w:rFonts w:eastAsia="Times New Roman"/>
          <w:lang w:eastAsia="en-AU"/>
        </w:rPr>
        <w:t xml:space="preserve"> oral capsules (daily for 10 weeks) of</w:t>
      </w:r>
      <w:r w:rsidR="00124375" w:rsidRPr="29B4B51F">
        <w:rPr>
          <w:rFonts w:eastAsia="Times New Roman"/>
          <w:lang w:eastAsia="en-AU"/>
        </w:rPr>
        <w:t xml:space="preserve"> either </w:t>
      </w:r>
      <w:r w:rsidR="0004297F">
        <w:rPr>
          <w:rFonts w:eastAsia="Times New Roman"/>
          <w:lang w:eastAsia="en-AU"/>
        </w:rPr>
        <w:t xml:space="preserve">2 mg </w:t>
      </w:r>
      <w:r w:rsidR="00124375" w:rsidRPr="29B4B51F">
        <w:rPr>
          <w:rFonts w:eastAsia="Times New Roman"/>
          <w:lang w:eastAsia="en-AU"/>
        </w:rPr>
        <w:t>nabilone (</w:t>
      </w:r>
      <w:r w:rsidR="00124375" w:rsidRPr="002E36BF">
        <w:rPr>
          <w:rFonts w:eastAsia="Times New Roman"/>
          <w:i/>
          <w:lang w:eastAsia="en-AU"/>
        </w:rPr>
        <w:t>n</w:t>
      </w:r>
      <w:r w:rsidR="00124375" w:rsidRPr="29B4B51F">
        <w:rPr>
          <w:rFonts w:eastAsia="Times New Roman"/>
          <w:lang w:eastAsia="en-AU"/>
        </w:rPr>
        <w:t xml:space="preserve"> = 10</w:t>
      </w:r>
      <w:r w:rsidR="00003FD0">
        <w:rPr>
          <w:rFonts w:eastAsia="Times New Roman"/>
          <w:lang w:eastAsia="en-AU"/>
        </w:rPr>
        <w:t>; synthetic THC</w:t>
      </w:r>
      <w:r w:rsidR="00124375" w:rsidRPr="29B4B51F">
        <w:rPr>
          <w:rFonts w:eastAsia="Times New Roman"/>
          <w:lang w:eastAsia="en-AU"/>
        </w:rPr>
        <w:t>) or placebo (</w:t>
      </w:r>
      <w:r w:rsidR="00124375" w:rsidRPr="002E36BF">
        <w:rPr>
          <w:rFonts w:eastAsia="Times New Roman"/>
          <w:i/>
          <w:lang w:eastAsia="en-AU"/>
        </w:rPr>
        <w:t>n</w:t>
      </w:r>
      <w:r w:rsidR="00124375" w:rsidRPr="29B4B51F">
        <w:rPr>
          <w:rFonts w:eastAsia="Times New Roman"/>
          <w:lang w:eastAsia="en-AU"/>
        </w:rPr>
        <w:t xml:space="preserve"> = 8</w:t>
      </w:r>
      <w:r w:rsidR="00003FD0">
        <w:rPr>
          <w:rFonts w:eastAsia="Times New Roman"/>
          <w:lang w:eastAsia="en-AU"/>
        </w:rPr>
        <w:t>; agent not specified</w:t>
      </w:r>
      <w:r w:rsidR="00124375" w:rsidRPr="29B4B51F">
        <w:rPr>
          <w:rFonts w:eastAsia="Times New Roman"/>
          <w:lang w:eastAsia="en-AU"/>
        </w:rPr>
        <w:t xml:space="preserve">). The outcome </w:t>
      </w:r>
      <w:r w:rsidR="002E36BF">
        <w:rPr>
          <w:rFonts w:eastAsia="Times New Roman"/>
          <w:lang w:eastAsia="en-AU"/>
        </w:rPr>
        <w:t xml:space="preserve">measures </w:t>
      </w:r>
      <w:r w:rsidR="002E36BF">
        <w:t>were the participants’</w:t>
      </w:r>
      <w:r w:rsidR="002E36BF" w:rsidRPr="00E112C6">
        <w:t xml:space="preserve"> </w:t>
      </w:r>
      <w:r w:rsidR="002E36BF">
        <w:t xml:space="preserve">urine </w:t>
      </w:r>
      <w:r w:rsidR="002E36BF" w:rsidRPr="00E112C6">
        <w:t>concentration</w:t>
      </w:r>
      <w:r w:rsidR="002E36BF">
        <w:t>s of THC (as measured by THC</w:t>
      </w:r>
      <w:r w:rsidR="00FB5725">
        <w:t>-</w:t>
      </w:r>
      <w:r w:rsidR="002E36BF">
        <w:t>COOH</w:t>
      </w:r>
      <w:r w:rsidR="007F12C6">
        <w:t>:</w:t>
      </w:r>
      <w:r w:rsidR="007F12C6" w:rsidRPr="007F12C6">
        <w:t>creatinine</w:t>
      </w:r>
      <w:r w:rsidR="00416AA0">
        <w:t>;</w:t>
      </w:r>
      <w:r w:rsidR="002B2434">
        <w:t xml:space="preserve"> primary outcome</w:t>
      </w:r>
      <w:r w:rsidR="002E36BF">
        <w:t>)</w:t>
      </w:r>
      <w:r w:rsidR="00124375" w:rsidRPr="29B4B51F">
        <w:rPr>
          <w:rFonts w:eastAsia="Times New Roman"/>
          <w:lang w:eastAsia="en-AU"/>
        </w:rPr>
        <w:t xml:space="preserve">, the number of </w:t>
      </w:r>
      <w:r w:rsidR="06892D0C" w:rsidRPr="29B4B51F">
        <w:rPr>
          <w:rFonts w:eastAsia="Times New Roman"/>
          <w:lang w:eastAsia="en-AU"/>
        </w:rPr>
        <w:t xml:space="preserve">cannabis </w:t>
      </w:r>
      <w:r w:rsidR="00124375" w:rsidRPr="29B4B51F">
        <w:rPr>
          <w:rFonts w:eastAsia="Times New Roman"/>
          <w:lang w:eastAsia="en-AU"/>
        </w:rPr>
        <w:t>use sessions per day</w:t>
      </w:r>
      <w:r w:rsidR="00405EBE">
        <w:rPr>
          <w:rFonts w:eastAsia="Times New Roman"/>
          <w:lang w:eastAsia="en-AU"/>
        </w:rPr>
        <w:t xml:space="preserve"> </w:t>
      </w:r>
      <w:r w:rsidR="00405EBE" w:rsidRPr="00405EBE">
        <w:rPr>
          <w:rFonts w:eastAsia="Times New Roman"/>
          <w:lang w:eastAsia="en-AU"/>
        </w:rPr>
        <w:t>(as measured by the Timelin</w:t>
      </w:r>
      <w:r w:rsidR="00405EBE">
        <w:rPr>
          <w:rFonts w:eastAsia="Times New Roman"/>
          <w:lang w:eastAsia="en-AU"/>
        </w:rPr>
        <w:t>e Follow</w:t>
      </w:r>
      <w:r w:rsidR="00867824">
        <w:rPr>
          <w:rFonts w:eastAsia="Times New Roman"/>
          <w:lang w:eastAsia="en-AU"/>
        </w:rPr>
        <w:t>b</w:t>
      </w:r>
      <w:r w:rsidR="00405EBE">
        <w:rPr>
          <w:rFonts w:eastAsia="Times New Roman"/>
          <w:lang w:eastAsia="en-AU"/>
        </w:rPr>
        <w:t>ack, TLFB</w:t>
      </w:r>
      <w:r w:rsidR="00867824">
        <w:rPr>
          <w:rFonts w:eastAsia="Times New Roman"/>
          <w:lang w:eastAsia="en-AU"/>
        </w:rPr>
        <w:t>,</w:t>
      </w:r>
      <w:r w:rsidR="006E22A4">
        <w:rPr>
          <w:rFonts w:eastAsia="Times New Roman"/>
          <w:lang w:eastAsia="en-AU"/>
        </w:rPr>
        <w:t xml:space="preserve"> method</w:t>
      </w:r>
      <w:r w:rsidR="002B2434">
        <w:rPr>
          <w:rFonts w:eastAsia="Times New Roman"/>
          <w:lang w:eastAsia="en-AU"/>
        </w:rPr>
        <w:t>; primary outcome</w:t>
      </w:r>
      <w:r w:rsidR="00405EBE">
        <w:rPr>
          <w:rFonts w:eastAsia="Times New Roman"/>
          <w:lang w:eastAsia="en-AU"/>
        </w:rPr>
        <w:t>)</w:t>
      </w:r>
      <w:r w:rsidR="001E47C3">
        <w:rPr>
          <w:rFonts w:eastAsia="Times New Roman"/>
          <w:lang w:eastAsia="en-AU"/>
        </w:rPr>
        <w:t xml:space="preserve">, </w:t>
      </w:r>
      <w:r w:rsidR="002B2434">
        <w:rPr>
          <w:rFonts w:eastAsia="Times New Roman"/>
          <w:lang w:eastAsia="en-AU"/>
        </w:rPr>
        <w:t xml:space="preserve">the </w:t>
      </w:r>
      <w:r w:rsidR="001E47C3" w:rsidRPr="001E47C3">
        <w:rPr>
          <w:rFonts w:eastAsia="Times New Roman"/>
          <w:lang w:eastAsia="en-AU"/>
        </w:rPr>
        <w:t xml:space="preserve">Marijuana Craving Questionnaire (MCQ), </w:t>
      </w:r>
      <w:r w:rsidR="002B2434">
        <w:rPr>
          <w:rFonts w:eastAsia="Times New Roman"/>
          <w:lang w:eastAsia="en-AU"/>
        </w:rPr>
        <w:t xml:space="preserve">the </w:t>
      </w:r>
      <w:r w:rsidR="001E47C3" w:rsidRPr="001E47C3">
        <w:rPr>
          <w:rFonts w:eastAsia="Times New Roman"/>
          <w:lang w:eastAsia="en-AU"/>
        </w:rPr>
        <w:t xml:space="preserve">Beck Anxiety Inventory (BAI), and </w:t>
      </w:r>
      <w:r w:rsidR="002B2434">
        <w:rPr>
          <w:rFonts w:eastAsia="Times New Roman"/>
          <w:lang w:eastAsia="en-AU"/>
        </w:rPr>
        <w:t xml:space="preserve">the </w:t>
      </w:r>
      <w:r w:rsidR="001E47C3" w:rsidRPr="001E47C3">
        <w:rPr>
          <w:rFonts w:eastAsia="Times New Roman"/>
          <w:lang w:eastAsia="en-AU"/>
        </w:rPr>
        <w:t>Quick Inventory for Depressive Symptoms (QIDS)</w:t>
      </w:r>
      <w:r w:rsidR="00124375" w:rsidRPr="29B4B51F">
        <w:rPr>
          <w:rFonts w:eastAsia="Times New Roman"/>
          <w:lang w:eastAsia="en-AU"/>
        </w:rPr>
        <w:t xml:space="preserve">. Assessments were conducted at multiple time-points: baseline, </w:t>
      </w:r>
      <w:r w:rsidR="5B949B82" w:rsidRPr="29B4B51F">
        <w:rPr>
          <w:rFonts w:eastAsia="Times New Roman"/>
          <w:lang w:eastAsia="en-AU"/>
        </w:rPr>
        <w:t xml:space="preserve">during treatment </w:t>
      </w:r>
      <w:r w:rsidR="60E7E1EE" w:rsidRPr="29B4B51F">
        <w:rPr>
          <w:rFonts w:eastAsia="Times New Roman"/>
          <w:lang w:eastAsia="en-AU"/>
        </w:rPr>
        <w:t>(week</w:t>
      </w:r>
      <w:r w:rsidR="002E36BF">
        <w:rPr>
          <w:rFonts w:eastAsia="Times New Roman"/>
          <w:lang w:eastAsia="en-AU"/>
        </w:rPr>
        <w:t xml:space="preserve"> </w:t>
      </w:r>
      <w:r w:rsidR="60E7E1EE" w:rsidRPr="29B4B51F">
        <w:rPr>
          <w:rFonts w:eastAsia="Times New Roman"/>
          <w:lang w:eastAsia="en-AU"/>
        </w:rPr>
        <w:t>1</w:t>
      </w:r>
      <w:r w:rsidR="002E36BF">
        <w:rPr>
          <w:rFonts w:eastAsia="Times New Roman"/>
          <w:lang w:eastAsia="en-AU"/>
        </w:rPr>
        <w:t xml:space="preserve"> </w:t>
      </w:r>
      <w:r w:rsidR="006E22A4">
        <w:rPr>
          <w:rFonts w:eastAsia="Times New Roman"/>
          <w:lang w:eastAsia="en-AU"/>
        </w:rPr>
        <w:t>to</w:t>
      </w:r>
      <w:r w:rsidR="002E36BF">
        <w:rPr>
          <w:rFonts w:eastAsia="Times New Roman"/>
          <w:lang w:eastAsia="en-AU"/>
        </w:rPr>
        <w:t xml:space="preserve"> </w:t>
      </w:r>
      <w:r w:rsidR="60E7E1EE" w:rsidRPr="29B4B51F">
        <w:rPr>
          <w:rFonts w:eastAsia="Times New Roman"/>
          <w:lang w:eastAsia="en-AU"/>
        </w:rPr>
        <w:t>10)</w:t>
      </w:r>
      <w:r w:rsidR="1EC3D7AF" w:rsidRPr="29B4B51F">
        <w:rPr>
          <w:rFonts w:eastAsia="Times New Roman"/>
          <w:lang w:eastAsia="en-AU"/>
        </w:rPr>
        <w:t>,</w:t>
      </w:r>
      <w:r w:rsidR="00124375" w:rsidRPr="29B4B51F">
        <w:rPr>
          <w:rFonts w:eastAsia="Times New Roman"/>
          <w:lang w:eastAsia="en-AU"/>
        </w:rPr>
        <w:t xml:space="preserve"> and follow-up (four weeks post-treatment). Clinical </w:t>
      </w:r>
      <w:r w:rsidR="00124375" w:rsidRPr="009B7DE0">
        <w:rPr>
          <w:rFonts w:eastAsia="Times New Roman"/>
          <w:lang w:eastAsia="en-AU"/>
        </w:rPr>
        <w:t xml:space="preserve">treatment response was not defined in the study. </w:t>
      </w:r>
      <w:r w:rsidR="005958E3" w:rsidRPr="009B7DE0">
        <w:rPr>
          <w:rFonts w:eastAsia="Times New Roman"/>
          <w:lang w:eastAsia="en-AU"/>
        </w:rPr>
        <w:t>D</w:t>
      </w:r>
      <w:r w:rsidR="002B6C35" w:rsidRPr="009B7DE0">
        <w:rPr>
          <w:rFonts w:eastAsia="Times New Roman"/>
          <w:lang w:eastAsia="en-AU"/>
        </w:rPr>
        <w:t xml:space="preserve">uring the 10-week </w:t>
      </w:r>
      <w:r w:rsidR="0000143B" w:rsidRPr="00F62917">
        <w:rPr>
          <w:rFonts w:eastAsia="Times New Roman"/>
          <w:lang w:eastAsia="en-AU"/>
        </w:rPr>
        <w:t>treatment period</w:t>
      </w:r>
      <w:r w:rsidR="002B6C35" w:rsidRPr="009B7DE0">
        <w:rPr>
          <w:rFonts w:eastAsia="Times New Roman"/>
          <w:lang w:eastAsia="en-AU"/>
        </w:rPr>
        <w:t>, t</w:t>
      </w:r>
      <w:r w:rsidR="00124375" w:rsidRPr="009B7DE0">
        <w:rPr>
          <w:rFonts w:eastAsia="Times New Roman"/>
          <w:lang w:eastAsia="en-AU"/>
        </w:rPr>
        <w:t xml:space="preserve">he nabilone </w:t>
      </w:r>
      <w:r w:rsidR="00124375" w:rsidRPr="009B7DE0">
        <w:rPr>
          <w:rFonts w:eastAsia="Times New Roman"/>
          <w:lang w:eastAsia="en-AU"/>
        </w:rPr>
        <w:lastRenderedPageBreak/>
        <w:t xml:space="preserve">group </w:t>
      </w:r>
      <w:r w:rsidR="002B6C35" w:rsidRPr="009B7DE0">
        <w:rPr>
          <w:rFonts w:eastAsia="Times New Roman"/>
          <w:lang w:eastAsia="en-AU"/>
        </w:rPr>
        <w:t>reported an average of 2.55</w:t>
      </w:r>
      <w:r w:rsidR="00124375" w:rsidRPr="009B7DE0">
        <w:rPr>
          <w:rFonts w:eastAsia="Times New Roman"/>
          <w:lang w:eastAsia="en-AU"/>
        </w:rPr>
        <w:t xml:space="preserve"> </w:t>
      </w:r>
      <w:r w:rsidR="00D5662A" w:rsidRPr="00F62917">
        <w:rPr>
          <w:rFonts w:eastAsia="Times New Roman"/>
          <w:lang w:eastAsia="en-AU"/>
        </w:rPr>
        <w:t xml:space="preserve">cannabis use </w:t>
      </w:r>
      <w:r w:rsidR="00124375" w:rsidRPr="009B7DE0">
        <w:rPr>
          <w:rFonts w:eastAsia="Times New Roman"/>
          <w:lang w:eastAsia="en-AU"/>
        </w:rPr>
        <w:t>sessions</w:t>
      </w:r>
      <w:r w:rsidR="00B977B6" w:rsidRPr="00F62917">
        <w:rPr>
          <w:rFonts w:eastAsia="Times New Roman"/>
          <w:lang w:eastAsia="en-AU"/>
        </w:rPr>
        <w:t xml:space="preserve"> per day</w:t>
      </w:r>
      <w:r w:rsidR="009B7DE0" w:rsidRPr="00F62917">
        <w:rPr>
          <w:rFonts w:eastAsia="Times New Roman"/>
          <w:lang w:eastAsia="en-AU"/>
        </w:rPr>
        <w:t>,</w:t>
      </w:r>
      <w:r w:rsidR="002B6C35" w:rsidRPr="009B7DE0">
        <w:rPr>
          <w:rFonts w:eastAsia="Times New Roman"/>
          <w:lang w:eastAsia="en-AU"/>
        </w:rPr>
        <w:t xml:space="preserve"> </w:t>
      </w:r>
      <w:r w:rsidR="00B977B6" w:rsidRPr="00F62917">
        <w:rPr>
          <w:rFonts w:eastAsia="Times New Roman"/>
          <w:lang w:eastAsia="en-AU"/>
        </w:rPr>
        <w:t xml:space="preserve">and the placebo group reported </w:t>
      </w:r>
      <w:r w:rsidR="00124375" w:rsidRPr="009B7DE0">
        <w:rPr>
          <w:rFonts w:eastAsia="Times New Roman"/>
          <w:lang w:eastAsia="en-AU"/>
        </w:rPr>
        <w:t xml:space="preserve">3.14 </w:t>
      </w:r>
      <w:r w:rsidR="009B7DE0" w:rsidRPr="00F62917">
        <w:rPr>
          <w:rFonts w:eastAsia="Times New Roman"/>
          <w:lang w:eastAsia="en-AU"/>
        </w:rPr>
        <w:t xml:space="preserve">cannabis use </w:t>
      </w:r>
      <w:r w:rsidR="00124375" w:rsidRPr="009B7DE0">
        <w:rPr>
          <w:rFonts w:eastAsia="Times New Roman"/>
          <w:lang w:eastAsia="en-AU"/>
        </w:rPr>
        <w:t>sessions</w:t>
      </w:r>
      <w:r w:rsidR="00B977B6" w:rsidRPr="00F62917">
        <w:rPr>
          <w:rFonts w:eastAsia="Times New Roman"/>
          <w:lang w:eastAsia="en-AU"/>
        </w:rPr>
        <w:t xml:space="preserve"> </w:t>
      </w:r>
      <w:r w:rsidR="007344AD" w:rsidRPr="00F62917">
        <w:rPr>
          <w:rFonts w:eastAsia="Times New Roman"/>
          <w:lang w:eastAsia="en-AU"/>
        </w:rPr>
        <w:t>per day</w:t>
      </w:r>
      <w:r w:rsidR="00124375" w:rsidRPr="009B7DE0">
        <w:rPr>
          <w:rFonts w:eastAsia="Times New Roman"/>
          <w:lang w:eastAsia="en-AU"/>
        </w:rPr>
        <w:t xml:space="preserve">. </w:t>
      </w:r>
      <w:r w:rsidR="0000143B" w:rsidRPr="009B7DE0">
        <w:rPr>
          <w:rFonts w:eastAsia="Times New Roman"/>
          <w:lang w:eastAsia="en-AU"/>
        </w:rPr>
        <w:t>There was no significant effect of the treatment on changes in cannabis use sessions for the nabilone group compared</w:t>
      </w:r>
      <w:r w:rsidR="0000143B" w:rsidRPr="0000143B">
        <w:rPr>
          <w:rFonts w:eastAsia="Times New Roman"/>
          <w:lang w:eastAsia="en-AU"/>
        </w:rPr>
        <w:t xml:space="preserve"> with the placebo group at the end of treatment (</w:t>
      </w:r>
      <w:r w:rsidR="0000143B" w:rsidRPr="00F62917">
        <w:rPr>
          <w:rFonts w:eastAsia="Times New Roman"/>
          <w:i/>
          <w:iCs/>
          <w:lang w:eastAsia="en-AU"/>
        </w:rPr>
        <w:t>p</w:t>
      </w:r>
      <w:r w:rsidR="0000143B" w:rsidRPr="0000143B">
        <w:rPr>
          <w:rFonts w:eastAsia="Times New Roman"/>
          <w:lang w:eastAsia="en-AU"/>
        </w:rPr>
        <w:t xml:space="preserve"> = 0.29)</w:t>
      </w:r>
      <w:r w:rsidR="009B7DE0">
        <w:rPr>
          <w:rFonts w:eastAsia="Times New Roman"/>
          <w:lang w:eastAsia="en-AU"/>
        </w:rPr>
        <w:t>,</w:t>
      </w:r>
      <w:r w:rsidR="0000143B" w:rsidRPr="0000143B">
        <w:rPr>
          <w:rFonts w:eastAsia="Times New Roman"/>
          <w:lang w:eastAsia="en-AU"/>
        </w:rPr>
        <w:t xml:space="preserve"> or at the 4-week follow-up (</w:t>
      </w:r>
      <w:r w:rsidR="0000143B" w:rsidRPr="00F62917">
        <w:rPr>
          <w:rFonts w:eastAsia="Times New Roman"/>
          <w:i/>
          <w:iCs/>
          <w:lang w:eastAsia="en-AU"/>
        </w:rPr>
        <w:t>p</w:t>
      </w:r>
      <w:r w:rsidR="0000143B" w:rsidRPr="0000143B">
        <w:rPr>
          <w:rFonts w:eastAsia="Times New Roman"/>
          <w:lang w:eastAsia="en-AU"/>
        </w:rPr>
        <w:t xml:space="preserve"> = 0.53). There was no significant effect of the treatment on changes in urine cannabinoid levels for the nabilone group compared with the placebo group at the end of treatment (</w:t>
      </w:r>
      <w:r w:rsidR="0000143B" w:rsidRPr="00F62917">
        <w:rPr>
          <w:rFonts w:eastAsia="Times New Roman"/>
          <w:i/>
          <w:iCs/>
          <w:lang w:eastAsia="en-AU"/>
        </w:rPr>
        <w:t>p</w:t>
      </w:r>
      <w:r w:rsidR="0000143B" w:rsidRPr="0000143B">
        <w:rPr>
          <w:rFonts w:eastAsia="Times New Roman"/>
          <w:lang w:eastAsia="en-AU"/>
        </w:rPr>
        <w:t xml:space="preserve"> = 0.17)</w:t>
      </w:r>
      <w:r w:rsidR="00521385">
        <w:rPr>
          <w:rFonts w:eastAsia="Times New Roman"/>
          <w:lang w:eastAsia="en-AU"/>
        </w:rPr>
        <w:t>,</w:t>
      </w:r>
      <w:r w:rsidR="0000143B" w:rsidRPr="0000143B">
        <w:rPr>
          <w:rFonts w:eastAsia="Times New Roman"/>
          <w:lang w:eastAsia="en-AU"/>
        </w:rPr>
        <w:t xml:space="preserve"> or at the 4-week follow-up (</w:t>
      </w:r>
      <w:r w:rsidR="0000143B" w:rsidRPr="00F62917">
        <w:rPr>
          <w:rFonts w:eastAsia="Times New Roman"/>
          <w:i/>
          <w:iCs/>
          <w:lang w:eastAsia="en-AU"/>
        </w:rPr>
        <w:t>p</w:t>
      </w:r>
      <w:r w:rsidR="0000143B" w:rsidRPr="0000143B">
        <w:rPr>
          <w:rFonts w:eastAsia="Times New Roman"/>
          <w:lang w:eastAsia="en-AU"/>
        </w:rPr>
        <w:t xml:space="preserve"> = 0.34).</w:t>
      </w:r>
      <w:r w:rsidR="0000143B">
        <w:rPr>
          <w:rFonts w:eastAsia="Times New Roman"/>
          <w:lang w:eastAsia="en-AU"/>
        </w:rPr>
        <w:t xml:space="preserve"> </w:t>
      </w:r>
      <w:r w:rsidR="7E5508F6" w:rsidRPr="00317C62">
        <w:rPr>
          <w:rFonts w:eastAsia="Times New Roman"/>
          <w:lang w:eastAsia="en-AU"/>
        </w:rPr>
        <w:t>This study was jud</w:t>
      </w:r>
      <w:r w:rsidR="005958E3" w:rsidRPr="00317C62">
        <w:rPr>
          <w:rFonts w:eastAsia="Times New Roman"/>
          <w:lang w:eastAsia="en-AU"/>
        </w:rPr>
        <w:t>ged to have a high risk of bias</w:t>
      </w:r>
      <w:r w:rsidR="007038D3">
        <w:rPr>
          <w:rFonts w:eastAsia="Times New Roman"/>
          <w:lang w:eastAsia="en-AU"/>
        </w:rPr>
        <w:t xml:space="preserve">. </w:t>
      </w:r>
      <w:r w:rsidR="00E358B6" w:rsidRPr="00E358B6">
        <w:rPr>
          <w:rFonts w:eastAsia="Times New Roman"/>
          <w:lang w:eastAsia="en-AU"/>
        </w:rPr>
        <w:t>No information on the method of randomisation was available</w:t>
      </w:r>
      <w:r w:rsidR="00E358B6">
        <w:rPr>
          <w:rFonts w:eastAsia="Times New Roman"/>
          <w:lang w:eastAsia="en-AU"/>
        </w:rPr>
        <w:t>. Additionally,</w:t>
      </w:r>
      <w:r w:rsidR="00494550" w:rsidRPr="00F62917">
        <w:rPr>
          <w:rFonts w:ascii="Calibri" w:hAnsi="Calibri" w:cs="Calibri"/>
          <w:color w:val="000000" w:themeColor="text1"/>
        </w:rPr>
        <w:t xml:space="preserve"> </w:t>
      </w:r>
      <w:r w:rsidR="008C0199">
        <w:rPr>
          <w:rFonts w:ascii="Calibri" w:hAnsi="Calibri" w:cs="Calibri"/>
          <w:color w:val="000000" w:themeColor="text1"/>
        </w:rPr>
        <w:t>six</w:t>
      </w:r>
      <w:r w:rsidR="00092D99">
        <w:rPr>
          <w:rFonts w:ascii="Calibri" w:hAnsi="Calibri" w:cs="Calibri"/>
          <w:color w:val="000000" w:themeColor="text1"/>
        </w:rPr>
        <w:t xml:space="preserve"> participants </w:t>
      </w:r>
      <w:r w:rsidR="00F20825">
        <w:rPr>
          <w:rFonts w:ascii="Calibri" w:hAnsi="Calibri" w:cs="Calibri"/>
          <w:color w:val="000000" w:themeColor="text1"/>
        </w:rPr>
        <w:t>(</w:t>
      </w:r>
      <w:r w:rsidR="00F20825" w:rsidRPr="00F62917">
        <w:rPr>
          <w:rFonts w:ascii="Calibri" w:hAnsi="Calibri" w:cs="Calibri"/>
          <w:i/>
          <w:iCs/>
          <w:color w:val="000000" w:themeColor="text1"/>
        </w:rPr>
        <w:t>n</w:t>
      </w:r>
      <w:r w:rsidR="00F20825">
        <w:rPr>
          <w:rFonts w:ascii="Calibri" w:hAnsi="Calibri" w:cs="Calibri"/>
          <w:color w:val="000000" w:themeColor="text1"/>
        </w:rPr>
        <w:t xml:space="preserve"> = 6/18; 33.3%) </w:t>
      </w:r>
      <w:r w:rsidR="00A367E6" w:rsidRPr="004D70C3">
        <w:rPr>
          <w:rFonts w:ascii="Calibri" w:hAnsi="Calibri" w:cs="Calibri"/>
          <w:color w:val="000000" w:themeColor="text1"/>
        </w:rPr>
        <w:t>did not complete the 10-week trial protocol</w:t>
      </w:r>
      <w:r w:rsidR="00A367E6">
        <w:rPr>
          <w:rFonts w:ascii="Calibri" w:hAnsi="Calibri" w:cs="Calibri"/>
          <w:color w:val="000000" w:themeColor="text1"/>
        </w:rPr>
        <w:t xml:space="preserve">: </w:t>
      </w:r>
      <w:r w:rsidR="00FA4D13" w:rsidRPr="00F62917">
        <w:rPr>
          <w:rFonts w:ascii="Calibri" w:hAnsi="Calibri" w:cs="Calibri"/>
          <w:color w:val="000000" w:themeColor="text1"/>
        </w:rPr>
        <w:t>40% (</w:t>
      </w:r>
      <w:r w:rsidR="00FA4D13" w:rsidRPr="00F62917">
        <w:rPr>
          <w:rFonts w:ascii="Calibri" w:hAnsi="Calibri" w:cs="Calibri"/>
          <w:i/>
          <w:iCs/>
          <w:color w:val="000000" w:themeColor="text1"/>
        </w:rPr>
        <w:t>n</w:t>
      </w:r>
      <w:r w:rsidR="00FA4D13" w:rsidRPr="00F62917">
        <w:rPr>
          <w:rFonts w:ascii="Calibri" w:hAnsi="Calibri" w:cs="Calibri"/>
          <w:color w:val="000000" w:themeColor="text1"/>
        </w:rPr>
        <w:t xml:space="preserve"> = 4/10) of participants in the nabilone group, and </w:t>
      </w:r>
      <w:r w:rsidR="006726F0" w:rsidRPr="00F62917">
        <w:rPr>
          <w:rFonts w:ascii="Calibri" w:hAnsi="Calibri" w:cs="Calibri"/>
          <w:color w:val="000000" w:themeColor="text1"/>
        </w:rPr>
        <w:t>25% (</w:t>
      </w:r>
      <w:r w:rsidR="006726F0" w:rsidRPr="00F62917">
        <w:rPr>
          <w:rFonts w:ascii="Calibri" w:hAnsi="Calibri" w:cs="Calibri"/>
          <w:i/>
          <w:iCs/>
          <w:color w:val="000000" w:themeColor="text1"/>
        </w:rPr>
        <w:t>n</w:t>
      </w:r>
      <w:r w:rsidR="006726F0" w:rsidRPr="00F62917">
        <w:rPr>
          <w:rFonts w:ascii="Calibri" w:hAnsi="Calibri" w:cs="Calibri"/>
          <w:color w:val="000000" w:themeColor="text1"/>
        </w:rPr>
        <w:t xml:space="preserve"> = 2/8) of participants in the placebo group</w:t>
      </w:r>
      <w:r w:rsidRPr="00317C62">
        <w:rPr>
          <w:rFonts w:ascii="Calibri" w:hAnsi="Calibri" w:cs="Calibri"/>
          <w:color w:val="000000" w:themeColor="text1"/>
        </w:rPr>
        <w:t xml:space="preserve">. </w:t>
      </w:r>
      <w:r w:rsidR="005958E3" w:rsidRPr="00317C62">
        <w:rPr>
          <w:rFonts w:ascii="Calibri" w:hAnsi="Calibri" w:cs="Calibri"/>
          <w:color w:val="000000" w:themeColor="text1"/>
        </w:rPr>
        <w:t>There was a h</w:t>
      </w:r>
      <w:r w:rsidRPr="00317C62">
        <w:rPr>
          <w:rFonts w:ascii="Calibri" w:hAnsi="Calibri" w:cs="Calibri"/>
          <w:color w:val="000000" w:themeColor="text1"/>
        </w:rPr>
        <w:t>igher dropout rate in the nabilone group, which could be correlated with</w:t>
      </w:r>
      <w:r w:rsidR="00BC66FA" w:rsidRPr="00F62917">
        <w:rPr>
          <w:rFonts w:ascii="Calibri" w:hAnsi="Calibri" w:cs="Calibri"/>
          <w:color w:val="000000" w:themeColor="text1"/>
        </w:rPr>
        <w:t xml:space="preserve"> </w:t>
      </w:r>
      <w:r w:rsidR="005958E3" w:rsidRPr="00317C62">
        <w:rPr>
          <w:rFonts w:ascii="Calibri" w:hAnsi="Calibri" w:cs="Calibri"/>
          <w:color w:val="000000" w:themeColor="text1"/>
        </w:rPr>
        <w:t>baseline severity of cannabis dependence</w:t>
      </w:r>
      <w:r w:rsidR="00853D51" w:rsidRPr="00F62917">
        <w:rPr>
          <w:rFonts w:ascii="Calibri" w:hAnsi="Calibri" w:cs="Calibri"/>
          <w:color w:val="000000" w:themeColor="text1"/>
        </w:rPr>
        <w:t xml:space="preserve"> (not reported)</w:t>
      </w:r>
      <w:r w:rsidRPr="00317C62">
        <w:rPr>
          <w:rFonts w:ascii="Calibri" w:hAnsi="Calibri" w:cs="Calibri"/>
          <w:color w:val="000000" w:themeColor="text1"/>
        </w:rPr>
        <w:t xml:space="preserve">. </w:t>
      </w:r>
      <w:r w:rsidR="00405EBE" w:rsidRPr="00317C62">
        <w:rPr>
          <w:rFonts w:ascii="Calibri" w:hAnsi="Calibri" w:cs="Calibri"/>
          <w:color w:val="000000" w:themeColor="text1"/>
        </w:rPr>
        <w:t>The effectiveness of the</w:t>
      </w:r>
      <w:r w:rsidR="005D2407" w:rsidRPr="00F62917">
        <w:rPr>
          <w:rFonts w:ascii="Calibri" w:hAnsi="Calibri" w:cs="Calibri"/>
          <w:color w:val="000000" w:themeColor="text1"/>
        </w:rPr>
        <w:t xml:space="preserve"> study blind </w:t>
      </w:r>
      <w:r w:rsidR="00405EBE" w:rsidRPr="00317C62">
        <w:rPr>
          <w:rFonts w:ascii="Calibri" w:hAnsi="Calibri" w:cs="Calibri"/>
          <w:color w:val="000000" w:themeColor="text1"/>
        </w:rPr>
        <w:t xml:space="preserve">was not assessed, which </w:t>
      </w:r>
      <w:r w:rsidR="007344AD" w:rsidRPr="00F62917">
        <w:rPr>
          <w:rFonts w:ascii="Calibri" w:hAnsi="Calibri" w:cs="Calibri"/>
          <w:color w:val="000000" w:themeColor="text1"/>
        </w:rPr>
        <w:t xml:space="preserve">may have biased the </w:t>
      </w:r>
      <w:r w:rsidR="00BF7A70" w:rsidRPr="00F62917">
        <w:rPr>
          <w:rFonts w:ascii="Calibri" w:hAnsi="Calibri" w:cs="Calibri"/>
          <w:color w:val="000000" w:themeColor="text1"/>
        </w:rPr>
        <w:t>results if the participants discerned the</w:t>
      </w:r>
      <w:r w:rsidR="00762DA1">
        <w:rPr>
          <w:rFonts w:ascii="Calibri" w:hAnsi="Calibri" w:cs="Calibri"/>
          <w:color w:val="000000" w:themeColor="text1"/>
        </w:rPr>
        <w:t>ir</w:t>
      </w:r>
      <w:r w:rsidR="00BF7A70" w:rsidRPr="00F62917">
        <w:rPr>
          <w:rFonts w:ascii="Calibri" w:hAnsi="Calibri" w:cs="Calibri"/>
          <w:color w:val="000000" w:themeColor="text1"/>
        </w:rPr>
        <w:t xml:space="preserve"> allocation to study conditions</w:t>
      </w:r>
      <w:r w:rsidR="00405EBE" w:rsidRPr="00317C62">
        <w:rPr>
          <w:rFonts w:ascii="Calibri" w:hAnsi="Calibri" w:cs="Calibri"/>
          <w:color w:val="000000" w:themeColor="text1"/>
        </w:rPr>
        <w:t>.</w:t>
      </w:r>
    </w:p>
    <w:p w14:paraId="5D1BE6A6" w14:textId="77777777" w:rsidR="003E1DB1" w:rsidRDefault="003E1DB1" w:rsidP="00245013">
      <w:pPr>
        <w:pStyle w:val="Heading3"/>
        <w:rPr>
          <w:lang w:eastAsia="en-AU"/>
        </w:rPr>
      </w:pPr>
      <w:bookmarkStart w:id="245" w:name="_Toc121096109"/>
      <w:bookmarkStart w:id="246" w:name="_Toc165018217"/>
      <w:r>
        <w:rPr>
          <w:lang w:eastAsia="en-AU"/>
        </w:rPr>
        <w:t>Cocaine Use Disorder</w:t>
      </w:r>
      <w:bookmarkEnd w:id="245"/>
      <w:bookmarkEnd w:id="246"/>
    </w:p>
    <w:p w14:paraId="126C5988" w14:textId="3E8CFC6E" w:rsidR="003E1DB1" w:rsidRPr="004B7F28" w:rsidRDefault="003E1DB1" w:rsidP="0033578C">
      <w:pPr>
        <w:tabs>
          <w:tab w:val="left" w:pos="632"/>
          <w:tab w:val="left" w:pos="5070"/>
          <w:tab w:val="left" w:pos="7621"/>
          <w:tab w:val="left" w:pos="9747"/>
        </w:tabs>
        <w:rPr>
          <w:rFonts w:eastAsia="Times New Roman"/>
          <w:lang w:eastAsia="en-AU"/>
        </w:rPr>
      </w:pPr>
      <w:r w:rsidRPr="4AB10239">
        <w:rPr>
          <w:rFonts w:eastAsia="Times New Roman"/>
          <w:color w:val="000000" w:themeColor="text1"/>
          <w:lang w:eastAsia="en-AU"/>
        </w:rPr>
        <w:t xml:space="preserve">Two studies recruited participants with a </w:t>
      </w:r>
      <w:r w:rsidR="27E9E153" w:rsidRPr="07B7C1C9">
        <w:rPr>
          <w:rFonts w:eastAsia="Times New Roman"/>
          <w:color w:val="000000" w:themeColor="text1"/>
          <w:lang w:eastAsia="en-AU"/>
        </w:rPr>
        <w:t>c</w:t>
      </w:r>
      <w:r w:rsidR="023A46CD" w:rsidRPr="07B7C1C9">
        <w:rPr>
          <w:rFonts w:eastAsia="Times New Roman"/>
          <w:color w:val="000000" w:themeColor="text1"/>
          <w:lang w:eastAsia="en-AU"/>
        </w:rPr>
        <w:t xml:space="preserve">ocaine </w:t>
      </w:r>
      <w:r w:rsidR="3BDD02ED" w:rsidRPr="07B7C1C9">
        <w:rPr>
          <w:rFonts w:eastAsia="Times New Roman"/>
          <w:color w:val="000000" w:themeColor="text1"/>
          <w:lang w:eastAsia="en-AU"/>
        </w:rPr>
        <w:t>u</w:t>
      </w:r>
      <w:r w:rsidRPr="4AB10239">
        <w:rPr>
          <w:rFonts w:eastAsia="Times New Roman"/>
          <w:color w:val="000000" w:themeColor="text1"/>
          <w:lang w:eastAsia="en-AU"/>
        </w:rPr>
        <w:t xml:space="preserve">se </w:t>
      </w:r>
      <w:r w:rsidR="1228C9EA" w:rsidRPr="21DBD735">
        <w:rPr>
          <w:rFonts w:eastAsia="Times New Roman"/>
          <w:color w:val="000000" w:themeColor="text1"/>
          <w:lang w:eastAsia="en-AU"/>
        </w:rPr>
        <w:t>d</w:t>
      </w:r>
      <w:r w:rsidRPr="4AB10239">
        <w:rPr>
          <w:rFonts w:eastAsia="Times New Roman"/>
          <w:color w:val="000000" w:themeColor="text1"/>
          <w:lang w:eastAsia="en-AU"/>
        </w:rPr>
        <w:t>isorder (</w:t>
      </w:r>
      <w:r w:rsidRPr="4AB10239">
        <w:t>Meneses-Gaya, et al., 2021; Mongeau-Pérusse, et al., 2021).</w:t>
      </w:r>
    </w:p>
    <w:p w14:paraId="61B3671C" w14:textId="152A22BB" w:rsidR="003E1DB1" w:rsidRDefault="003E1DB1" w:rsidP="0033578C">
      <w:pPr>
        <w:jc w:val="both"/>
        <w:rPr>
          <w:color w:val="000000"/>
        </w:rPr>
      </w:pPr>
      <w:r w:rsidRPr="34A993A7">
        <w:t>Meneses-Gaya and colleagues (2021</w:t>
      </w:r>
      <w:r w:rsidR="00B31C4A" w:rsidRPr="34A993A7">
        <w:t xml:space="preserve">; </w:t>
      </w:r>
      <w:r w:rsidR="00B31C4A" w:rsidRPr="34A993A7">
        <w:rPr>
          <w:i/>
        </w:rPr>
        <w:t>n</w:t>
      </w:r>
      <w:r w:rsidR="00B31C4A" w:rsidRPr="34A993A7">
        <w:t xml:space="preserve"> = 31</w:t>
      </w:r>
      <w:r w:rsidRPr="34A993A7">
        <w:t xml:space="preserve">) </w:t>
      </w:r>
      <w:r w:rsidR="0081151F" w:rsidRPr="34A993A7">
        <w:t>recruited participants with a diagnosis of cocaine use disorder (</w:t>
      </w:r>
      <w:r w:rsidR="5A849808" w:rsidRPr="34A993A7">
        <w:t>DSM-IV criteria)</w:t>
      </w:r>
      <w:r w:rsidR="00A76C49">
        <w:t xml:space="preserve"> from a specialis</w:t>
      </w:r>
      <w:r w:rsidR="00A76C49" w:rsidRPr="34A993A7">
        <w:t>ed therapeutic community unit</w:t>
      </w:r>
      <w:r w:rsidR="00A11AB7">
        <w:t>, which</w:t>
      </w:r>
      <w:r w:rsidR="00A76C49" w:rsidRPr="34A993A7">
        <w:t xml:space="preserve"> receive</w:t>
      </w:r>
      <w:r w:rsidR="00A11AB7">
        <w:t>d</w:t>
      </w:r>
      <w:r w:rsidR="00A76C49" w:rsidRPr="34A993A7">
        <w:t xml:space="preserve"> </w:t>
      </w:r>
      <w:r w:rsidR="00A76C49">
        <w:t xml:space="preserve">referrals from the public health system. </w:t>
      </w:r>
      <w:r w:rsidR="6482C4FA" w:rsidRPr="34A993A7">
        <w:t xml:space="preserve">All participants were </w:t>
      </w:r>
      <w:r w:rsidR="00A76C49">
        <w:t xml:space="preserve">routinely </w:t>
      </w:r>
      <w:r w:rsidR="6482C4FA" w:rsidRPr="34A993A7">
        <w:t xml:space="preserve">offered weekly </w:t>
      </w:r>
      <w:r w:rsidR="00A960BB">
        <w:t xml:space="preserve">sessions of </w:t>
      </w:r>
      <w:r w:rsidR="6482C4FA" w:rsidRPr="34A993A7">
        <w:t xml:space="preserve">group psychotherapy </w:t>
      </w:r>
      <w:r w:rsidR="00A76C49">
        <w:t>within the treatment setting.</w:t>
      </w:r>
      <w:r w:rsidR="6482C4FA" w:rsidRPr="34A993A7">
        <w:t xml:space="preserve"> </w:t>
      </w:r>
      <w:r w:rsidR="0081151F" w:rsidRPr="34A993A7">
        <w:t xml:space="preserve">Participants were </w:t>
      </w:r>
      <w:r w:rsidR="7B23B9DB" w:rsidRPr="34A993A7">
        <w:t>randomised</w:t>
      </w:r>
      <w:r w:rsidR="0081151F" w:rsidRPr="34A993A7">
        <w:t xml:space="preserve"> to receive </w:t>
      </w:r>
      <w:r w:rsidR="00A76C49">
        <w:t>oral capsules (</w:t>
      </w:r>
      <w:r w:rsidR="002A0D99">
        <w:t xml:space="preserve">two </w:t>
      </w:r>
      <w:r w:rsidR="00003340">
        <w:t xml:space="preserve">150 mg </w:t>
      </w:r>
      <w:r w:rsidR="002A0D99">
        <w:t xml:space="preserve">capsules </w:t>
      </w:r>
      <w:r w:rsidR="006F2041">
        <w:t xml:space="preserve">per day </w:t>
      </w:r>
      <w:r w:rsidR="00A76C49">
        <w:t xml:space="preserve">for 10 days) of </w:t>
      </w:r>
      <w:r w:rsidR="0081151F" w:rsidRPr="34A993A7">
        <w:t>either</w:t>
      </w:r>
      <w:r w:rsidR="00A62F95">
        <w:t xml:space="preserve"> </w:t>
      </w:r>
      <w:r w:rsidR="0081151F" w:rsidRPr="34A993A7">
        <w:t>CBD (300</w:t>
      </w:r>
      <w:r w:rsidR="009D01FE">
        <w:t xml:space="preserve"> mg</w:t>
      </w:r>
      <w:r w:rsidR="0081151F" w:rsidRPr="34A993A7">
        <w:t xml:space="preserve">; </w:t>
      </w:r>
      <w:r w:rsidR="0081151F" w:rsidRPr="00A76C49">
        <w:rPr>
          <w:i/>
        </w:rPr>
        <w:t>n</w:t>
      </w:r>
      <w:r w:rsidR="0081151F" w:rsidRPr="34A993A7">
        <w:t xml:space="preserve"> = 14) or matched placebo (</w:t>
      </w:r>
      <w:r w:rsidR="0081151F" w:rsidRPr="00A76C49">
        <w:rPr>
          <w:i/>
        </w:rPr>
        <w:t>n</w:t>
      </w:r>
      <w:r w:rsidR="0081151F" w:rsidRPr="34A993A7">
        <w:t xml:space="preserve"> = 17). The outcome measures were the Cocaine Craving Questionnaire</w:t>
      </w:r>
      <w:r w:rsidR="004901F1">
        <w:t xml:space="preserve"> </w:t>
      </w:r>
      <w:r w:rsidR="0081151F" w:rsidRPr="34A993A7">
        <w:t>–</w:t>
      </w:r>
      <w:r w:rsidR="004901F1">
        <w:t xml:space="preserve"> </w:t>
      </w:r>
      <w:r w:rsidR="0081151F" w:rsidRPr="34A993A7">
        <w:t>Brief (CCQ-Brief</w:t>
      </w:r>
      <w:r w:rsidR="00E05384">
        <w:t>; primary outcome</w:t>
      </w:r>
      <w:r w:rsidR="0081151F" w:rsidRPr="34A993A7">
        <w:t>), Minnesota Cocaine Craving Scale (MCCS</w:t>
      </w:r>
      <w:r w:rsidR="00E05384">
        <w:t>; primary outcome</w:t>
      </w:r>
      <w:r w:rsidR="0081151F" w:rsidRPr="34A993A7">
        <w:t>), Alcohol, Smoking, and Substance Involvement Screening Test (ASSIST), Beck Depression Inventory (BDI), Beck Anxiety Inventory (BAI), and Visual Analog Sleep Scales (VAS). Assessments were conducted at multiple time-points: baseline, during treatment (</w:t>
      </w:r>
      <w:r w:rsidR="00F35ECA">
        <w:t>day 1 to day 10)</w:t>
      </w:r>
      <w:r w:rsidR="0081151F" w:rsidRPr="34A993A7">
        <w:t>, and post-treatment</w:t>
      </w:r>
      <w:r w:rsidR="00A76C49">
        <w:t xml:space="preserve"> (day 10)</w:t>
      </w:r>
      <w:r w:rsidR="0081151F" w:rsidRPr="34A993A7">
        <w:t xml:space="preserve">. Clinical treatment response was not defined in the study. </w:t>
      </w:r>
      <w:r w:rsidR="00E97298" w:rsidRPr="004742EC">
        <w:rPr>
          <w:color w:val="000000" w:themeColor="text1"/>
        </w:rPr>
        <w:t>The study employed a</w:t>
      </w:r>
      <w:r w:rsidR="0023544A">
        <w:rPr>
          <w:color w:val="000000" w:themeColor="text1"/>
        </w:rPr>
        <w:t xml:space="preserve"> modified</w:t>
      </w:r>
      <w:r w:rsidR="00E97298" w:rsidRPr="004742EC">
        <w:rPr>
          <w:color w:val="000000" w:themeColor="text1"/>
        </w:rPr>
        <w:t xml:space="preserve"> intention-to-treat </w:t>
      </w:r>
      <w:r w:rsidR="00072E0E">
        <w:rPr>
          <w:color w:val="000000" w:themeColor="text1"/>
        </w:rPr>
        <w:t>analysis</w:t>
      </w:r>
      <w:r w:rsidR="00E97298" w:rsidRPr="004742EC">
        <w:rPr>
          <w:color w:val="000000" w:themeColor="text1"/>
        </w:rPr>
        <w:t xml:space="preserve"> (defined as all participants with at least one post-baseline craving assessment).</w:t>
      </w:r>
      <w:r w:rsidR="00E97298">
        <w:rPr>
          <w:color w:val="000000" w:themeColor="text1"/>
        </w:rPr>
        <w:t xml:space="preserve"> </w:t>
      </w:r>
      <w:r w:rsidR="008864EB" w:rsidRPr="008864EB">
        <w:t xml:space="preserve">Cocaine craving </w:t>
      </w:r>
      <w:r w:rsidR="005670B2">
        <w:t xml:space="preserve">significantly </w:t>
      </w:r>
      <w:r w:rsidR="008864EB" w:rsidRPr="008864EB">
        <w:t xml:space="preserve">decreased over </w:t>
      </w:r>
      <w:r w:rsidR="007D526A">
        <w:t>the 10-day trial</w:t>
      </w:r>
      <w:r w:rsidR="008864EB" w:rsidRPr="008864EB">
        <w:t xml:space="preserve"> (CCQ-Brief: </w:t>
      </w:r>
      <w:r w:rsidR="008864EB" w:rsidRPr="00F62917">
        <w:rPr>
          <w:i/>
          <w:iCs/>
        </w:rPr>
        <w:t>p</w:t>
      </w:r>
      <w:r w:rsidR="008864EB" w:rsidRPr="008864EB">
        <w:t xml:space="preserve"> &lt; 0.001; MCCS: </w:t>
      </w:r>
      <w:r w:rsidR="008864EB" w:rsidRPr="00F62917">
        <w:rPr>
          <w:i/>
          <w:iCs/>
        </w:rPr>
        <w:t>p</w:t>
      </w:r>
      <w:r w:rsidR="008864EB" w:rsidRPr="008864EB">
        <w:t xml:space="preserve"> &lt; 0.001). However, no between-group difference in craving was observed (CCQ-Brief: </w:t>
      </w:r>
      <w:r w:rsidR="008864EB" w:rsidRPr="00F62917">
        <w:rPr>
          <w:i/>
          <w:iCs/>
        </w:rPr>
        <w:t>p</w:t>
      </w:r>
      <w:r w:rsidR="008864EB" w:rsidRPr="008864EB">
        <w:t xml:space="preserve"> = 0.116; MCCS: </w:t>
      </w:r>
      <w:r w:rsidR="008864EB" w:rsidRPr="00F62917">
        <w:rPr>
          <w:i/>
          <w:iCs/>
        </w:rPr>
        <w:t>p</w:t>
      </w:r>
      <w:r w:rsidR="008864EB" w:rsidRPr="008864EB">
        <w:t xml:space="preserve"> = 0.130), and craving did not significantly differ for the CBD and placebo groups over time (CCQ-Brief: </w:t>
      </w:r>
      <w:r w:rsidR="008864EB" w:rsidRPr="00F62917">
        <w:rPr>
          <w:i/>
          <w:iCs/>
        </w:rPr>
        <w:t>p</w:t>
      </w:r>
      <w:r w:rsidR="008864EB" w:rsidRPr="008864EB">
        <w:t xml:space="preserve"> = 0.897; MCCS: </w:t>
      </w:r>
      <w:r w:rsidR="008864EB" w:rsidRPr="00F62917">
        <w:rPr>
          <w:i/>
          <w:iCs/>
        </w:rPr>
        <w:t>p</w:t>
      </w:r>
      <w:r w:rsidR="008864EB" w:rsidRPr="008864EB">
        <w:t xml:space="preserve"> = 0.113).</w:t>
      </w:r>
      <w:r w:rsidR="00C1243E">
        <w:t xml:space="preserve"> </w:t>
      </w:r>
      <w:r w:rsidR="0238605F" w:rsidRPr="00AA3724">
        <w:rPr>
          <w:color w:val="000000" w:themeColor="text1"/>
        </w:rPr>
        <w:t>This</w:t>
      </w:r>
      <w:r w:rsidR="004F769F" w:rsidRPr="00AA3724">
        <w:rPr>
          <w:color w:val="000000" w:themeColor="text1"/>
        </w:rPr>
        <w:t xml:space="preserve"> study was judged to have a high risk of bias</w:t>
      </w:r>
      <w:r w:rsidR="00CC1F7F" w:rsidRPr="00AA3724">
        <w:rPr>
          <w:color w:val="000000" w:themeColor="text1"/>
        </w:rPr>
        <w:t xml:space="preserve">. </w:t>
      </w:r>
      <w:r w:rsidR="005E15E3" w:rsidRPr="005E15E3">
        <w:rPr>
          <w:color w:val="000000" w:themeColor="text1"/>
        </w:rPr>
        <w:t>No information on the method of randomisation was available.</w:t>
      </w:r>
      <w:r w:rsidR="005E15E3" w:rsidRPr="005E15E3" w:rsidDel="004742EC">
        <w:rPr>
          <w:color w:val="000000" w:themeColor="text1"/>
        </w:rPr>
        <w:t xml:space="preserve"> </w:t>
      </w:r>
      <w:r w:rsidR="005E15E3">
        <w:rPr>
          <w:color w:val="000000" w:themeColor="text1"/>
        </w:rPr>
        <w:t xml:space="preserve">Additionally, </w:t>
      </w:r>
      <w:r w:rsidR="00092D99">
        <w:rPr>
          <w:color w:val="000000" w:themeColor="text1"/>
        </w:rPr>
        <w:t xml:space="preserve">six participants </w:t>
      </w:r>
      <w:r w:rsidR="008925AF">
        <w:rPr>
          <w:color w:val="000000" w:themeColor="text1"/>
        </w:rPr>
        <w:t>(</w:t>
      </w:r>
      <w:r w:rsidR="008925AF" w:rsidRPr="00F62917">
        <w:rPr>
          <w:i/>
          <w:iCs/>
          <w:color w:val="000000" w:themeColor="text1"/>
        </w:rPr>
        <w:t>n</w:t>
      </w:r>
      <w:r w:rsidR="008925AF">
        <w:rPr>
          <w:color w:val="000000" w:themeColor="text1"/>
        </w:rPr>
        <w:t xml:space="preserve"> = 6/31; </w:t>
      </w:r>
      <w:r w:rsidR="00B678CE">
        <w:rPr>
          <w:color w:val="000000" w:themeColor="text1"/>
        </w:rPr>
        <w:t xml:space="preserve">19.3%) </w:t>
      </w:r>
      <w:r w:rsidR="00092D99">
        <w:rPr>
          <w:color w:val="000000" w:themeColor="text1"/>
        </w:rPr>
        <w:t xml:space="preserve">dropped out of the study and left the </w:t>
      </w:r>
      <w:r w:rsidR="00092D99">
        <w:t>specialis</w:t>
      </w:r>
      <w:r w:rsidR="00092D99" w:rsidRPr="34A993A7">
        <w:t>ed therapeutic community unit</w:t>
      </w:r>
      <w:r w:rsidR="00092D99">
        <w:t>:</w:t>
      </w:r>
      <w:r w:rsidR="00092D99">
        <w:rPr>
          <w:color w:val="000000" w:themeColor="text1"/>
        </w:rPr>
        <w:t xml:space="preserve"> </w:t>
      </w:r>
      <w:r w:rsidR="001F72F6" w:rsidRPr="001F72F6">
        <w:rPr>
          <w:color w:val="000000" w:themeColor="text1"/>
        </w:rPr>
        <w:t>21%</w:t>
      </w:r>
      <w:r w:rsidR="00FA5E45">
        <w:rPr>
          <w:color w:val="000000" w:themeColor="text1"/>
        </w:rPr>
        <w:t xml:space="preserve"> (</w:t>
      </w:r>
      <w:r w:rsidR="00FA5E45" w:rsidRPr="00F62917">
        <w:rPr>
          <w:i/>
          <w:iCs/>
          <w:color w:val="000000" w:themeColor="text1"/>
        </w:rPr>
        <w:t>n</w:t>
      </w:r>
      <w:r w:rsidR="00FA5E45">
        <w:rPr>
          <w:color w:val="000000" w:themeColor="text1"/>
        </w:rPr>
        <w:t xml:space="preserve"> = 3/</w:t>
      </w:r>
      <w:r w:rsidR="006F712F">
        <w:rPr>
          <w:color w:val="000000" w:themeColor="text1"/>
        </w:rPr>
        <w:t>14</w:t>
      </w:r>
      <w:r w:rsidR="001F72F6" w:rsidRPr="001F72F6">
        <w:rPr>
          <w:color w:val="000000" w:themeColor="text1"/>
        </w:rPr>
        <w:t xml:space="preserve">) </w:t>
      </w:r>
      <w:r w:rsidR="00CA71FB">
        <w:rPr>
          <w:color w:val="000000" w:themeColor="text1"/>
        </w:rPr>
        <w:t xml:space="preserve">of </w:t>
      </w:r>
      <w:r w:rsidR="001F72F6" w:rsidRPr="001F72F6">
        <w:rPr>
          <w:color w:val="000000" w:themeColor="text1"/>
        </w:rPr>
        <w:t xml:space="preserve">participants in the </w:t>
      </w:r>
      <w:r w:rsidR="00AF1A0A">
        <w:rPr>
          <w:color w:val="000000" w:themeColor="text1"/>
        </w:rPr>
        <w:t>CBD</w:t>
      </w:r>
      <w:r w:rsidR="001F72F6" w:rsidRPr="001F72F6">
        <w:rPr>
          <w:color w:val="000000" w:themeColor="text1"/>
        </w:rPr>
        <w:t xml:space="preserve"> group</w:t>
      </w:r>
      <w:r w:rsidR="00386245">
        <w:rPr>
          <w:color w:val="000000" w:themeColor="text1"/>
        </w:rPr>
        <w:t>,</w:t>
      </w:r>
      <w:r w:rsidR="001F72F6" w:rsidRPr="001F72F6">
        <w:rPr>
          <w:color w:val="000000" w:themeColor="text1"/>
        </w:rPr>
        <w:t xml:space="preserve"> and 18%</w:t>
      </w:r>
      <w:r w:rsidR="006F712F">
        <w:rPr>
          <w:color w:val="000000" w:themeColor="text1"/>
        </w:rPr>
        <w:t xml:space="preserve"> (</w:t>
      </w:r>
      <w:r w:rsidR="006F712F" w:rsidRPr="00F62917">
        <w:rPr>
          <w:i/>
          <w:iCs/>
          <w:color w:val="000000" w:themeColor="text1"/>
        </w:rPr>
        <w:t>n</w:t>
      </w:r>
      <w:r w:rsidR="006F712F">
        <w:rPr>
          <w:color w:val="000000" w:themeColor="text1"/>
        </w:rPr>
        <w:t xml:space="preserve"> = 3/17</w:t>
      </w:r>
      <w:r w:rsidR="001F72F6" w:rsidRPr="001F72F6">
        <w:rPr>
          <w:color w:val="000000" w:themeColor="text1"/>
        </w:rPr>
        <w:t>)</w:t>
      </w:r>
      <w:r w:rsidR="00434B12">
        <w:rPr>
          <w:color w:val="000000" w:themeColor="text1"/>
        </w:rPr>
        <w:t xml:space="preserve"> </w:t>
      </w:r>
      <w:r w:rsidR="00CA71FB">
        <w:rPr>
          <w:color w:val="000000" w:themeColor="text1"/>
        </w:rPr>
        <w:t xml:space="preserve">of </w:t>
      </w:r>
      <w:r w:rsidR="00434B12">
        <w:rPr>
          <w:color w:val="000000" w:themeColor="text1"/>
        </w:rPr>
        <w:t>participants</w:t>
      </w:r>
      <w:r w:rsidR="001F72F6" w:rsidRPr="001F72F6">
        <w:rPr>
          <w:color w:val="000000" w:themeColor="text1"/>
        </w:rPr>
        <w:t xml:space="preserve"> in the </w:t>
      </w:r>
      <w:r w:rsidR="004742EC">
        <w:rPr>
          <w:color w:val="000000" w:themeColor="text1"/>
        </w:rPr>
        <w:t xml:space="preserve">placebo </w:t>
      </w:r>
      <w:r w:rsidR="001F72F6" w:rsidRPr="001F72F6">
        <w:rPr>
          <w:color w:val="000000" w:themeColor="text1"/>
        </w:rPr>
        <w:t>group.</w:t>
      </w:r>
      <w:r w:rsidRPr="00AA3724">
        <w:rPr>
          <w:color w:val="000000" w:themeColor="text1"/>
        </w:rPr>
        <w:t xml:space="preserve"> </w:t>
      </w:r>
      <w:r w:rsidR="005E15E3">
        <w:rPr>
          <w:color w:val="000000" w:themeColor="text1"/>
        </w:rPr>
        <w:t>Finally</w:t>
      </w:r>
      <w:r w:rsidR="00CC1F7F" w:rsidRPr="00A76C49">
        <w:t xml:space="preserve">, </w:t>
      </w:r>
      <w:r w:rsidR="00434B12">
        <w:t>the</w:t>
      </w:r>
      <w:r w:rsidR="003918D2">
        <w:t xml:space="preserve"> clinical</w:t>
      </w:r>
      <w:r w:rsidR="00434B12">
        <w:t xml:space="preserve"> </w:t>
      </w:r>
      <w:r w:rsidR="001F72F6">
        <w:t xml:space="preserve">trial </w:t>
      </w:r>
      <w:r w:rsidR="00DD0844">
        <w:t xml:space="preserve">record </w:t>
      </w:r>
      <w:r w:rsidR="001F72F6">
        <w:t xml:space="preserve">and </w:t>
      </w:r>
      <w:r w:rsidR="00CC1F7F" w:rsidRPr="00A76C49">
        <w:t xml:space="preserve">a pre-specified analysis plan </w:t>
      </w:r>
      <w:r w:rsidR="00087F2D">
        <w:t>were</w:t>
      </w:r>
      <w:r w:rsidR="00CC1F7F" w:rsidRPr="00A76C49">
        <w:t xml:space="preserve"> not available; therefore, the planned outcome measures and statistical</w:t>
      </w:r>
      <w:r w:rsidR="00CC1F7F">
        <w:t xml:space="preserve"> analyses could not be compared with those reported in the published article.</w:t>
      </w:r>
    </w:p>
    <w:p w14:paraId="3A87798F" w14:textId="4E227201" w:rsidR="003E1DB1" w:rsidRPr="00C57542" w:rsidRDefault="003E1DB1" w:rsidP="0033578C">
      <w:pPr>
        <w:jc w:val="both"/>
      </w:pPr>
      <w:r w:rsidRPr="0AD0A756">
        <w:t>Mongeau-Pérusse and colleagues (2021</w:t>
      </w:r>
      <w:r w:rsidR="00ED72C1">
        <w:t>;</w:t>
      </w:r>
      <w:r w:rsidR="005C687D" w:rsidRPr="0AD0A756">
        <w:t xml:space="preserve"> </w:t>
      </w:r>
      <w:r w:rsidR="00954B45" w:rsidRPr="00F62917">
        <w:rPr>
          <w:i/>
          <w:iCs/>
        </w:rPr>
        <w:t>n</w:t>
      </w:r>
      <w:r w:rsidR="00954B45" w:rsidRPr="00954B45">
        <w:t xml:space="preserve"> = 78) recruited participants with a diagnosis of cocaine use disorder (DSM-5 criteria) from a hospital research centre</w:t>
      </w:r>
      <w:r w:rsidR="00D34D98">
        <w:t>, clinical programs,</w:t>
      </w:r>
      <w:r w:rsidR="002E36BF">
        <w:t xml:space="preserve"> and the community (via newspaper</w:t>
      </w:r>
      <w:r w:rsidR="00D34D98">
        <w:t>,</w:t>
      </w:r>
      <w:r w:rsidR="00954B45" w:rsidRPr="00954B45">
        <w:t xml:space="preserve"> online advertising</w:t>
      </w:r>
      <w:r w:rsidR="00D34D98">
        <w:t>, and word of mouth</w:t>
      </w:r>
      <w:r w:rsidR="002E36BF">
        <w:t>)</w:t>
      </w:r>
      <w:r w:rsidR="00954B45" w:rsidRPr="00954B45">
        <w:t>.</w:t>
      </w:r>
      <w:r w:rsidR="1E4B8B54">
        <w:t xml:space="preserve"> </w:t>
      </w:r>
      <w:r w:rsidR="00EF35CB" w:rsidRPr="00EF35CB">
        <w:t>All participants were offered psychotherapy. During Phase I (10</w:t>
      </w:r>
      <w:r w:rsidR="00C5603B">
        <w:t>-day inpatient detoxification</w:t>
      </w:r>
      <w:r w:rsidR="00EF35CB" w:rsidRPr="00EF35CB">
        <w:t>), nurse-administered medication was provided every day with group psychoeducation sessions and standard medical care. During Phase II (12</w:t>
      </w:r>
      <w:r w:rsidR="00C0242C">
        <w:t>-</w:t>
      </w:r>
      <w:r w:rsidR="00EF35CB" w:rsidRPr="00EF35CB">
        <w:t>week</w:t>
      </w:r>
      <w:r w:rsidR="00C0242C">
        <w:t xml:space="preserve"> outpatient</w:t>
      </w:r>
      <w:r w:rsidR="002B6A4D">
        <w:t xml:space="preserve"> follow-up</w:t>
      </w:r>
      <w:r w:rsidR="00EF35CB" w:rsidRPr="00EF35CB">
        <w:t>), self-administered medication was provided every week with group relapse prevention sessions and standard medical follow-up.</w:t>
      </w:r>
      <w:r w:rsidR="00C5603B">
        <w:t xml:space="preserve"> </w:t>
      </w:r>
      <w:r w:rsidR="00954B45" w:rsidRPr="00954B45">
        <w:t xml:space="preserve">Participants were </w:t>
      </w:r>
      <w:r w:rsidR="119A3F0C">
        <w:t>randomised</w:t>
      </w:r>
      <w:r w:rsidR="00954B45" w:rsidRPr="00954B45">
        <w:t xml:space="preserve"> to receive </w:t>
      </w:r>
      <w:r w:rsidR="00A76C49">
        <w:t>an or</w:t>
      </w:r>
      <w:r w:rsidR="00CC1F7F">
        <w:t xml:space="preserve">al </w:t>
      </w:r>
      <w:r w:rsidR="00F61774">
        <w:t xml:space="preserve">solution </w:t>
      </w:r>
      <w:r w:rsidR="00CC1F7F">
        <w:t>(</w:t>
      </w:r>
      <w:r w:rsidR="00A62F95">
        <w:t xml:space="preserve">once per </w:t>
      </w:r>
      <w:r w:rsidR="005661FD">
        <w:t>day</w:t>
      </w:r>
      <w:r w:rsidR="00CC1F7F">
        <w:t xml:space="preserve"> for </w:t>
      </w:r>
      <w:r w:rsidR="00F61774">
        <w:t>92 days</w:t>
      </w:r>
      <w:r w:rsidR="00CC1F7F">
        <w:t xml:space="preserve">) of </w:t>
      </w:r>
      <w:r w:rsidR="00954B45" w:rsidRPr="00954B45">
        <w:t>eith</w:t>
      </w:r>
      <w:r w:rsidR="00CC1F7F">
        <w:t xml:space="preserve">er </w:t>
      </w:r>
      <w:r w:rsidR="00DF7E51">
        <w:t xml:space="preserve">800 mg </w:t>
      </w:r>
      <w:r w:rsidR="00CC1F7F">
        <w:t>CBD (</w:t>
      </w:r>
      <w:r w:rsidR="00954B45" w:rsidRPr="00CC1F7F">
        <w:rPr>
          <w:i/>
        </w:rPr>
        <w:t>n</w:t>
      </w:r>
      <w:r w:rsidR="00954B45" w:rsidRPr="00954B45">
        <w:t xml:space="preserve"> = 40) or matched placebo (</w:t>
      </w:r>
      <w:r w:rsidR="00954B45" w:rsidRPr="00CC1F7F">
        <w:rPr>
          <w:i/>
        </w:rPr>
        <w:t>n</w:t>
      </w:r>
      <w:r w:rsidR="00954B45" w:rsidRPr="00954B45">
        <w:t xml:space="preserve"> = 38).</w:t>
      </w:r>
      <w:r w:rsidR="00CC1F7F">
        <w:t xml:space="preserve"> </w:t>
      </w:r>
      <w:r w:rsidR="00F61774">
        <w:t>R</w:t>
      </w:r>
      <w:r w:rsidR="007C75DC">
        <w:t xml:space="preserve">andomisation to </w:t>
      </w:r>
      <w:r w:rsidR="00F61774">
        <w:t xml:space="preserve">the </w:t>
      </w:r>
      <w:r w:rsidR="007C75DC">
        <w:t>study</w:t>
      </w:r>
      <w:r w:rsidR="00F61774">
        <w:t xml:space="preserve"> conditions</w:t>
      </w:r>
      <w:r w:rsidR="007C75DC">
        <w:t xml:space="preserve"> was stratified by</w:t>
      </w:r>
      <w:r w:rsidR="00992BBD">
        <w:t xml:space="preserve"> </w:t>
      </w:r>
      <w:r w:rsidR="007C75DC">
        <w:t>gender and baseline severity of cocaine dependence (</w:t>
      </w:r>
      <w:r w:rsidR="00D50AB0">
        <w:t xml:space="preserve">as determined </w:t>
      </w:r>
      <w:r w:rsidR="007C75DC">
        <w:t>by the Severity of Dependence Scale</w:t>
      </w:r>
      <w:r w:rsidR="00992BBD">
        <w:t>, SDS</w:t>
      </w:r>
      <w:r w:rsidR="007C75DC" w:rsidRPr="00C7482C">
        <w:t xml:space="preserve">). </w:t>
      </w:r>
      <w:r w:rsidR="00CC1F7F" w:rsidRPr="00C7482C">
        <w:t xml:space="preserve">The outcome measures were </w:t>
      </w:r>
      <w:r w:rsidR="00954B45" w:rsidRPr="00C7482C">
        <w:t xml:space="preserve">the Visual Analogue Scale for Craving (VAS-C), and </w:t>
      </w:r>
      <w:r w:rsidR="00A76C49" w:rsidRPr="00C7482C">
        <w:t xml:space="preserve">the </w:t>
      </w:r>
      <w:r w:rsidR="00954B45" w:rsidRPr="00C7482C">
        <w:t>time-to-relapse</w:t>
      </w:r>
      <w:r w:rsidR="00CC1F7F" w:rsidRPr="00C7482C">
        <w:t xml:space="preserve"> cocaine use</w:t>
      </w:r>
      <w:r w:rsidR="00954B45" w:rsidRPr="00C7482C">
        <w:t xml:space="preserve">. Assessments were conducted at multiple time-points: </w:t>
      </w:r>
      <w:r w:rsidR="6ACF279C" w:rsidRPr="00C7482C">
        <w:t xml:space="preserve">baseline, </w:t>
      </w:r>
      <w:r w:rsidR="5FE2D40C" w:rsidRPr="00C7482C">
        <w:t>every</w:t>
      </w:r>
      <w:r w:rsidR="00954B45" w:rsidRPr="00C7482C">
        <w:t xml:space="preserve"> two (2) days</w:t>
      </w:r>
      <w:r w:rsidR="00F7240F" w:rsidRPr="00C7482C">
        <w:t xml:space="preserve"> during Phase I</w:t>
      </w:r>
      <w:r w:rsidR="35168FEA" w:rsidRPr="00C7482C">
        <w:t xml:space="preserve"> (day 2, 4, 6, </w:t>
      </w:r>
      <w:r w:rsidR="00600247" w:rsidRPr="00C7482C">
        <w:t xml:space="preserve">and </w:t>
      </w:r>
      <w:r w:rsidR="35168FEA" w:rsidRPr="00C7482C">
        <w:t>8)</w:t>
      </w:r>
      <w:r w:rsidR="5FE2D40C" w:rsidRPr="00C7482C">
        <w:t>,</w:t>
      </w:r>
      <w:r w:rsidR="00954B45" w:rsidRPr="00C7482C">
        <w:t xml:space="preserve"> and every two (2) weeks </w:t>
      </w:r>
      <w:r w:rsidR="00F7240F" w:rsidRPr="00C7482C">
        <w:t xml:space="preserve">during Phase II </w:t>
      </w:r>
      <w:r w:rsidR="5B533068" w:rsidRPr="00C7482C">
        <w:t xml:space="preserve">(week 2, 4, 6, 8, 10, </w:t>
      </w:r>
      <w:r w:rsidR="00600247" w:rsidRPr="00C7482C">
        <w:t xml:space="preserve">and </w:t>
      </w:r>
      <w:r w:rsidR="5B533068" w:rsidRPr="00C7482C">
        <w:t>12)</w:t>
      </w:r>
      <w:r w:rsidR="5FE2D40C" w:rsidRPr="00C7482C">
        <w:t>.</w:t>
      </w:r>
      <w:r w:rsidR="00954B45" w:rsidRPr="00C7482C">
        <w:t xml:space="preserve"> Clinical treatment response was not defined in the </w:t>
      </w:r>
      <w:r w:rsidR="00954B45" w:rsidRPr="00E2681C">
        <w:t xml:space="preserve">study. </w:t>
      </w:r>
      <w:r w:rsidR="48B06EA2" w:rsidRPr="00E2681C">
        <w:t>At day 8</w:t>
      </w:r>
      <w:r w:rsidR="00E2681C">
        <w:t xml:space="preserve"> (Phase I end</w:t>
      </w:r>
      <w:r w:rsidR="00CD1465">
        <w:t>-</w:t>
      </w:r>
      <w:r w:rsidR="00E2681C">
        <w:t>point)</w:t>
      </w:r>
      <w:r w:rsidR="48B06EA2" w:rsidRPr="00E2681C">
        <w:t xml:space="preserve">, </w:t>
      </w:r>
      <w:r w:rsidR="00D36A5B" w:rsidRPr="00D36A5B">
        <w:t>no significant change from baseline craving scores (as measured by the VAS-C</w:t>
      </w:r>
      <w:r w:rsidR="005D6605">
        <w:t>; adjusted for gender and baseline SDS score</w:t>
      </w:r>
      <w:r w:rsidR="00D36A5B" w:rsidRPr="00D36A5B">
        <w:t>) w</w:t>
      </w:r>
      <w:r w:rsidR="00FC1E1C">
        <w:t>as</w:t>
      </w:r>
      <w:r w:rsidR="00D36A5B" w:rsidRPr="00D36A5B">
        <w:t xml:space="preserve"> observed for the CBD</w:t>
      </w:r>
      <w:r w:rsidR="00A33396">
        <w:t xml:space="preserve"> group</w:t>
      </w:r>
      <w:r w:rsidR="00D36A5B" w:rsidRPr="00D36A5B">
        <w:t xml:space="preserve"> (</w:t>
      </w:r>
      <w:r w:rsidR="00D36A5B" w:rsidRPr="00F62917">
        <w:rPr>
          <w:i/>
          <w:iCs/>
        </w:rPr>
        <w:t>n</w:t>
      </w:r>
      <w:r w:rsidR="00D36A5B" w:rsidRPr="00D36A5B">
        <w:t xml:space="preserve"> = 36)</w:t>
      </w:r>
      <w:r w:rsidR="00A10263">
        <w:t xml:space="preserve"> compared with the </w:t>
      </w:r>
      <w:r w:rsidR="00D36A5B" w:rsidRPr="00D36A5B">
        <w:t xml:space="preserve">placebo </w:t>
      </w:r>
      <w:r w:rsidR="00A10263">
        <w:t xml:space="preserve">group </w:t>
      </w:r>
      <w:r w:rsidR="00D36A5B" w:rsidRPr="00D36A5B">
        <w:t>(</w:t>
      </w:r>
      <w:r w:rsidR="00D36A5B" w:rsidRPr="00F62917">
        <w:rPr>
          <w:i/>
          <w:iCs/>
        </w:rPr>
        <w:t>n</w:t>
      </w:r>
      <w:r w:rsidR="00D36A5B" w:rsidRPr="00D36A5B">
        <w:t xml:space="preserve"> = 28) following exposure to the drug-related cues (</w:t>
      </w:r>
      <w:r w:rsidR="00D36A5B" w:rsidRPr="00F62917">
        <w:rPr>
          <w:i/>
          <w:iCs/>
        </w:rPr>
        <w:t>p</w:t>
      </w:r>
      <w:r w:rsidR="00D36A5B" w:rsidRPr="00D36A5B">
        <w:t xml:space="preserve"> = 0.069), stress-related cues (</w:t>
      </w:r>
      <w:r w:rsidR="00D36A5B" w:rsidRPr="00F62917">
        <w:rPr>
          <w:i/>
          <w:iCs/>
        </w:rPr>
        <w:t>p</w:t>
      </w:r>
      <w:r w:rsidR="00D36A5B" w:rsidRPr="00D36A5B">
        <w:t xml:space="preserve"> = 0.887), or neutral cues (</w:t>
      </w:r>
      <w:r w:rsidR="00D36A5B" w:rsidRPr="00F62917">
        <w:rPr>
          <w:i/>
          <w:iCs/>
        </w:rPr>
        <w:t>p</w:t>
      </w:r>
      <w:r w:rsidR="00D36A5B" w:rsidRPr="00D36A5B">
        <w:t xml:space="preserve"> = 0.222)</w:t>
      </w:r>
      <w:r w:rsidR="005008D2">
        <w:t>, during the guided</w:t>
      </w:r>
      <w:r w:rsidR="004F516A">
        <w:t>-</w:t>
      </w:r>
      <w:r w:rsidR="005008D2">
        <w:t>imagery session</w:t>
      </w:r>
      <w:r w:rsidR="00D36A5B" w:rsidRPr="00944BCE">
        <w:t>.</w:t>
      </w:r>
      <w:r w:rsidR="00397DF6" w:rsidRPr="00944BCE">
        <w:t xml:space="preserve"> </w:t>
      </w:r>
      <w:r w:rsidR="00CE619F" w:rsidRPr="00944BCE">
        <w:t xml:space="preserve">The median time-to-relapse cocaine use </w:t>
      </w:r>
      <w:r w:rsidR="002C3514">
        <w:t>(</w:t>
      </w:r>
      <w:r w:rsidR="00EC55DA">
        <w:t xml:space="preserve">during the </w:t>
      </w:r>
      <w:r w:rsidR="002C3514">
        <w:t>Phase II</w:t>
      </w:r>
      <w:r w:rsidR="00CE6CDD">
        <w:t xml:space="preserve"> outpatient follow-up</w:t>
      </w:r>
      <w:r w:rsidR="002C3514">
        <w:t xml:space="preserve">) </w:t>
      </w:r>
      <w:r w:rsidR="00CE619F" w:rsidRPr="00944BCE">
        <w:t xml:space="preserve">was four (4) days for the CBD group and seven (7) days for the placebo group. </w:t>
      </w:r>
      <w:r w:rsidR="00CB08D8" w:rsidRPr="00737DAC">
        <w:t xml:space="preserve">Participants who were lost to follow-up were considered </w:t>
      </w:r>
      <w:r w:rsidR="0046677D">
        <w:t>to have</w:t>
      </w:r>
      <w:r w:rsidR="00CB08D8" w:rsidRPr="00737DAC">
        <w:t xml:space="preserve"> relapsed</w:t>
      </w:r>
      <w:r w:rsidR="00CB08D8">
        <w:t xml:space="preserve">. </w:t>
      </w:r>
      <w:r w:rsidR="5C83654C" w:rsidRPr="00944BCE">
        <w:t>By week 12</w:t>
      </w:r>
      <w:r w:rsidR="00E2681C" w:rsidRPr="00F62917">
        <w:t xml:space="preserve"> (Phase II end</w:t>
      </w:r>
      <w:r w:rsidR="00EB0E27">
        <w:t>-</w:t>
      </w:r>
      <w:r w:rsidR="00E2681C" w:rsidRPr="00F62917">
        <w:t>point)</w:t>
      </w:r>
      <w:r w:rsidR="5C83654C" w:rsidRPr="00944BCE">
        <w:t>, a</w:t>
      </w:r>
      <w:r w:rsidR="5FE2D40C" w:rsidRPr="00944BCE">
        <w:t>ll</w:t>
      </w:r>
      <w:r w:rsidR="00CC1F7F" w:rsidRPr="00944BCE">
        <w:t xml:space="preserve"> but three </w:t>
      </w:r>
      <w:r w:rsidR="00CC1F7F" w:rsidRPr="00944BCE">
        <w:lastRenderedPageBreak/>
        <w:t xml:space="preserve">participants had relapsed </w:t>
      </w:r>
      <w:r w:rsidR="00A76C49" w:rsidRPr="00944BCE">
        <w:t xml:space="preserve">to </w:t>
      </w:r>
      <w:r w:rsidR="00954B45" w:rsidRPr="00944BCE">
        <w:t>cocaine</w:t>
      </w:r>
      <w:r w:rsidR="00CC1F7F" w:rsidRPr="00944BCE">
        <w:t xml:space="preserve"> use</w:t>
      </w:r>
      <w:r w:rsidR="00CC496B" w:rsidRPr="00F62917">
        <w:t xml:space="preserve"> (CBD</w:t>
      </w:r>
      <w:r w:rsidR="00556914" w:rsidRPr="00F62917">
        <w:t xml:space="preserve"> group</w:t>
      </w:r>
      <w:r w:rsidR="00CC496B" w:rsidRPr="00F62917">
        <w:t xml:space="preserve">: </w:t>
      </w:r>
      <w:r w:rsidR="00CC496B" w:rsidRPr="00F62917">
        <w:rPr>
          <w:i/>
        </w:rPr>
        <w:t>n</w:t>
      </w:r>
      <w:r w:rsidR="00CC496B" w:rsidRPr="00F62917">
        <w:t xml:space="preserve"> = </w:t>
      </w:r>
      <w:r w:rsidR="005D466C">
        <w:t>33</w:t>
      </w:r>
      <w:r w:rsidR="00BE56F6" w:rsidRPr="00F62917">
        <w:t>/34</w:t>
      </w:r>
      <w:r w:rsidR="00CC496B" w:rsidRPr="00F62917">
        <w:t>; placebo</w:t>
      </w:r>
      <w:r w:rsidR="00556914" w:rsidRPr="00F62917">
        <w:t xml:space="preserve"> group</w:t>
      </w:r>
      <w:r w:rsidR="00CC496B" w:rsidRPr="00F62917">
        <w:t xml:space="preserve">: </w:t>
      </w:r>
      <w:r w:rsidR="00CC496B" w:rsidRPr="00F62917">
        <w:rPr>
          <w:i/>
        </w:rPr>
        <w:t>n</w:t>
      </w:r>
      <w:r w:rsidR="00CC496B" w:rsidRPr="00F62917">
        <w:t xml:space="preserve"> = 2</w:t>
      </w:r>
      <w:r w:rsidR="005D466C">
        <w:t>5</w:t>
      </w:r>
      <w:r w:rsidR="00BE56F6" w:rsidRPr="00F62917">
        <w:t>/27</w:t>
      </w:r>
      <w:r w:rsidR="00CC496B" w:rsidRPr="00F62917">
        <w:t>)</w:t>
      </w:r>
      <w:r w:rsidR="00850A29" w:rsidRPr="00F62917">
        <w:t>.</w:t>
      </w:r>
      <w:r w:rsidR="008E6FEF">
        <w:t xml:space="preserve"> </w:t>
      </w:r>
      <w:r w:rsidR="002D1888">
        <w:t>T</w:t>
      </w:r>
      <w:r w:rsidR="00A76C49" w:rsidRPr="00944BCE">
        <w:t>he risk of</w:t>
      </w:r>
      <w:r w:rsidR="00CC1F7F" w:rsidRPr="00944BCE">
        <w:t xml:space="preserve"> cocaine relapse was</w:t>
      </w:r>
      <w:r w:rsidR="00A76C49" w:rsidRPr="00944BCE">
        <w:t xml:space="preserve"> similar for the </w:t>
      </w:r>
      <w:r w:rsidR="00954B45" w:rsidRPr="00944BCE">
        <w:t xml:space="preserve">CBD and placebo </w:t>
      </w:r>
      <w:r w:rsidR="00CC1F7F" w:rsidRPr="00944BCE">
        <w:t xml:space="preserve">groups </w:t>
      </w:r>
      <w:r w:rsidR="00954B45" w:rsidRPr="00944BCE">
        <w:t>(</w:t>
      </w:r>
      <w:r w:rsidR="00954B45" w:rsidRPr="00944BCE">
        <w:rPr>
          <w:i/>
        </w:rPr>
        <w:t>p</w:t>
      </w:r>
      <w:r w:rsidR="00954B45" w:rsidRPr="00944BCE">
        <w:t xml:space="preserve"> = 0.51). </w:t>
      </w:r>
      <w:r w:rsidRPr="00944BCE">
        <w:t xml:space="preserve">This study </w:t>
      </w:r>
      <w:r w:rsidR="4FBEA219" w:rsidRPr="00944BCE">
        <w:t>was judged to have</w:t>
      </w:r>
      <w:r w:rsidRPr="00944BCE">
        <w:t xml:space="preserve"> </w:t>
      </w:r>
      <w:r w:rsidR="00585B04" w:rsidRPr="00944BCE">
        <w:t>a high risk of bias</w:t>
      </w:r>
      <w:r w:rsidRPr="00944BCE">
        <w:t>.</w:t>
      </w:r>
      <w:r w:rsidR="00F7240F" w:rsidRPr="00944BCE">
        <w:t xml:space="preserve"> Th</w:t>
      </w:r>
      <w:r w:rsidR="00A31B7B">
        <w:t>e</w:t>
      </w:r>
      <w:r w:rsidR="00F7240F" w:rsidRPr="00944BCE">
        <w:t xml:space="preserve"> study </w:t>
      </w:r>
      <w:r w:rsidR="00861B25" w:rsidRPr="00944BCE">
        <w:t>employ</w:t>
      </w:r>
      <w:r w:rsidR="00F7240F" w:rsidRPr="00944BCE">
        <w:t xml:space="preserve">ed per-protocol analysis </w:t>
      </w:r>
      <w:r w:rsidR="00585B04" w:rsidRPr="00944BCE">
        <w:t>(</w:t>
      </w:r>
      <w:r w:rsidR="00F7240F" w:rsidRPr="00944BCE">
        <w:t>rather than intention-to-treat analysis</w:t>
      </w:r>
      <w:r w:rsidR="00585B04" w:rsidRPr="00944BCE">
        <w:t xml:space="preserve">); </w:t>
      </w:r>
      <w:r w:rsidR="00D95B7D" w:rsidRPr="00944BCE">
        <w:t xml:space="preserve">excluding </w:t>
      </w:r>
      <w:r w:rsidR="00585B04" w:rsidRPr="00944BCE">
        <w:t>14 participants (</w:t>
      </w:r>
      <w:r w:rsidR="00B959C9" w:rsidRPr="00F62917">
        <w:rPr>
          <w:i/>
          <w:iCs/>
        </w:rPr>
        <w:t xml:space="preserve">n </w:t>
      </w:r>
      <w:r w:rsidR="00B959C9">
        <w:t xml:space="preserve">= 14/78; </w:t>
      </w:r>
      <w:r w:rsidR="00DD71AF" w:rsidRPr="00944BCE">
        <w:t>1</w:t>
      </w:r>
      <w:r w:rsidR="00B959C9">
        <w:t>7.9</w:t>
      </w:r>
      <w:r w:rsidR="00585B04" w:rsidRPr="00944BCE">
        <w:t xml:space="preserve">%) from the </w:t>
      </w:r>
      <w:r w:rsidR="002F6CBA" w:rsidRPr="00F62917">
        <w:t>Phase I</w:t>
      </w:r>
      <w:r w:rsidR="00585B04" w:rsidRPr="00944BCE">
        <w:t xml:space="preserve"> </w:t>
      </w:r>
      <w:r w:rsidR="007E75BF">
        <w:t xml:space="preserve">(cocaine craving) </w:t>
      </w:r>
      <w:r w:rsidR="00093E0E" w:rsidRPr="00944BCE">
        <w:t>a</w:t>
      </w:r>
      <w:r w:rsidR="00585B04" w:rsidRPr="00944BCE">
        <w:t xml:space="preserve">nalysis due to missing </w:t>
      </w:r>
      <w:r w:rsidR="00093E0E" w:rsidRPr="00944BCE">
        <w:t xml:space="preserve">outcome </w:t>
      </w:r>
      <w:r w:rsidR="00585B04" w:rsidRPr="00944BCE">
        <w:t xml:space="preserve">data: </w:t>
      </w:r>
      <w:r w:rsidR="00772261">
        <w:t xml:space="preserve">10% </w:t>
      </w:r>
      <w:r w:rsidR="00F7240F" w:rsidRPr="00944BCE">
        <w:t>(</w:t>
      </w:r>
      <w:r w:rsidR="00AF00A7" w:rsidRPr="00F62917">
        <w:rPr>
          <w:i/>
          <w:iCs/>
        </w:rPr>
        <w:t>n</w:t>
      </w:r>
      <w:r w:rsidR="00AF00A7">
        <w:t xml:space="preserve"> = 4/</w:t>
      </w:r>
      <w:r w:rsidR="00612BA5">
        <w:t>40</w:t>
      </w:r>
      <w:r w:rsidR="00F7240F" w:rsidRPr="00944BCE">
        <w:t xml:space="preserve">) </w:t>
      </w:r>
      <w:r w:rsidR="00AF00A7">
        <w:t xml:space="preserve">of </w:t>
      </w:r>
      <w:r w:rsidR="00F7240F" w:rsidRPr="00944BCE">
        <w:t>participants in the CBD group</w:t>
      </w:r>
      <w:r w:rsidR="00CF456E" w:rsidRPr="00944BCE">
        <w:t>,</w:t>
      </w:r>
      <w:r w:rsidR="00F7240F" w:rsidRPr="00944BCE">
        <w:t xml:space="preserve"> and 26%</w:t>
      </w:r>
      <w:r w:rsidR="00AF00A7">
        <w:t xml:space="preserve"> (</w:t>
      </w:r>
      <w:r w:rsidR="00AF00A7" w:rsidRPr="00F62917">
        <w:rPr>
          <w:i/>
          <w:iCs/>
        </w:rPr>
        <w:t>n</w:t>
      </w:r>
      <w:r w:rsidR="00AF00A7">
        <w:t xml:space="preserve"> = 28/38</w:t>
      </w:r>
      <w:r w:rsidR="00F7240F" w:rsidRPr="00944BCE">
        <w:t xml:space="preserve">) </w:t>
      </w:r>
      <w:r w:rsidR="007D6D9F">
        <w:t xml:space="preserve">of </w:t>
      </w:r>
      <w:r w:rsidR="00CF456E" w:rsidRPr="00944BCE">
        <w:t xml:space="preserve">participants </w:t>
      </w:r>
      <w:r w:rsidR="00F7240F" w:rsidRPr="00944BCE">
        <w:t>in the placebo group.</w:t>
      </w:r>
      <w:r w:rsidR="002F28D9">
        <w:t xml:space="preserve"> </w:t>
      </w:r>
      <w:r w:rsidR="000E0981">
        <w:t>O</w:t>
      </w:r>
      <w:r w:rsidR="00196AF8">
        <w:t>f</w:t>
      </w:r>
      <w:r w:rsidR="00A6772F">
        <w:t xml:space="preserve"> </w:t>
      </w:r>
      <w:r w:rsidR="00196AF8">
        <w:t xml:space="preserve">the randomised </w:t>
      </w:r>
      <w:r w:rsidR="00713D22">
        <w:t>participants</w:t>
      </w:r>
      <w:r w:rsidR="00BE39EB">
        <w:t>, 36%</w:t>
      </w:r>
      <w:r w:rsidR="00713D22">
        <w:t xml:space="preserve"> </w:t>
      </w:r>
      <w:r w:rsidR="00196AF8">
        <w:t>(</w:t>
      </w:r>
      <w:r w:rsidR="00196AF8" w:rsidRPr="00F62917">
        <w:rPr>
          <w:i/>
          <w:iCs/>
        </w:rPr>
        <w:t>n</w:t>
      </w:r>
      <w:r w:rsidR="00196AF8">
        <w:t xml:space="preserve"> = 28/78) </w:t>
      </w:r>
      <w:r w:rsidR="00EA133C">
        <w:t xml:space="preserve">of participants </w:t>
      </w:r>
      <w:r w:rsidR="00713D22">
        <w:t xml:space="preserve">did not </w:t>
      </w:r>
      <w:r w:rsidR="002F28D9">
        <w:t xml:space="preserve">complete </w:t>
      </w:r>
      <w:r w:rsidR="00993799">
        <w:t xml:space="preserve">Phase II of </w:t>
      </w:r>
      <w:r w:rsidR="002F28D9">
        <w:t>the study</w:t>
      </w:r>
      <w:r w:rsidR="00CD7B2E">
        <w:t xml:space="preserve"> for various reasons </w:t>
      </w:r>
      <w:r w:rsidR="00CE6473">
        <w:rPr>
          <w:szCs w:val="20"/>
        </w:rPr>
        <w:t>(i.e., treatment refusal; investigator decision; lost to follow-up; study withdrawal)</w:t>
      </w:r>
      <w:r w:rsidR="002F28D9">
        <w:t>.</w:t>
      </w:r>
      <w:r w:rsidR="00737DAC">
        <w:t xml:space="preserve"> </w:t>
      </w:r>
      <w:r w:rsidR="00E76E5A">
        <w:t xml:space="preserve">Of the participants who </w:t>
      </w:r>
      <w:r w:rsidR="00E532D3">
        <w:t xml:space="preserve">did </w:t>
      </w:r>
      <w:r w:rsidR="00E76E5A">
        <w:t>complete the study</w:t>
      </w:r>
      <w:r w:rsidR="00DD2561">
        <w:t xml:space="preserve"> (</w:t>
      </w:r>
      <w:r w:rsidR="00DD2561" w:rsidRPr="00F62917">
        <w:rPr>
          <w:i/>
          <w:iCs/>
        </w:rPr>
        <w:t>n</w:t>
      </w:r>
      <w:r w:rsidR="00DD2561">
        <w:t xml:space="preserve"> = 50)</w:t>
      </w:r>
      <w:r w:rsidR="00E76E5A">
        <w:t xml:space="preserve">, </w:t>
      </w:r>
      <w:r w:rsidR="00020569" w:rsidRPr="00020569">
        <w:t>48.1%</w:t>
      </w:r>
      <w:r w:rsidR="005D1CD5">
        <w:t xml:space="preserve"> </w:t>
      </w:r>
      <w:r w:rsidR="00E76E5A">
        <w:t>(</w:t>
      </w:r>
      <w:r w:rsidR="00E76E5A" w:rsidRPr="00F62917">
        <w:rPr>
          <w:i/>
          <w:iCs/>
        </w:rPr>
        <w:t>n</w:t>
      </w:r>
      <w:r w:rsidR="00E76E5A">
        <w:t xml:space="preserve"> = </w:t>
      </w:r>
      <w:r w:rsidR="00E76E5A" w:rsidRPr="00020569">
        <w:t>13</w:t>
      </w:r>
      <w:r w:rsidR="00E76E5A">
        <w:t>/</w:t>
      </w:r>
      <w:r w:rsidR="00E76E5A" w:rsidRPr="00020569">
        <w:t xml:space="preserve">27) </w:t>
      </w:r>
      <w:r w:rsidR="000728AB">
        <w:t>of the</w:t>
      </w:r>
      <w:r w:rsidR="00E76E5A">
        <w:t xml:space="preserve"> CBD group, and </w:t>
      </w:r>
      <w:r w:rsidR="0060054E" w:rsidRPr="00020569">
        <w:t>39.1%</w:t>
      </w:r>
      <w:r w:rsidR="0060054E">
        <w:t xml:space="preserve"> (</w:t>
      </w:r>
      <w:r w:rsidR="0060054E" w:rsidRPr="00F62917">
        <w:rPr>
          <w:i/>
          <w:iCs/>
        </w:rPr>
        <w:t>n</w:t>
      </w:r>
      <w:r w:rsidR="0060054E">
        <w:t xml:space="preserve"> = 9/23) </w:t>
      </w:r>
      <w:r w:rsidR="00825CAB">
        <w:t xml:space="preserve">of the placebo group, </w:t>
      </w:r>
      <w:r w:rsidR="00020569" w:rsidRPr="00020569">
        <w:t>correctly guessed the</w:t>
      </w:r>
      <w:r w:rsidR="00D8384B">
        <w:t>ir</w:t>
      </w:r>
      <w:r w:rsidR="00020569" w:rsidRPr="00020569">
        <w:t xml:space="preserve"> allocation</w:t>
      </w:r>
      <w:r w:rsidR="00825CAB">
        <w:t xml:space="preserve"> to study condition.</w:t>
      </w:r>
    </w:p>
    <w:p w14:paraId="4CA54583" w14:textId="10A4CE9A" w:rsidR="003E1DB1" w:rsidRDefault="003E1DB1" w:rsidP="00245013">
      <w:pPr>
        <w:pStyle w:val="Heading2"/>
      </w:pPr>
      <w:bookmarkStart w:id="247" w:name="_Toc99653059"/>
      <w:bookmarkStart w:id="248" w:name="_Toc101536670"/>
      <w:bookmarkStart w:id="249" w:name="_Toc103944899"/>
      <w:bookmarkStart w:id="250" w:name="_Toc121096110"/>
      <w:bookmarkStart w:id="251" w:name="_Toc165018218"/>
      <w:r w:rsidRPr="009B4D43">
        <w:t>Trauma</w:t>
      </w:r>
      <w:r w:rsidR="00245013">
        <w:t>- and stressor-related d</w:t>
      </w:r>
      <w:r w:rsidRPr="009B4D43">
        <w:t xml:space="preserve">isorders: </w:t>
      </w:r>
      <w:r w:rsidR="00E131BF">
        <w:t>Standalone</w:t>
      </w:r>
      <w:r w:rsidRPr="009B4D43">
        <w:t xml:space="preserve"> </w:t>
      </w:r>
      <w:r>
        <w:t xml:space="preserve">or combined </w:t>
      </w:r>
      <w:r w:rsidRPr="009B4D43">
        <w:t>interventions</w:t>
      </w:r>
      <w:bookmarkEnd w:id="247"/>
      <w:bookmarkEnd w:id="248"/>
      <w:bookmarkEnd w:id="249"/>
      <w:bookmarkEnd w:id="250"/>
      <w:bookmarkEnd w:id="251"/>
    </w:p>
    <w:p w14:paraId="377A06DF" w14:textId="1399C3BD" w:rsidR="3DF57DCF" w:rsidRDefault="63967600" w:rsidP="0033578C">
      <w:r>
        <w:t xml:space="preserve">One study examined a </w:t>
      </w:r>
      <w:r w:rsidR="00E131BF">
        <w:t>standalone</w:t>
      </w:r>
      <w:r>
        <w:t xml:space="preserve"> medicinal cannabis intervention in participants with </w:t>
      </w:r>
      <w:r w:rsidR="4BE5404F">
        <w:t>trauma- and stressor-related disorders (Bonn-Miller et al., 2021).</w:t>
      </w:r>
    </w:p>
    <w:p w14:paraId="74499A3D" w14:textId="7614A292" w:rsidR="00B86EA5" w:rsidRPr="00B86EA5" w:rsidRDefault="005E4B39" w:rsidP="0033578C">
      <w:pPr>
        <w:autoSpaceDE w:val="0"/>
        <w:autoSpaceDN w:val="0"/>
        <w:adjustRightInd w:val="0"/>
        <w:jc w:val="both"/>
      </w:pPr>
      <w:r>
        <w:t xml:space="preserve">Bonn-Miller and colleagues (2021; </w:t>
      </w:r>
      <w:r w:rsidRPr="4524DCC9">
        <w:rPr>
          <w:i/>
          <w:iCs/>
        </w:rPr>
        <w:t>n</w:t>
      </w:r>
      <w:r>
        <w:t xml:space="preserve"> = </w:t>
      </w:r>
      <w:r w:rsidR="0089014F">
        <w:t>80</w:t>
      </w:r>
      <w:r>
        <w:t>) recruited military ve</w:t>
      </w:r>
      <w:r w:rsidR="00E47222">
        <w:t>terans with a diagnosis of posttraumatic stress disorder (</w:t>
      </w:r>
      <w:r w:rsidR="005F6A9B">
        <w:t xml:space="preserve">PTSD; </w:t>
      </w:r>
      <w:r>
        <w:t xml:space="preserve">DSM-5 </w:t>
      </w:r>
      <w:r w:rsidRPr="00AA3724">
        <w:t xml:space="preserve">criteria) </w:t>
      </w:r>
      <w:r w:rsidR="00E47222" w:rsidRPr="00AA3724">
        <w:t xml:space="preserve">from </w:t>
      </w:r>
      <w:r w:rsidR="00AA3724" w:rsidRPr="00AA3724">
        <w:t>the community (via advertisements, presentations, and websites)</w:t>
      </w:r>
      <w:r w:rsidR="00E47222" w:rsidRPr="00AA3724">
        <w:t>. The</w:t>
      </w:r>
      <w:r w:rsidR="00E47222">
        <w:t xml:space="preserve"> study employed </w:t>
      </w:r>
      <w:r>
        <w:t xml:space="preserve">a two-stage crossover </w:t>
      </w:r>
      <w:r w:rsidR="00E47222">
        <w:t>design</w:t>
      </w:r>
      <w:r w:rsidRPr="4524DCC9">
        <w:rPr>
          <w:rFonts w:ascii="MinionPro-Regular" w:hAnsi="MinionPro-Regular" w:cs="MinionPro-Regular"/>
        </w:rPr>
        <w:t xml:space="preserve">. </w:t>
      </w:r>
      <w:r w:rsidR="00921013">
        <w:t xml:space="preserve">In </w:t>
      </w:r>
      <w:r w:rsidR="001A2B40">
        <w:t>S</w:t>
      </w:r>
      <w:r>
        <w:t xml:space="preserve">tage </w:t>
      </w:r>
      <w:r w:rsidR="001C27CC">
        <w:t>I</w:t>
      </w:r>
      <w:r>
        <w:t xml:space="preserve">, participants were </w:t>
      </w:r>
      <w:r w:rsidR="2CC8F793">
        <w:t>randomised</w:t>
      </w:r>
      <w:r>
        <w:t xml:space="preserve"> to one of four treatment </w:t>
      </w:r>
      <w:r w:rsidR="00DA4A51">
        <w:t>condition</w:t>
      </w:r>
      <w:r w:rsidR="00921013">
        <w:t>s</w:t>
      </w:r>
      <w:r w:rsidR="006E1EE1">
        <w:t xml:space="preserve"> (self-administration of smoked dried cannabis)</w:t>
      </w:r>
      <w:r w:rsidR="00921013">
        <w:t xml:space="preserve">: (i) high THC (12% THC </w:t>
      </w:r>
      <w:r w:rsidR="00655F68">
        <w:t>and</w:t>
      </w:r>
      <w:r w:rsidR="00921013">
        <w:t xml:space="preserve"> </w:t>
      </w:r>
      <w:r>
        <w:t>&lt;</w:t>
      </w:r>
      <w:r w:rsidR="00921013">
        <w:t xml:space="preserve"> </w:t>
      </w:r>
      <w:r>
        <w:t xml:space="preserve">0.05% CBD; </w:t>
      </w:r>
      <w:r w:rsidRPr="4524DCC9">
        <w:rPr>
          <w:i/>
          <w:iCs/>
        </w:rPr>
        <w:t>n</w:t>
      </w:r>
      <w:r w:rsidR="00921013">
        <w:t xml:space="preserve"> = 19), (ii</w:t>
      </w:r>
      <w:r>
        <w:t>) high CBD (</w:t>
      </w:r>
      <w:r w:rsidR="00655F68">
        <w:rPr>
          <w:color w:val="000000" w:themeColor="text1"/>
        </w:rPr>
        <w:t xml:space="preserve">0.5% THC and </w:t>
      </w:r>
      <w:r w:rsidRPr="4524DCC9">
        <w:rPr>
          <w:color w:val="000000" w:themeColor="text1"/>
        </w:rPr>
        <w:t xml:space="preserve">11% CBD; </w:t>
      </w:r>
      <w:r w:rsidRPr="4524DCC9">
        <w:rPr>
          <w:i/>
          <w:iCs/>
          <w:color w:val="000000" w:themeColor="text1"/>
        </w:rPr>
        <w:t>n</w:t>
      </w:r>
      <w:r w:rsidRPr="4524DCC9">
        <w:rPr>
          <w:color w:val="000000" w:themeColor="text1"/>
        </w:rPr>
        <w:t xml:space="preserve"> = 19), (</w:t>
      </w:r>
      <w:r w:rsidR="00655F68">
        <w:rPr>
          <w:color w:val="000000" w:themeColor="text1"/>
        </w:rPr>
        <w:t>iii) combined THC+CBD (7.9% THC and</w:t>
      </w:r>
      <w:r w:rsidR="00921013">
        <w:rPr>
          <w:color w:val="000000" w:themeColor="text1"/>
        </w:rPr>
        <w:t xml:space="preserve"> </w:t>
      </w:r>
      <w:r w:rsidRPr="4524DCC9">
        <w:rPr>
          <w:color w:val="000000" w:themeColor="text1"/>
        </w:rPr>
        <w:t xml:space="preserve">8.1% CBD; </w:t>
      </w:r>
      <w:r w:rsidRPr="4524DCC9">
        <w:rPr>
          <w:i/>
          <w:iCs/>
          <w:color w:val="000000" w:themeColor="text1"/>
        </w:rPr>
        <w:t>n</w:t>
      </w:r>
      <w:r w:rsidR="00921013">
        <w:rPr>
          <w:color w:val="000000" w:themeColor="text1"/>
        </w:rPr>
        <w:t xml:space="preserve"> = 18), or (iv</w:t>
      </w:r>
      <w:r w:rsidRPr="4524DCC9">
        <w:rPr>
          <w:color w:val="000000" w:themeColor="text1"/>
        </w:rPr>
        <w:t>) placebo (&lt;</w:t>
      </w:r>
      <w:r w:rsidR="00921013">
        <w:rPr>
          <w:color w:val="000000" w:themeColor="text1"/>
        </w:rPr>
        <w:t xml:space="preserve"> </w:t>
      </w:r>
      <w:r w:rsidRPr="4524DCC9">
        <w:rPr>
          <w:color w:val="000000" w:themeColor="text1"/>
        </w:rPr>
        <w:t>0.03% THC</w:t>
      </w:r>
      <w:r w:rsidR="00655F68">
        <w:rPr>
          <w:color w:val="000000" w:themeColor="text1"/>
        </w:rPr>
        <w:t xml:space="preserve"> and</w:t>
      </w:r>
      <w:r w:rsidR="00921013">
        <w:rPr>
          <w:color w:val="000000" w:themeColor="text1"/>
        </w:rPr>
        <w:t xml:space="preserve"> </w:t>
      </w:r>
      <w:r w:rsidRPr="4524DCC9">
        <w:rPr>
          <w:color w:val="000000" w:themeColor="text1"/>
        </w:rPr>
        <w:t>&lt;</w:t>
      </w:r>
      <w:r w:rsidR="00921013">
        <w:rPr>
          <w:color w:val="000000" w:themeColor="text1"/>
        </w:rPr>
        <w:t xml:space="preserve"> </w:t>
      </w:r>
      <w:r w:rsidRPr="4524DCC9">
        <w:rPr>
          <w:color w:val="000000" w:themeColor="text1"/>
        </w:rPr>
        <w:t xml:space="preserve">0.01% CBD; </w:t>
      </w:r>
      <w:r w:rsidRPr="4524DCC9">
        <w:rPr>
          <w:i/>
          <w:iCs/>
          <w:color w:val="000000" w:themeColor="text1"/>
        </w:rPr>
        <w:t>n</w:t>
      </w:r>
      <w:r w:rsidRPr="4524DCC9">
        <w:rPr>
          <w:color w:val="000000" w:themeColor="text1"/>
        </w:rPr>
        <w:t xml:space="preserve"> = 20</w:t>
      </w:r>
      <w:r>
        <w:t xml:space="preserve">). </w:t>
      </w:r>
      <w:r w:rsidR="00921013">
        <w:t xml:space="preserve">In </w:t>
      </w:r>
      <w:r w:rsidR="001A2B40">
        <w:t>S</w:t>
      </w:r>
      <w:r>
        <w:t xml:space="preserve">tage </w:t>
      </w:r>
      <w:r w:rsidR="001C27CC">
        <w:t>II</w:t>
      </w:r>
      <w:r>
        <w:t xml:space="preserve">, </w:t>
      </w:r>
      <w:r w:rsidR="005744EE">
        <w:t xml:space="preserve">the placebo condition was discontinued, and </w:t>
      </w:r>
      <w:r>
        <w:t xml:space="preserve">participants </w:t>
      </w:r>
      <w:r w:rsidR="005744EE">
        <w:t xml:space="preserve">from all four </w:t>
      </w:r>
      <w:r w:rsidR="001A2B40">
        <w:t>S</w:t>
      </w:r>
      <w:r w:rsidR="005744EE">
        <w:t xml:space="preserve">tage </w:t>
      </w:r>
      <w:r w:rsidR="001C27CC">
        <w:t>I</w:t>
      </w:r>
      <w:r w:rsidR="005744EE">
        <w:t xml:space="preserve"> groups were r</w:t>
      </w:r>
      <w:r>
        <w:t>e-randomi</w:t>
      </w:r>
      <w:r w:rsidR="00921013">
        <w:t xml:space="preserve">sed into </w:t>
      </w:r>
      <w:r w:rsidR="005744EE">
        <w:t>three conditions: (1) high THC</w:t>
      </w:r>
      <w:r w:rsidR="00921013">
        <w:t xml:space="preserve"> (</w:t>
      </w:r>
      <w:r w:rsidR="00921013" w:rsidRPr="4524DCC9">
        <w:rPr>
          <w:i/>
          <w:iCs/>
        </w:rPr>
        <w:t>n</w:t>
      </w:r>
      <w:r w:rsidR="00921013">
        <w:t xml:space="preserve"> = 29)</w:t>
      </w:r>
      <w:r w:rsidR="005744EE">
        <w:t>,</w:t>
      </w:r>
      <w:r w:rsidR="00921013">
        <w:t xml:space="preserve"> </w:t>
      </w:r>
      <w:r w:rsidR="005744EE">
        <w:t xml:space="preserve">(ii) </w:t>
      </w:r>
      <w:r w:rsidR="00921013">
        <w:t>h</w:t>
      </w:r>
      <w:r w:rsidR="005744EE">
        <w:t>igh CBD</w:t>
      </w:r>
      <w:r>
        <w:t xml:space="preserve"> </w:t>
      </w:r>
      <w:r w:rsidR="00921013">
        <w:t>(</w:t>
      </w:r>
      <w:r w:rsidRPr="4524DCC9">
        <w:rPr>
          <w:i/>
          <w:iCs/>
        </w:rPr>
        <w:t>n</w:t>
      </w:r>
      <w:r>
        <w:t xml:space="preserve"> = 27)</w:t>
      </w:r>
      <w:r w:rsidR="005744EE">
        <w:t>, or (iii) combined THC</w:t>
      </w:r>
      <w:r w:rsidR="007B484E">
        <w:t>+</w:t>
      </w:r>
      <w:r w:rsidR="005744EE">
        <w:t>CBD (</w:t>
      </w:r>
      <w:r w:rsidR="005744EE" w:rsidRPr="005744EE">
        <w:rPr>
          <w:i/>
        </w:rPr>
        <w:t>n</w:t>
      </w:r>
      <w:r w:rsidR="005744EE">
        <w:t xml:space="preserve"> = 18)</w:t>
      </w:r>
      <w:r w:rsidRPr="00921013">
        <w:rPr>
          <w:rFonts w:eastAsiaTheme="minorEastAsia"/>
        </w:rPr>
        <w:t xml:space="preserve">. Each stage included </w:t>
      </w:r>
      <w:r w:rsidR="004E5083">
        <w:rPr>
          <w:rFonts w:eastAsiaTheme="minorEastAsia"/>
        </w:rPr>
        <w:t xml:space="preserve">a </w:t>
      </w:r>
      <w:r w:rsidRPr="00921013">
        <w:rPr>
          <w:rFonts w:eastAsiaTheme="minorEastAsia"/>
        </w:rPr>
        <w:t>three</w:t>
      </w:r>
      <w:r w:rsidR="004E5083">
        <w:rPr>
          <w:rFonts w:eastAsiaTheme="minorEastAsia"/>
        </w:rPr>
        <w:t>-week period</w:t>
      </w:r>
      <w:r w:rsidRPr="00921013">
        <w:rPr>
          <w:rFonts w:eastAsiaTheme="minorEastAsia"/>
        </w:rPr>
        <w:t xml:space="preserve"> of </w:t>
      </w:r>
      <w:r w:rsidRPr="00921013">
        <w:rPr>
          <w:rFonts w:eastAsiaTheme="minorEastAsia"/>
          <w:i/>
        </w:rPr>
        <w:t xml:space="preserve">ad libitum </w:t>
      </w:r>
      <w:r w:rsidR="00921013">
        <w:rPr>
          <w:rFonts w:eastAsiaTheme="minorEastAsia"/>
        </w:rPr>
        <w:t>(i.e., “as you please”</w:t>
      </w:r>
      <w:r w:rsidR="006E1EE1">
        <w:rPr>
          <w:rFonts w:eastAsiaTheme="minorEastAsia"/>
        </w:rPr>
        <w:t>) self-administration</w:t>
      </w:r>
      <w:r w:rsidRPr="00921013">
        <w:rPr>
          <w:rFonts w:eastAsiaTheme="minorEastAsia"/>
        </w:rPr>
        <w:t xml:space="preserve"> of the assigned treatment </w:t>
      </w:r>
      <w:r w:rsidR="00226939">
        <w:rPr>
          <w:rFonts w:eastAsiaTheme="minorEastAsia"/>
        </w:rPr>
        <w:t>(to provide a more naturalistic comparison to the real-world setting)</w:t>
      </w:r>
      <w:r w:rsidR="004D5017">
        <w:rPr>
          <w:rFonts w:eastAsiaTheme="minorEastAsia"/>
        </w:rPr>
        <w:t>,</w:t>
      </w:r>
      <w:r w:rsidR="00226939">
        <w:rPr>
          <w:rFonts w:eastAsiaTheme="minorEastAsia"/>
        </w:rPr>
        <w:t xml:space="preserve"> </w:t>
      </w:r>
      <w:r w:rsidRPr="00921013">
        <w:rPr>
          <w:rFonts w:eastAsiaTheme="minorEastAsia"/>
        </w:rPr>
        <w:t xml:space="preserve">followed by a two-week cessation period. </w:t>
      </w:r>
      <w:r w:rsidR="00FF7D5F">
        <w:t>P</w:t>
      </w:r>
      <w:r>
        <w:t xml:space="preserve">articipants </w:t>
      </w:r>
      <w:r w:rsidR="00FF7D5F">
        <w:t>were provided</w:t>
      </w:r>
      <w:r w:rsidR="0071515C">
        <w:t xml:space="preserve"> </w:t>
      </w:r>
      <w:r>
        <w:t xml:space="preserve">a total of 37.8 grams (1.8 grams/day) </w:t>
      </w:r>
      <w:r w:rsidR="006E1EE1">
        <w:t>of dried cannabis for</w:t>
      </w:r>
      <w:r w:rsidR="00226939">
        <w:t xml:space="preserve"> each</w:t>
      </w:r>
      <w:r w:rsidR="006E1EE1">
        <w:t xml:space="preserve"> three-week study </w:t>
      </w:r>
      <w:r>
        <w:t>period</w:t>
      </w:r>
      <w:r w:rsidR="00F10EA5">
        <w:t>,</w:t>
      </w:r>
      <w:r>
        <w:t xml:space="preserve"> </w:t>
      </w:r>
      <w:r w:rsidR="006E1EE1">
        <w:t xml:space="preserve">and </w:t>
      </w:r>
      <w:r>
        <w:t xml:space="preserve">a metal pipe for </w:t>
      </w:r>
      <w:r w:rsidR="006E1EE1">
        <w:t xml:space="preserve">smoked </w:t>
      </w:r>
      <w:r w:rsidR="00480CDF">
        <w:t>self-</w:t>
      </w:r>
      <w:r w:rsidR="006E1EE1">
        <w:t>administration</w:t>
      </w:r>
      <w:r w:rsidR="00921013">
        <w:t xml:space="preserve">. </w:t>
      </w:r>
      <w:r>
        <w:t xml:space="preserve">Participants were </w:t>
      </w:r>
      <w:r w:rsidR="00921013">
        <w:t xml:space="preserve">included in the study if they were </w:t>
      </w:r>
      <w:r>
        <w:t>current</w:t>
      </w:r>
      <w:r w:rsidR="00921013">
        <w:t>ly taking</w:t>
      </w:r>
      <w:r>
        <w:t xml:space="preserve"> medications or </w:t>
      </w:r>
      <w:r w:rsidR="00921013">
        <w:t xml:space="preserve">engaged in </w:t>
      </w:r>
      <w:r>
        <w:t xml:space="preserve">psychotherapy, but only if the </w:t>
      </w:r>
      <w:r w:rsidR="00D80E6F">
        <w:t xml:space="preserve">treatment </w:t>
      </w:r>
      <w:r>
        <w:t xml:space="preserve">regimen remained stable prior to study commencement. The outcome measures were the </w:t>
      </w:r>
      <w:r w:rsidRPr="4524DCC9">
        <w:rPr>
          <w:color w:val="000000" w:themeColor="text1"/>
        </w:rPr>
        <w:t>Clinician-Administered PTSD Scale for DSM-5 (CAPS-5</w:t>
      </w:r>
      <w:r w:rsidR="00C76811">
        <w:rPr>
          <w:color w:val="000000" w:themeColor="text1"/>
        </w:rPr>
        <w:t>; primary outcome</w:t>
      </w:r>
      <w:r w:rsidR="00EA40C5">
        <w:rPr>
          <w:color w:val="000000" w:themeColor="text1"/>
        </w:rPr>
        <w:t xml:space="preserve"> measure</w:t>
      </w:r>
      <w:r w:rsidRPr="4524DCC9">
        <w:rPr>
          <w:color w:val="000000" w:themeColor="text1"/>
        </w:rPr>
        <w:t xml:space="preserve">), PTSD Checklist for DSM-5 (PCL-5), Inventory of </w:t>
      </w:r>
      <w:r w:rsidR="00921013">
        <w:rPr>
          <w:color w:val="000000" w:themeColor="text1"/>
        </w:rPr>
        <w:t>Depression and Anxiety Symptoms</w:t>
      </w:r>
      <w:r w:rsidRPr="4524DCC9">
        <w:rPr>
          <w:color w:val="000000" w:themeColor="text1"/>
        </w:rPr>
        <w:t xml:space="preserve"> (IDAS), Inventory of Psychosocial Functioning (IPF), and Insomnia Severity Index (ISI). Assessments were conducted at multiple time-points: baseline, every week during the </w:t>
      </w:r>
      <w:r w:rsidR="004E5083">
        <w:rPr>
          <w:color w:val="000000" w:themeColor="text1"/>
        </w:rPr>
        <w:t xml:space="preserve">three-week </w:t>
      </w:r>
      <w:r w:rsidRPr="4524DCC9">
        <w:rPr>
          <w:color w:val="000000" w:themeColor="text1"/>
        </w:rPr>
        <w:t>treatment periods</w:t>
      </w:r>
      <w:r w:rsidR="007D569F">
        <w:rPr>
          <w:color w:val="000000" w:themeColor="text1"/>
        </w:rPr>
        <w:t xml:space="preserve"> (Stage </w:t>
      </w:r>
      <w:r w:rsidR="00D80E6F">
        <w:rPr>
          <w:color w:val="000000" w:themeColor="text1"/>
        </w:rPr>
        <w:t>I</w:t>
      </w:r>
      <w:r w:rsidR="007D569F">
        <w:rPr>
          <w:color w:val="000000" w:themeColor="text1"/>
        </w:rPr>
        <w:t xml:space="preserve">; Stage </w:t>
      </w:r>
      <w:r w:rsidR="00D80E6F">
        <w:rPr>
          <w:color w:val="000000" w:themeColor="text1"/>
        </w:rPr>
        <w:t>II</w:t>
      </w:r>
      <w:r w:rsidR="007D569F">
        <w:rPr>
          <w:color w:val="000000" w:themeColor="text1"/>
        </w:rPr>
        <w:t>)</w:t>
      </w:r>
      <w:r w:rsidR="70EBC32F" w:rsidRPr="7B2E11AD">
        <w:rPr>
          <w:color w:val="000000" w:themeColor="text1"/>
        </w:rPr>
        <w:t>,</w:t>
      </w:r>
      <w:r w:rsidRPr="4524DCC9">
        <w:rPr>
          <w:color w:val="000000" w:themeColor="text1"/>
        </w:rPr>
        <w:t xml:space="preserve"> and before and after </w:t>
      </w:r>
      <w:r w:rsidR="004E5083">
        <w:rPr>
          <w:color w:val="000000" w:themeColor="text1"/>
        </w:rPr>
        <w:t xml:space="preserve">the two-week </w:t>
      </w:r>
      <w:r w:rsidRPr="4524DCC9">
        <w:rPr>
          <w:color w:val="000000" w:themeColor="text1"/>
        </w:rPr>
        <w:t>cessation periods</w:t>
      </w:r>
      <w:r w:rsidR="007D569F">
        <w:rPr>
          <w:color w:val="000000" w:themeColor="text1"/>
        </w:rPr>
        <w:t xml:space="preserve"> (Stage </w:t>
      </w:r>
      <w:r w:rsidR="00792310">
        <w:rPr>
          <w:color w:val="000000" w:themeColor="text1"/>
        </w:rPr>
        <w:t>I</w:t>
      </w:r>
      <w:r w:rsidR="007D569F">
        <w:rPr>
          <w:color w:val="000000" w:themeColor="text1"/>
        </w:rPr>
        <w:t xml:space="preserve">; Stage </w:t>
      </w:r>
      <w:r w:rsidR="00792310">
        <w:rPr>
          <w:color w:val="000000" w:themeColor="text1"/>
        </w:rPr>
        <w:t>II</w:t>
      </w:r>
      <w:r w:rsidR="007D569F">
        <w:rPr>
          <w:color w:val="000000" w:themeColor="text1"/>
        </w:rPr>
        <w:t>)</w:t>
      </w:r>
      <w:r w:rsidRPr="4524DCC9">
        <w:rPr>
          <w:color w:val="000000" w:themeColor="text1"/>
        </w:rPr>
        <w:t xml:space="preserve">. Clinical treatment response was not defined in the study. </w:t>
      </w:r>
      <w:r w:rsidR="006E1EE1" w:rsidRPr="005744EE">
        <w:rPr>
          <w:color w:val="000000" w:themeColor="text1"/>
        </w:rPr>
        <w:t xml:space="preserve">In </w:t>
      </w:r>
      <w:r w:rsidR="00634975">
        <w:rPr>
          <w:color w:val="000000" w:themeColor="text1"/>
        </w:rPr>
        <w:t>S</w:t>
      </w:r>
      <w:r w:rsidR="006E1EE1" w:rsidRPr="005744EE">
        <w:rPr>
          <w:color w:val="000000" w:themeColor="text1"/>
        </w:rPr>
        <w:t xml:space="preserve">tage </w:t>
      </w:r>
      <w:r w:rsidR="00D80E6F">
        <w:rPr>
          <w:color w:val="000000" w:themeColor="text1"/>
        </w:rPr>
        <w:t>I</w:t>
      </w:r>
      <w:r w:rsidR="006E1EE1" w:rsidRPr="005744EE">
        <w:rPr>
          <w:color w:val="000000" w:themeColor="text1"/>
        </w:rPr>
        <w:t xml:space="preserve">, </w:t>
      </w:r>
      <w:r w:rsidR="5ED353EE" w:rsidRPr="005744EE">
        <w:rPr>
          <w:color w:val="000000" w:themeColor="text1"/>
        </w:rPr>
        <w:t xml:space="preserve">no significant </w:t>
      </w:r>
      <w:r w:rsidR="00702D78">
        <w:rPr>
          <w:color w:val="000000" w:themeColor="text1"/>
        </w:rPr>
        <w:t xml:space="preserve">between-group </w:t>
      </w:r>
      <w:r w:rsidR="5ED353EE" w:rsidRPr="005744EE">
        <w:rPr>
          <w:color w:val="000000" w:themeColor="text1"/>
        </w:rPr>
        <w:t>differe</w:t>
      </w:r>
      <w:r w:rsidR="00921013" w:rsidRPr="005744EE">
        <w:rPr>
          <w:color w:val="000000" w:themeColor="text1"/>
        </w:rPr>
        <w:t xml:space="preserve">nces </w:t>
      </w:r>
      <w:r w:rsidR="003B67BB">
        <w:rPr>
          <w:color w:val="000000" w:themeColor="text1"/>
        </w:rPr>
        <w:t xml:space="preserve">in </w:t>
      </w:r>
      <w:r w:rsidR="00CC35A9">
        <w:rPr>
          <w:color w:val="000000" w:themeColor="text1"/>
        </w:rPr>
        <w:t xml:space="preserve">change scores </w:t>
      </w:r>
      <w:r w:rsidR="009126D7">
        <w:rPr>
          <w:color w:val="000000" w:themeColor="text1"/>
        </w:rPr>
        <w:t>(</w:t>
      </w:r>
      <w:r w:rsidR="00CC35A9">
        <w:rPr>
          <w:color w:val="000000" w:themeColor="text1"/>
        </w:rPr>
        <w:t>baseline to end of treatment</w:t>
      </w:r>
      <w:r w:rsidR="009126D7">
        <w:rPr>
          <w:color w:val="000000" w:themeColor="text1"/>
        </w:rPr>
        <w:t xml:space="preserve">: </w:t>
      </w:r>
      <w:r w:rsidR="00CC35A9">
        <w:rPr>
          <w:color w:val="000000" w:themeColor="text1"/>
        </w:rPr>
        <w:t xml:space="preserve">visit </w:t>
      </w:r>
      <w:r w:rsidR="00502659">
        <w:rPr>
          <w:color w:val="000000" w:themeColor="text1"/>
        </w:rPr>
        <w:t>0</w:t>
      </w:r>
      <w:r w:rsidR="00CC35A9">
        <w:rPr>
          <w:color w:val="000000" w:themeColor="text1"/>
        </w:rPr>
        <w:t xml:space="preserve"> to visit 7</w:t>
      </w:r>
      <w:r w:rsidR="001641F2">
        <w:rPr>
          <w:color w:val="000000" w:themeColor="text1"/>
        </w:rPr>
        <w:t>) were observed for</w:t>
      </w:r>
      <w:r w:rsidR="00AE1472">
        <w:rPr>
          <w:color w:val="000000" w:themeColor="text1"/>
        </w:rPr>
        <w:t xml:space="preserve"> </w:t>
      </w:r>
      <w:r w:rsidR="00921013" w:rsidRPr="005744EE">
        <w:rPr>
          <w:color w:val="000000" w:themeColor="text1"/>
        </w:rPr>
        <w:t>PTSD</w:t>
      </w:r>
      <w:r w:rsidR="00B75016">
        <w:rPr>
          <w:color w:val="000000" w:themeColor="text1"/>
        </w:rPr>
        <w:t xml:space="preserve"> </w:t>
      </w:r>
      <w:r w:rsidR="00D36FDE">
        <w:rPr>
          <w:color w:val="000000" w:themeColor="text1"/>
        </w:rPr>
        <w:t>severity</w:t>
      </w:r>
      <w:r w:rsidR="00921013" w:rsidRPr="005744EE">
        <w:rPr>
          <w:color w:val="000000" w:themeColor="text1"/>
        </w:rPr>
        <w:t xml:space="preserve"> </w:t>
      </w:r>
      <w:r w:rsidR="00340A2D" w:rsidRPr="005744EE">
        <w:rPr>
          <w:color w:val="000000" w:themeColor="text1"/>
        </w:rPr>
        <w:t>(as measured by the CAPS-5</w:t>
      </w:r>
      <w:r w:rsidR="00D66402">
        <w:rPr>
          <w:color w:val="000000" w:themeColor="text1"/>
        </w:rPr>
        <w:t xml:space="preserve">; </w:t>
      </w:r>
      <w:r w:rsidR="5ED353EE" w:rsidRPr="005744EE">
        <w:rPr>
          <w:i/>
          <w:iCs/>
          <w:color w:val="000000" w:themeColor="text1"/>
        </w:rPr>
        <w:t>p</w:t>
      </w:r>
      <w:r w:rsidR="5ED353EE" w:rsidRPr="005744EE">
        <w:rPr>
          <w:color w:val="000000" w:themeColor="text1"/>
        </w:rPr>
        <w:t xml:space="preserve"> = 0.15)</w:t>
      </w:r>
      <w:r w:rsidR="00A3584C">
        <w:rPr>
          <w:color w:val="000000" w:themeColor="text1"/>
        </w:rPr>
        <w:t>. H</w:t>
      </w:r>
      <w:r w:rsidR="006E1EE1" w:rsidRPr="005744EE">
        <w:rPr>
          <w:color w:val="000000" w:themeColor="text1"/>
        </w:rPr>
        <w:t>owever, significant within-</w:t>
      </w:r>
      <w:r w:rsidR="00492FA0">
        <w:rPr>
          <w:color w:val="000000" w:themeColor="text1"/>
        </w:rPr>
        <w:t>participant</w:t>
      </w:r>
      <w:r w:rsidR="006E1EE1" w:rsidRPr="005744EE">
        <w:rPr>
          <w:color w:val="000000" w:themeColor="text1"/>
        </w:rPr>
        <w:t xml:space="preserve"> reductions in PTSD </w:t>
      </w:r>
      <w:r w:rsidR="00D36FDE">
        <w:rPr>
          <w:color w:val="000000" w:themeColor="text1"/>
        </w:rPr>
        <w:t>severity</w:t>
      </w:r>
      <w:r w:rsidR="006E1EE1" w:rsidRPr="005744EE">
        <w:rPr>
          <w:color w:val="000000" w:themeColor="text1"/>
        </w:rPr>
        <w:t xml:space="preserve"> were observed for all </w:t>
      </w:r>
      <w:r w:rsidR="0070005F">
        <w:rPr>
          <w:color w:val="000000" w:themeColor="text1"/>
        </w:rPr>
        <w:t xml:space="preserve">four treatment </w:t>
      </w:r>
      <w:r w:rsidR="006E1EE1" w:rsidRPr="005744EE">
        <w:rPr>
          <w:color w:val="000000" w:themeColor="text1"/>
        </w:rPr>
        <w:t>groups</w:t>
      </w:r>
      <w:r w:rsidR="00A94F4C">
        <w:rPr>
          <w:color w:val="000000" w:themeColor="text1"/>
        </w:rPr>
        <w:t xml:space="preserve"> </w:t>
      </w:r>
      <w:r w:rsidR="00301AEC">
        <w:rPr>
          <w:color w:val="000000" w:themeColor="text1"/>
        </w:rPr>
        <w:t xml:space="preserve">from baseline </w:t>
      </w:r>
      <w:r w:rsidR="005C46F4">
        <w:rPr>
          <w:color w:val="000000" w:themeColor="text1"/>
        </w:rPr>
        <w:t>to end of treatment (</w:t>
      </w:r>
      <w:r w:rsidR="00265595">
        <w:rPr>
          <w:color w:val="000000" w:themeColor="text1"/>
        </w:rPr>
        <w:t xml:space="preserve">visit 0 to </w:t>
      </w:r>
      <w:r w:rsidR="005C46F4">
        <w:rPr>
          <w:color w:val="000000" w:themeColor="text1"/>
        </w:rPr>
        <w:t xml:space="preserve">visit 5; </w:t>
      </w:r>
      <w:r w:rsidR="006E1EE1" w:rsidRPr="005744EE">
        <w:rPr>
          <w:color w:val="000000" w:themeColor="text1"/>
        </w:rPr>
        <w:t xml:space="preserve">all </w:t>
      </w:r>
      <w:r w:rsidR="006E1EE1" w:rsidRPr="005744EE">
        <w:rPr>
          <w:i/>
          <w:color w:val="000000" w:themeColor="text1"/>
        </w:rPr>
        <w:t>p</w:t>
      </w:r>
      <w:r w:rsidR="006E1EE1" w:rsidRPr="005744EE">
        <w:rPr>
          <w:color w:val="000000" w:themeColor="text1"/>
        </w:rPr>
        <w:t xml:space="preserve">’s &lt; 0.05). </w:t>
      </w:r>
      <w:r w:rsidR="002527B0" w:rsidRPr="002527B0">
        <w:rPr>
          <w:color w:val="000000" w:themeColor="text1"/>
        </w:rPr>
        <w:t xml:space="preserve">Specifically, </w:t>
      </w:r>
      <w:r w:rsidR="00094B9F">
        <w:rPr>
          <w:color w:val="000000" w:themeColor="text1"/>
        </w:rPr>
        <w:t xml:space="preserve">in Stage </w:t>
      </w:r>
      <w:r w:rsidR="00D80E6F">
        <w:rPr>
          <w:color w:val="000000" w:themeColor="text1"/>
        </w:rPr>
        <w:t>I</w:t>
      </w:r>
      <w:r w:rsidR="00094B9F">
        <w:rPr>
          <w:color w:val="000000" w:themeColor="text1"/>
        </w:rPr>
        <w:t xml:space="preserve">, </w:t>
      </w:r>
      <w:r w:rsidR="002527B0" w:rsidRPr="002527B0">
        <w:rPr>
          <w:color w:val="000000" w:themeColor="text1"/>
        </w:rPr>
        <w:t>participants who received placebo reported a mean reduction of 13.1 points (</w:t>
      </w:r>
      <w:r w:rsidR="002527B0" w:rsidRPr="00F62917">
        <w:rPr>
          <w:i/>
          <w:iCs/>
          <w:color w:val="000000" w:themeColor="text1"/>
        </w:rPr>
        <w:t>p</w:t>
      </w:r>
      <w:r w:rsidR="002527B0" w:rsidRPr="002527B0">
        <w:rPr>
          <w:color w:val="000000" w:themeColor="text1"/>
        </w:rPr>
        <w:t xml:space="preserve"> </w:t>
      </w:r>
      <w:r w:rsidR="00C178B3">
        <w:rPr>
          <w:color w:val="000000" w:themeColor="text1"/>
        </w:rPr>
        <w:t>=</w:t>
      </w:r>
      <w:r w:rsidR="002527B0" w:rsidRPr="002527B0">
        <w:rPr>
          <w:color w:val="000000" w:themeColor="text1"/>
        </w:rPr>
        <w:t xml:space="preserve"> </w:t>
      </w:r>
      <w:r w:rsidR="009F59D1">
        <w:rPr>
          <w:color w:val="000000" w:themeColor="text1"/>
        </w:rPr>
        <w:t>0</w:t>
      </w:r>
      <w:r w:rsidR="002527B0" w:rsidRPr="002527B0">
        <w:rPr>
          <w:color w:val="000000" w:themeColor="text1"/>
        </w:rPr>
        <w:t>.00</w:t>
      </w:r>
      <w:r w:rsidR="00DB1822">
        <w:rPr>
          <w:color w:val="000000" w:themeColor="text1"/>
        </w:rPr>
        <w:t>02</w:t>
      </w:r>
      <w:r w:rsidR="00901763">
        <w:rPr>
          <w:color w:val="000000" w:themeColor="text1"/>
        </w:rPr>
        <w:t>)</w:t>
      </w:r>
      <w:r w:rsidR="002527B0" w:rsidRPr="002527B0">
        <w:rPr>
          <w:color w:val="000000" w:themeColor="text1"/>
        </w:rPr>
        <w:t xml:space="preserve">, participants who received </w:t>
      </w:r>
      <w:r w:rsidR="00EE1AD8">
        <w:rPr>
          <w:color w:val="000000" w:themeColor="text1"/>
        </w:rPr>
        <w:t>h</w:t>
      </w:r>
      <w:r w:rsidR="002527B0" w:rsidRPr="002527B0">
        <w:rPr>
          <w:color w:val="000000" w:themeColor="text1"/>
        </w:rPr>
        <w:t>igh THC reported a mean reduction of 15.2 points (</w:t>
      </w:r>
      <w:r w:rsidR="002527B0" w:rsidRPr="00F62917">
        <w:rPr>
          <w:i/>
          <w:iCs/>
          <w:color w:val="000000" w:themeColor="text1"/>
        </w:rPr>
        <w:t>p</w:t>
      </w:r>
      <w:r w:rsidR="002527B0" w:rsidRPr="002527B0">
        <w:rPr>
          <w:color w:val="000000" w:themeColor="text1"/>
        </w:rPr>
        <w:t xml:space="preserve"> &lt; </w:t>
      </w:r>
      <w:r w:rsidR="009F59D1">
        <w:rPr>
          <w:color w:val="000000" w:themeColor="text1"/>
        </w:rPr>
        <w:t>0</w:t>
      </w:r>
      <w:r w:rsidR="002527B0" w:rsidRPr="002527B0">
        <w:rPr>
          <w:color w:val="000000" w:themeColor="text1"/>
        </w:rPr>
        <w:t xml:space="preserve">.0001), </w:t>
      </w:r>
      <w:r w:rsidR="00EE1AD8">
        <w:rPr>
          <w:color w:val="000000" w:themeColor="text1"/>
        </w:rPr>
        <w:t>participants who received h</w:t>
      </w:r>
      <w:r w:rsidR="002527B0" w:rsidRPr="002527B0">
        <w:rPr>
          <w:color w:val="000000" w:themeColor="text1"/>
        </w:rPr>
        <w:t>igh CBD reported a mean reduction of 8.4 points (</w:t>
      </w:r>
      <w:r w:rsidR="002527B0" w:rsidRPr="00F62917">
        <w:rPr>
          <w:i/>
          <w:iCs/>
          <w:color w:val="000000" w:themeColor="text1"/>
        </w:rPr>
        <w:t>p</w:t>
      </w:r>
      <w:r w:rsidR="002527B0" w:rsidRPr="002527B0">
        <w:rPr>
          <w:color w:val="000000" w:themeColor="text1"/>
        </w:rPr>
        <w:t xml:space="preserve"> </w:t>
      </w:r>
      <w:r w:rsidR="002C0C20">
        <w:rPr>
          <w:color w:val="000000" w:themeColor="text1"/>
        </w:rPr>
        <w:t>=</w:t>
      </w:r>
      <w:r w:rsidR="002527B0" w:rsidRPr="002527B0">
        <w:rPr>
          <w:color w:val="000000" w:themeColor="text1"/>
        </w:rPr>
        <w:t xml:space="preserve"> </w:t>
      </w:r>
      <w:r w:rsidR="009F59D1">
        <w:rPr>
          <w:color w:val="000000" w:themeColor="text1"/>
        </w:rPr>
        <w:t>0</w:t>
      </w:r>
      <w:r w:rsidR="002527B0" w:rsidRPr="002527B0">
        <w:rPr>
          <w:color w:val="000000" w:themeColor="text1"/>
        </w:rPr>
        <w:t>.0</w:t>
      </w:r>
      <w:r w:rsidR="002C0C20">
        <w:rPr>
          <w:color w:val="000000" w:themeColor="text1"/>
        </w:rPr>
        <w:t>181</w:t>
      </w:r>
      <w:r w:rsidR="002527B0" w:rsidRPr="002527B0">
        <w:rPr>
          <w:color w:val="000000" w:themeColor="text1"/>
        </w:rPr>
        <w:t xml:space="preserve">), and </w:t>
      </w:r>
      <w:r w:rsidR="008A551B">
        <w:rPr>
          <w:color w:val="000000" w:themeColor="text1"/>
        </w:rPr>
        <w:t xml:space="preserve">participants who received </w:t>
      </w:r>
      <w:r w:rsidR="002527B0" w:rsidRPr="002527B0">
        <w:rPr>
          <w:color w:val="000000" w:themeColor="text1"/>
        </w:rPr>
        <w:t>THC+CBD reported a mean reduction of 8.5 points (</w:t>
      </w:r>
      <w:r w:rsidR="002527B0" w:rsidRPr="00F62917">
        <w:rPr>
          <w:i/>
          <w:iCs/>
          <w:color w:val="000000" w:themeColor="text1"/>
        </w:rPr>
        <w:t>p</w:t>
      </w:r>
      <w:r w:rsidR="002527B0" w:rsidRPr="002527B0">
        <w:rPr>
          <w:color w:val="000000" w:themeColor="text1"/>
        </w:rPr>
        <w:t xml:space="preserve"> </w:t>
      </w:r>
      <w:r w:rsidR="00833F8E">
        <w:rPr>
          <w:color w:val="000000" w:themeColor="text1"/>
        </w:rPr>
        <w:t>=</w:t>
      </w:r>
      <w:r w:rsidR="002527B0" w:rsidRPr="002527B0">
        <w:rPr>
          <w:color w:val="000000" w:themeColor="text1"/>
        </w:rPr>
        <w:t xml:space="preserve"> </w:t>
      </w:r>
      <w:r w:rsidR="009F59D1">
        <w:rPr>
          <w:color w:val="000000" w:themeColor="text1"/>
        </w:rPr>
        <w:t>0</w:t>
      </w:r>
      <w:r w:rsidR="002527B0" w:rsidRPr="002527B0">
        <w:rPr>
          <w:color w:val="000000" w:themeColor="text1"/>
        </w:rPr>
        <w:t>.0</w:t>
      </w:r>
      <w:r w:rsidR="00833F8E">
        <w:rPr>
          <w:color w:val="000000" w:themeColor="text1"/>
        </w:rPr>
        <w:t>143</w:t>
      </w:r>
      <w:r w:rsidR="002527B0" w:rsidRPr="002527B0">
        <w:rPr>
          <w:color w:val="000000" w:themeColor="text1"/>
        </w:rPr>
        <w:t xml:space="preserve">). </w:t>
      </w:r>
      <w:r w:rsidR="006E1EE1" w:rsidRPr="005744EE">
        <w:rPr>
          <w:color w:val="000000" w:themeColor="text1"/>
        </w:rPr>
        <w:t>A</w:t>
      </w:r>
      <w:r w:rsidR="004E5083" w:rsidRPr="005744EE">
        <w:rPr>
          <w:color w:val="000000" w:themeColor="text1"/>
        </w:rPr>
        <w:t xml:space="preserve">dditionally, </w:t>
      </w:r>
      <w:r w:rsidR="004C477E">
        <w:rPr>
          <w:color w:val="000000" w:themeColor="text1"/>
        </w:rPr>
        <w:t>in</w:t>
      </w:r>
      <w:r w:rsidR="004E5083" w:rsidRPr="005744EE">
        <w:rPr>
          <w:color w:val="000000" w:themeColor="text1"/>
        </w:rPr>
        <w:t xml:space="preserve"> </w:t>
      </w:r>
      <w:r w:rsidR="00E43557">
        <w:rPr>
          <w:color w:val="000000" w:themeColor="text1"/>
        </w:rPr>
        <w:t>S</w:t>
      </w:r>
      <w:r w:rsidR="004E5083" w:rsidRPr="005744EE">
        <w:rPr>
          <w:color w:val="000000" w:themeColor="text1"/>
        </w:rPr>
        <w:t xml:space="preserve">tage </w:t>
      </w:r>
      <w:r w:rsidR="005E7AB1">
        <w:rPr>
          <w:color w:val="000000" w:themeColor="text1"/>
        </w:rPr>
        <w:t>I</w:t>
      </w:r>
      <w:r w:rsidR="006E1EE1" w:rsidRPr="005744EE">
        <w:rPr>
          <w:color w:val="000000" w:themeColor="text1"/>
        </w:rPr>
        <w:t xml:space="preserve">, no significant </w:t>
      </w:r>
      <w:r w:rsidR="004E5083" w:rsidRPr="005744EE">
        <w:rPr>
          <w:color w:val="000000" w:themeColor="text1"/>
        </w:rPr>
        <w:t xml:space="preserve">between-group </w:t>
      </w:r>
      <w:r w:rsidR="006E1EE1" w:rsidRPr="005744EE">
        <w:rPr>
          <w:color w:val="000000" w:themeColor="text1"/>
        </w:rPr>
        <w:t xml:space="preserve">differences </w:t>
      </w:r>
      <w:r w:rsidR="00D66402">
        <w:rPr>
          <w:color w:val="000000" w:themeColor="text1"/>
        </w:rPr>
        <w:t xml:space="preserve">in change scores </w:t>
      </w:r>
      <w:r w:rsidR="00B84D59">
        <w:rPr>
          <w:color w:val="000000" w:themeColor="text1"/>
        </w:rPr>
        <w:t xml:space="preserve">(visit </w:t>
      </w:r>
      <w:r w:rsidR="00CB4A2F">
        <w:rPr>
          <w:color w:val="000000" w:themeColor="text1"/>
        </w:rPr>
        <w:t xml:space="preserve">0 to visit 6) </w:t>
      </w:r>
      <w:r w:rsidR="005744EE" w:rsidRPr="005744EE">
        <w:rPr>
          <w:color w:val="000000" w:themeColor="text1"/>
        </w:rPr>
        <w:t xml:space="preserve">were </w:t>
      </w:r>
      <w:r w:rsidR="00080375">
        <w:rPr>
          <w:color w:val="000000" w:themeColor="text1"/>
        </w:rPr>
        <w:t xml:space="preserve">observed for </w:t>
      </w:r>
      <w:r w:rsidR="00634975">
        <w:rPr>
          <w:color w:val="000000" w:themeColor="text1"/>
        </w:rPr>
        <w:t xml:space="preserve">self-reported </w:t>
      </w:r>
      <w:r w:rsidR="003123B4">
        <w:rPr>
          <w:color w:val="000000" w:themeColor="text1"/>
        </w:rPr>
        <w:t xml:space="preserve">(past week) </w:t>
      </w:r>
      <w:r w:rsidR="006E1EE1" w:rsidRPr="005744EE">
        <w:rPr>
          <w:color w:val="000000" w:themeColor="text1"/>
        </w:rPr>
        <w:t>PTSD symptoms, depression and anxiety symptoms, psychosocial functioning, and insomnia</w:t>
      </w:r>
      <w:r w:rsidR="00C10402">
        <w:rPr>
          <w:color w:val="000000" w:themeColor="text1"/>
        </w:rPr>
        <w:t xml:space="preserve"> severity</w:t>
      </w:r>
      <w:r w:rsidR="006E1EE1" w:rsidRPr="005744EE">
        <w:rPr>
          <w:color w:val="000000" w:themeColor="text1"/>
        </w:rPr>
        <w:t xml:space="preserve"> (as measured by the PCL-5, IDAS, ISI, and IPF, respectively). </w:t>
      </w:r>
      <w:r w:rsidR="00A63F04" w:rsidRPr="00A63F04">
        <w:rPr>
          <w:color w:val="000000" w:themeColor="text1"/>
        </w:rPr>
        <w:t xml:space="preserve">In </w:t>
      </w:r>
      <w:r w:rsidR="00634975">
        <w:rPr>
          <w:color w:val="000000" w:themeColor="text1"/>
        </w:rPr>
        <w:t>S</w:t>
      </w:r>
      <w:r w:rsidR="00A63F04" w:rsidRPr="00A63F04">
        <w:rPr>
          <w:color w:val="000000" w:themeColor="text1"/>
        </w:rPr>
        <w:t xml:space="preserve">tage </w:t>
      </w:r>
      <w:r w:rsidR="005E7AB1">
        <w:rPr>
          <w:color w:val="000000" w:themeColor="text1"/>
        </w:rPr>
        <w:t>II</w:t>
      </w:r>
      <w:r w:rsidR="00A63F04" w:rsidRPr="00A63F04">
        <w:rPr>
          <w:color w:val="000000" w:themeColor="text1"/>
        </w:rPr>
        <w:t xml:space="preserve">, significant between-group differences in </w:t>
      </w:r>
      <w:r w:rsidR="00BE496D">
        <w:rPr>
          <w:color w:val="000000" w:themeColor="text1"/>
        </w:rPr>
        <w:t>change</w:t>
      </w:r>
      <w:r w:rsidR="005F537A">
        <w:rPr>
          <w:color w:val="000000" w:themeColor="text1"/>
        </w:rPr>
        <w:t xml:space="preserve"> scores</w:t>
      </w:r>
      <w:r w:rsidR="00ED550C">
        <w:rPr>
          <w:color w:val="000000" w:themeColor="text1"/>
        </w:rPr>
        <w:t xml:space="preserve"> (baseline to end of treatment: visit 7 to visit 12) were observed for</w:t>
      </w:r>
      <w:r w:rsidR="00BE496D">
        <w:rPr>
          <w:color w:val="000000" w:themeColor="text1"/>
        </w:rPr>
        <w:t xml:space="preserve"> </w:t>
      </w:r>
      <w:r w:rsidR="00A63F04" w:rsidRPr="00A63F04">
        <w:rPr>
          <w:color w:val="000000" w:themeColor="text1"/>
        </w:rPr>
        <w:t xml:space="preserve">PTSD </w:t>
      </w:r>
      <w:r w:rsidR="00E3368C">
        <w:rPr>
          <w:color w:val="000000" w:themeColor="text1"/>
        </w:rPr>
        <w:t>severity</w:t>
      </w:r>
      <w:r w:rsidR="00A63F04" w:rsidRPr="00A63F04">
        <w:rPr>
          <w:color w:val="000000" w:themeColor="text1"/>
        </w:rPr>
        <w:t xml:space="preserve"> (as measured by CAPS-5</w:t>
      </w:r>
      <w:r w:rsidR="00ED550C">
        <w:rPr>
          <w:color w:val="000000" w:themeColor="text1"/>
        </w:rPr>
        <w:t xml:space="preserve">; </w:t>
      </w:r>
      <w:r w:rsidR="00A63F04" w:rsidRPr="00F62917">
        <w:rPr>
          <w:i/>
          <w:iCs/>
          <w:color w:val="000000" w:themeColor="text1"/>
        </w:rPr>
        <w:t>p</w:t>
      </w:r>
      <w:r w:rsidR="00A63F04" w:rsidRPr="00A63F04">
        <w:rPr>
          <w:color w:val="000000" w:themeColor="text1"/>
        </w:rPr>
        <w:t xml:space="preserve"> = 0.0019). </w:t>
      </w:r>
      <w:r w:rsidR="00B77D8F">
        <w:rPr>
          <w:color w:val="000000" w:themeColor="text1"/>
        </w:rPr>
        <w:t>The authors reported that the f</w:t>
      </w:r>
      <w:r w:rsidR="00A63F04" w:rsidRPr="00A63F04">
        <w:rPr>
          <w:color w:val="000000" w:themeColor="text1"/>
        </w:rPr>
        <w:t xml:space="preserve">ollow-up contrasts </w:t>
      </w:r>
      <w:r w:rsidR="0091552C">
        <w:rPr>
          <w:color w:val="000000" w:themeColor="text1"/>
        </w:rPr>
        <w:t xml:space="preserve">indicated </w:t>
      </w:r>
      <w:r w:rsidR="00A63F04" w:rsidRPr="00A63F04">
        <w:rPr>
          <w:color w:val="000000" w:themeColor="text1"/>
        </w:rPr>
        <w:t xml:space="preserve">significant differences in </w:t>
      </w:r>
      <w:r w:rsidR="00993471">
        <w:rPr>
          <w:color w:val="000000" w:themeColor="text1"/>
        </w:rPr>
        <w:t xml:space="preserve">change scores </w:t>
      </w:r>
      <w:r w:rsidR="005D0E9A">
        <w:rPr>
          <w:color w:val="000000" w:themeColor="text1"/>
        </w:rPr>
        <w:t>between</w:t>
      </w:r>
      <w:r w:rsidR="00A63F04" w:rsidRPr="00A63F04">
        <w:rPr>
          <w:color w:val="000000" w:themeColor="text1"/>
        </w:rPr>
        <w:t xml:space="preserve"> participants in the </w:t>
      </w:r>
      <w:r w:rsidR="000A1E85">
        <w:rPr>
          <w:color w:val="000000" w:themeColor="text1"/>
        </w:rPr>
        <w:t>h</w:t>
      </w:r>
      <w:r w:rsidR="00A63F04" w:rsidRPr="00A63F04">
        <w:rPr>
          <w:color w:val="000000" w:themeColor="text1"/>
        </w:rPr>
        <w:t>igh THC and THC+CBD groups</w:t>
      </w:r>
      <w:r w:rsidR="00CC62AA">
        <w:rPr>
          <w:color w:val="000000" w:themeColor="text1"/>
        </w:rPr>
        <w:t xml:space="preserve"> </w:t>
      </w:r>
      <w:r w:rsidR="00CC62AA" w:rsidRPr="00CC62AA">
        <w:rPr>
          <w:color w:val="000000" w:themeColor="text1"/>
        </w:rPr>
        <w:t>(95% CI: 3.82</w:t>
      </w:r>
      <w:r w:rsidR="00EE47ED">
        <w:rPr>
          <w:color w:val="000000" w:themeColor="text1"/>
        </w:rPr>
        <w:t xml:space="preserve"> to </w:t>
      </w:r>
      <w:r w:rsidR="00CC62AA" w:rsidRPr="00CC62AA">
        <w:rPr>
          <w:color w:val="000000" w:themeColor="text1"/>
        </w:rPr>
        <w:t>18.88)</w:t>
      </w:r>
      <w:r w:rsidR="00A63F04" w:rsidRPr="00A63F04">
        <w:rPr>
          <w:color w:val="000000" w:themeColor="text1"/>
        </w:rPr>
        <w:t xml:space="preserve">, and between participants in the </w:t>
      </w:r>
      <w:r w:rsidR="000A1E85">
        <w:rPr>
          <w:color w:val="000000" w:themeColor="text1"/>
        </w:rPr>
        <w:t>h</w:t>
      </w:r>
      <w:r w:rsidR="00A63F04" w:rsidRPr="00A63F04">
        <w:rPr>
          <w:color w:val="000000" w:themeColor="text1"/>
        </w:rPr>
        <w:t>igh CBD and THC+CBD groups</w:t>
      </w:r>
      <w:r w:rsidR="00EE47ED">
        <w:rPr>
          <w:color w:val="000000" w:themeColor="text1"/>
        </w:rPr>
        <w:t xml:space="preserve"> </w:t>
      </w:r>
      <w:r w:rsidR="00EE47ED" w:rsidRPr="00EE47ED">
        <w:rPr>
          <w:color w:val="000000" w:themeColor="text1"/>
        </w:rPr>
        <w:t>(95% CI: 1.19</w:t>
      </w:r>
      <w:r w:rsidR="00EE47ED">
        <w:rPr>
          <w:color w:val="000000" w:themeColor="text1"/>
        </w:rPr>
        <w:t xml:space="preserve"> to</w:t>
      </w:r>
      <w:r w:rsidR="00EE47ED" w:rsidRPr="00EE47ED">
        <w:rPr>
          <w:color w:val="000000" w:themeColor="text1"/>
        </w:rPr>
        <w:t xml:space="preserve"> 15.86)</w:t>
      </w:r>
      <w:r w:rsidR="00A63F04" w:rsidRPr="00A63F04">
        <w:rPr>
          <w:color w:val="000000" w:themeColor="text1"/>
        </w:rPr>
        <w:t>.</w:t>
      </w:r>
      <w:r w:rsidR="00A63F04">
        <w:rPr>
          <w:color w:val="000000" w:themeColor="text1"/>
        </w:rPr>
        <w:t xml:space="preserve"> </w:t>
      </w:r>
      <w:r w:rsidR="00356A37">
        <w:rPr>
          <w:color w:val="000000" w:themeColor="text1"/>
        </w:rPr>
        <w:t xml:space="preserve">Notably, </w:t>
      </w:r>
      <w:r w:rsidR="00E540C8">
        <w:rPr>
          <w:color w:val="000000" w:themeColor="text1"/>
        </w:rPr>
        <w:t xml:space="preserve">in Stage </w:t>
      </w:r>
      <w:r w:rsidR="005E7AB1">
        <w:rPr>
          <w:color w:val="000000" w:themeColor="text1"/>
        </w:rPr>
        <w:t>II</w:t>
      </w:r>
      <w:r w:rsidR="00E540C8">
        <w:rPr>
          <w:color w:val="000000" w:themeColor="text1"/>
        </w:rPr>
        <w:t xml:space="preserve">, </w:t>
      </w:r>
      <w:r w:rsidR="00461699">
        <w:rPr>
          <w:color w:val="000000" w:themeColor="text1"/>
        </w:rPr>
        <w:t>a</w:t>
      </w:r>
      <w:r w:rsidR="00B51DA0">
        <w:rPr>
          <w:color w:val="000000" w:themeColor="text1"/>
        </w:rPr>
        <w:t xml:space="preserve"> significant</w:t>
      </w:r>
      <w:r w:rsidR="00461699">
        <w:rPr>
          <w:color w:val="000000" w:themeColor="text1"/>
        </w:rPr>
        <w:t xml:space="preserve"> within-</w:t>
      </w:r>
      <w:r w:rsidR="00356A37">
        <w:rPr>
          <w:color w:val="000000" w:themeColor="text1"/>
        </w:rPr>
        <w:t>participant</w:t>
      </w:r>
      <w:r w:rsidR="00461699">
        <w:rPr>
          <w:color w:val="000000" w:themeColor="text1"/>
        </w:rPr>
        <w:t xml:space="preserve"> reduction in PTSD symptoms </w:t>
      </w:r>
      <w:r w:rsidR="000B692A">
        <w:rPr>
          <w:color w:val="000000" w:themeColor="text1"/>
        </w:rPr>
        <w:t xml:space="preserve">(from baseline to end of treatment: visit 7 to visit 12) </w:t>
      </w:r>
      <w:r w:rsidR="000A1E85">
        <w:rPr>
          <w:color w:val="000000" w:themeColor="text1"/>
        </w:rPr>
        <w:t xml:space="preserve">was observed </w:t>
      </w:r>
      <w:r w:rsidR="00461699">
        <w:rPr>
          <w:color w:val="000000" w:themeColor="text1"/>
        </w:rPr>
        <w:t xml:space="preserve">for </w:t>
      </w:r>
      <w:r w:rsidR="00655F68">
        <w:rPr>
          <w:color w:val="000000" w:themeColor="text1"/>
        </w:rPr>
        <w:t>the combined THC+</w:t>
      </w:r>
      <w:r w:rsidR="00461699">
        <w:rPr>
          <w:color w:val="000000" w:themeColor="text1"/>
        </w:rPr>
        <w:t>CBD group</w:t>
      </w:r>
      <w:r w:rsidR="00D9697C">
        <w:rPr>
          <w:color w:val="000000" w:themeColor="text1"/>
        </w:rPr>
        <w:t xml:space="preserve"> (</w:t>
      </w:r>
      <w:r w:rsidR="00D9697C" w:rsidRPr="00D9697C">
        <w:rPr>
          <w:i/>
          <w:color w:val="000000" w:themeColor="text1"/>
        </w:rPr>
        <w:t>p</w:t>
      </w:r>
      <w:r w:rsidR="00D9697C">
        <w:rPr>
          <w:color w:val="000000" w:themeColor="text1"/>
        </w:rPr>
        <w:t xml:space="preserve"> = .0027), but </w:t>
      </w:r>
      <w:r w:rsidR="00461699">
        <w:rPr>
          <w:color w:val="000000" w:themeColor="text1"/>
        </w:rPr>
        <w:t>no</w:t>
      </w:r>
      <w:r w:rsidR="00236A3E">
        <w:rPr>
          <w:color w:val="000000" w:themeColor="text1"/>
        </w:rPr>
        <w:t>t for t</w:t>
      </w:r>
      <w:r w:rsidR="00461699">
        <w:rPr>
          <w:color w:val="000000" w:themeColor="text1"/>
        </w:rPr>
        <w:t>he high THC (</w:t>
      </w:r>
      <w:r w:rsidR="00461699" w:rsidRPr="00461699">
        <w:rPr>
          <w:i/>
          <w:color w:val="000000" w:themeColor="text1"/>
        </w:rPr>
        <w:t>p</w:t>
      </w:r>
      <w:r w:rsidR="00461699">
        <w:rPr>
          <w:color w:val="000000" w:themeColor="text1"/>
        </w:rPr>
        <w:t xml:space="preserve"> = 0.25) or high </w:t>
      </w:r>
      <w:r w:rsidR="00D9697C">
        <w:rPr>
          <w:color w:val="000000" w:themeColor="text1"/>
        </w:rPr>
        <w:t>CBD</w:t>
      </w:r>
      <w:r w:rsidR="00461699">
        <w:rPr>
          <w:color w:val="000000" w:themeColor="text1"/>
        </w:rPr>
        <w:t xml:space="preserve"> (</w:t>
      </w:r>
      <w:r w:rsidR="00461699" w:rsidRPr="00461699">
        <w:rPr>
          <w:i/>
          <w:color w:val="000000" w:themeColor="text1"/>
        </w:rPr>
        <w:t>p</w:t>
      </w:r>
      <w:r w:rsidR="00461699">
        <w:rPr>
          <w:color w:val="000000" w:themeColor="text1"/>
        </w:rPr>
        <w:t xml:space="preserve"> = 0.99)</w:t>
      </w:r>
      <w:r w:rsidR="00D9697C">
        <w:rPr>
          <w:color w:val="000000" w:themeColor="text1"/>
        </w:rPr>
        <w:t xml:space="preserve"> groups</w:t>
      </w:r>
      <w:r w:rsidR="00461699">
        <w:rPr>
          <w:color w:val="000000" w:themeColor="text1"/>
        </w:rPr>
        <w:t>. T</w:t>
      </w:r>
      <w:r w:rsidRPr="00E66113">
        <w:rPr>
          <w:color w:val="000000" w:themeColor="text1"/>
        </w:rPr>
        <w:t xml:space="preserve">his study </w:t>
      </w:r>
      <w:r w:rsidR="2DE76FC5" w:rsidRPr="29FF63D4">
        <w:rPr>
          <w:color w:val="000000" w:themeColor="text1"/>
        </w:rPr>
        <w:t>was judged to have</w:t>
      </w:r>
      <w:r w:rsidRPr="00E66113">
        <w:rPr>
          <w:color w:val="000000" w:themeColor="text1"/>
        </w:rPr>
        <w:t xml:space="preserve"> a high risk of bias</w:t>
      </w:r>
      <w:r w:rsidR="00E47222">
        <w:rPr>
          <w:color w:val="000000" w:themeColor="text1"/>
        </w:rPr>
        <w:t>. There were concerns</w:t>
      </w:r>
      <w:r w:rsidRPr="00E66113">
        <w:rPr>
          <w:color w:val="000000" w:themeColor="text1"/>
        </w:rPr>
        <w:t xml:space="preserve"> </w:t>
      </w:r>
      <w:r w:rsidR="00E47222">
        <w:rPr>
          <w:color w:val="000000" w:themeColor="text1"/>
        </w:rPr>
        <w:t>about</w:t>
      </w:r>
      <w:r w:rsidRPr="00E66113">
        <w:rPr>
          <w:color w:val="000000" w:themeColor="text1"/>
        </w:rPr>
        <w:t xml:space="preserve"> period and carryover effects</w:t>
      </w:r>
      <w:r w:rsidR="00E47222">
        <w:rPr>
          <w:color w:val="000000" w:themeColor="text1"/>
        </w:rPr>
        <w:t xml:space="preserve"> in relation to the </w:t>
      </w:r>
      <w:r w:rsidR="006E529C">
        <w:rPr>
          <w:color w:val="000000" w:themeColor="text1"/>
        </w:rPr>
        <w:t xml:space="preserve">two-stage </w:t>
      </w:r>
      <w:r w:rsidR="00E47222">
        <w:rPr>
          <w:color w:val="000000" w:themeColor="text1"/>
        </w:rPr>
        <w:t xml:space="preserve">crossover design, concerns about </w:t>
      </w:r>
      <w:r w:rsidR="006E529C">
        <w:rPr>
          <w:color w:val="000000" w:themeColor="text1"/>
        </w:rPr>
        <w:t xml:space="preserve">failure of </w:t>
      </w:r>
      <w:r w:rsidR="00E47222">
        <w:rPr>
          <w:color w:val="000000" w:themeColor="text1"/>
        </w:rPr>
        <w:t>the study blind,</w:t>
      </w:r>
      <w:r w:rsidRPr="00E66113">
        <w:rPr>
          <w:color w:val="000000" w:themeColor="text1"/>
        </w:rPr>
        <w:t xml:space="preserve"> and </w:t>
      </w:r>
      <w:r w:rsidR="00E47222">
        <w:rPr>
          <w:color w:val="000000" w:themeColor="text1"/>
        </w:rPr>
        <w:t xml:space="preserve">concerns about </w:t>
      </w:r>
      <w:r w:rsidRPr="00E66113">
        <w:rPr>
          <w:color w:val="000000" w:themeColor="text1"/>
        </w:rPr>
        <w:t xml:space="preserve">missing outcome data. </w:t>
      </w:r>
      <w:r w:rsidR="00A34FC5">
        <w:rPr>
          <w:color w:val="000000" w:themeColor="text1"/>
        </w:rPr>
        <w:t xml:space="preserve">When the placebo condition was dropped following Stage </w:t>
      </w:r>
      <w:r w:rsidR="005E7AB1">
        <w:rPr>
          <w:color w:val="000000" w:themeColor="text1"/>
        </w:rPr>
        <w:t>I</w:t>
      </w:r>
      <w:r w:rsidR="00A34FC5">
        <w:rPr>
          <w:color w:val="000000" w:themeColor="text1"/>
        </w:rPr>
        <w:t>, and participants were</w:t>
      </w:r>
      <w:r w:rsidR="00401BB2">
        <w:rPr>
          <w:color w:val="000000" w:themeColor="text1"/>
        </w:rPr>
        <w:t xml:space="preserve"> re-randomised </w:t>
      </w:r>
      <w:r w:rsidR="00963C83">
        <w:rPr>
          <w:color w:val="000000" w:themeColor="text1"/>
        </w:rPr>
        <w:t xml:space="preserve">to </w:t>
      </w:r>
      <w:r w:rsidR="00937159">
        <w:rPr>
          <w:color w:val="000000" w:themeColor="text1"/>
        </w:rPr>
        <w:t xml:space="preserve">the three active treatment </w:t>
      </w:r>
      <w:r w:rsidR="00963C83">
        <w:rPr>
          <w:color w:val="000000" w:themeColor="text1"/>
        </w:rPr>
        <w:t>conditions</w:t>
      </w:r>
      <w:r w:rsidR="003A56D5">
        <w:rPr>
          <w:color w:val="000000" w:themeColor="text1"/>
        </w:rPr>
        <w:t xml:space="preserve"> in Stage </w:t>
      </w:r>
      <w:r w:rsidR="005E7AB1">
        <w:rPr>
          <w:color w:val="000000" w:themeColor="text1"/>
        </w:rPr>
        <w:t>II</w:t>
      </w:r>
      <w:r w:rsidR="005726FE">
        <w:rPr>
          <w:color w:val="000000" w:themeColor="text1"/>
        </w:rPr>
        <w:t>,</w:t>
      </w:r>
      <w:r w:rsidR="003479C2">
        <w:rPr>
          <w:color w:val="000000" w:themeColor="text1"/>
        </w:rPr>
        <w:t xml:space="preserve"> the</w:t>
      </w:r>
      <w:r w:rsidR="00CD01DB">
        <w:rPr>
          <w:color w:val="000000" w:themeColor="text1"/>
        </w:rPr>
        <w:t xml:space="preserve"> number of participants in </w:t>
      </w:r>
      <w:r w:rsidR="00703BAE">
        <w:rPr>
          <w:color w:val="000000" w:themeColor="text1"/>
        </w:rPr>
        <w:t xml:space="preserve">the THC+CBD </w:t>
      </w:r>
      <w:r w:rsidR="00CD01DB">
        <w:rPr>
          <w:color w:val="000000" w:themeColor="text1"/>
        </w:rPr>
        <w:t xml:space="preserve">condition </w:t>
      </w:r>
      <w:r w:rsidR="00703BAE">
        <w:rPr>
          <w:color w:val="000000" w:themeColor="text1"/>
        </w:rPr>
        <w:t>(</w:t>
      </w:r>
      <w:r w:rsidR="00703BAE" w:rsidRPr="00F62917">
        <w:rPr>
          <w:i/>
          <w:iCs/>
          <w:color w:val="000000" w:themeColor="text1"/>
        </w:rPr>
        <w:t>n</w:t>
      </w:r>
      <w:r w:rsidR="00703BAE">
        <w:rPr>
          <w:color w:val="000000" w:themeColor="text1"/>
        </w:rPr>
        <w:t xml:space="preserve"> = 18) was significantly lower than the number</w:t>
      </w:r>
      <w:r w:rsidR="003A56D5">
        <w:rPr>
          <w:color w:val="000000" w:themeColor="text1"/>
        </w:rPr>
        <w:t xml:space="preserve"> of participants in the other two conditions (high </w:t>
      </w:r>
      <w:r w:rsidR="00064EBA">
        <w:rPr>
          <w:color w:val="000000" w:themeColor="text1"/>
        </w:rPr>
        <w:t xml:space="preserve">THC: </w:t>
      </w:r>
      <w:r w:rsidR="00064EBA" w:rsidRPr="00F62917">
        <w:rPr>
          <w:i/>
          <w:iCs/>
          <w:color w:val="000000" w:themeColor="text1"/>
        </w:rPr>
        <w:t>n</w:t>
      </w:r>
      <w:r w:rsidR="00064EBA">
        <w:rPr>
          <w:color w:val="000000" w:themeColor="text1"/>
        </w:rPr>
        <w:t xml:space="preserve"> = 29; high </w:t>
      </w:r>
      <w:r w:rsidR="00064EBA">
        <w:rPr>
          <w:color w:val="000000" w:themeColor="text1"/>
        </w:rPr>
        <w:lastRenderedPageBreak/>
        <w:t xml:space="preserve">CBD: </w:t>
      </w:r>
      <w:r w:rsidR="00064EBA" w:rsidRPr="00F62917">
        <w:rPr>
          <w:i/>
          <w:iCs/>
          <w:color w:val="000000" w:themeColor="text1"/>
        </w:rPr>
        <w:t>n</w:t>
      </w:r>
      <w:r w:rsidR="00064EBA">
        <w:rPr>
          <w:color w:val="000000" w:themeColor="text1"/>
        </w:rPr>
        <w:t xml:space="preserve"> = 27). </w:t>
      </w:r>
      <w:r w:rsidRPr="004E5083">
        <w:rPr>
          <w:color w:val="000000" w:themeColor="text1"/>
        </w:rPr>
        <w:t>The</w:t>
      </w:r>
      <w:r w:rsidRPr="00E66113">
        <w:rPr>
          <w:color w:val="000000" w:themeColor="text1"/>
        </w:rPr>
        <w:t xml:space="preserve"> authors acknowledge</w:t>
      </w:r>
      <w:r w:rsidR="00D84E98">
        <w:rPr>
          <w:color w:val="000000" w:themeColor="text1"/>
        </w:rPr>
        <w:t>d</w:t>
      </w:r>
      <w:r w:rsidRPr="00E66113">
        <w:rPr>
          <w:color w:val="000000" w:themeColor="text1"/>
        </w:rPr>
        <w:t xml:space="preserve"> that </w:t>
      </w:r>
      <w:r w:rsidR="00E47222">
        <w:rPr>
          <w:color w:val="000000" w:themeColor="text1"/>
        </w:rPr>
        <w:t xml:space="preserve">the </w:t>
      </w:r>
      <w:r w:rsidR="00081DE8">
        <w:rPr>
          <w:color w:val="000000" w:themeColor="text1"/>
        </w:rPr>
        <w:t>S</w:t>
      </w:r>
      <w:r w:rsidRPr="00E66113">
        <w:rPr>
          <w:color w:val="000000" w:themeColor="text1"/>
        </w:rPr>
        <w:t xml:space="preserve">tage </w:t>
      </w:r>
      <w:r w:rsidR="005E7AB1">
        <w:rPr>
          <w:color w:val="000000" w:themeColor="text1"/>
        </w:rPr>
        <w:t>II</w:t>
      </w:r>
      <w:r w:rsidRPr="00E66113">
        <w:rPr>
          <w:color w:val="000000" w:themeColor="text1"/>
        </w:rPr>
        <w:t xml:space="preserve"> </w:t>
      </w:r>
      <w:r w:rsidR="006E529C">
        <w:rPr>
          <w:color w:val="000000" w:themeColor="text1"/>
        </w:rPr>
        <w:t>study findings should be interpreted cautiously,</w:t>
      </w:r>
      <w:r w:rsidR="00E47222">
        <w:rPr>
          <w:color w:val="000000" w:themeColor="text1"/>
        </w:rPr>
        <w:t xml:space="preserve"> given the possible carry</w:t>
      </w:r>
      <w:r w:rsidRPr="00E66113">
        <w:rPr>
          <w:color w:val="000000" w:themeColor="text1"/>
        </w:rPr>
        <w:t>over effects</w:t>
      </w:r>
      <w:r w:rsidR="005C4CC0">
        <w:rPr>
          <w:color w:val="000000" w:themeColor="text1"/>
        </w:rPr>
        <w:t>,</w:t>
      </w:r>
      <w:r w:rsidRPr="00E66113">
        <w:rPr>
          <w:color w:val="000000" w:themeColor="text1"/>
        </w:rPr>
        <w:t xml:space="preserve"> and </w:t>
      </w:r>
      <w:r w:rsidR="00E47222">
        <w:rPr>
          <w:color w:val="000000" w:themeColor="text1"/>
        </w:rPr>
        <w:t>the unbalanced randomis</w:t>
      </w:r>
      <w:r w:rsidRPr="00E66113">
        <w:rPr>
          <w:color w:val="000000" w:themeColor="text1"/>
        </w:rPr>
        <w:t>ation</w:t>
      </w:r>
      <w:r w:rsidR="00461699">
        <w:rPr>
          <w:color w:val="000000" w:themeColor="text1"/>
        </w:rPr>
        <w:t xml:space="preserve"> to</w:t>
      </w:r>
      <w:r w:rsidRPr="00E66113">
        <w:rPr>
          <w:color w:val="000000" w:themeColor="text1"/>
        </w:rPr>
        <w:t xml:space="preserve"> groups</w:t>
      </w:r>
      <w:r w:rsidR="00E47222">
        <w:rPr>
          <w:color w:val="000000" w:themeColor="text1"/>
        </w:rPr>
        <w:t xml:space="preserve">. </w:t>
      </w:r>
      <w:r w:rsidRPr="00E66113">
        <w:rPr>
          <w:color w:val="000000" w:themeColor="text1"/>
        </w:rPr>
        <w:t xml:space="preserve">Additionally, the study blind </w:t>
      </w:r>
      <w:r w:rsidR="00EF4231">
        <w:rPr>
          <w:color w:val="000000" w:themeColor="text1"/>
        </w:rPr>
        <w:t xml:space="preserve">failed in </w:t>
      </w:r>
      <w:r w:rsidR="005C4CC0">
        <w:rPr>
          <w:color w:val="000000" w:themeColor="text1"/>
        </w:rPr>
        <w:t xml:space="preserve">both </w:t>
      </w:r>
      <w:r w:rsidR="003A145D">
        <w:rPr>
          <w:color w:val="000000" w:themeColor="text1"/>
        </w:rPr>
        <w:t xml:space="preserve">the </w:t>
      </w:r>
      <w:r w:rsidR="003A2F83">
        <w:rPr>
          <w:color w:val="000000" w:themeColor="text1"/>
        </w:rPr>
        <w:t xml:space="preserve">high THC </w:t>
      </w:r>
      <w:r w:rsidR="00EF4231">
        <w:rPr>
          <w:color w:val="000000" w:themeColor="text1"/>
        </w:rPr>
        <w:t>and</w:t>
      </w:r>
      <w:r w:rsidR="003A2F83">
        <w:rPr>
          <w:color w:val="000000" w:themeColor="text1"/>
        </w:rPr>
        <w:t xml:space="preserve"> combined</w:t>
      </w:r>
      <w:r w:rsidRPr="00E66113">
        <w:rPr>
          <w:color w:val="000000" w:themeColor="text1"/>
        </w:rPr>
        <w:t xml:space="preserve"> THC</w:t>
      </w:r>
      <w:r w:rsidR="00655F68">
        <w:rPr>
          <w:color w:val="000000" w:themeColor="text1"/>
        </w:rPr>
        <w:t>+</w:t>
      </w:r>
      <w:r w:rsidRPr="00E66113">
        <w:rPr>
          <w:color w:val="000000" w:themeColor="text1"/>
        </w:rPr>
        <w:t>CBD</w:t>
      </w:r>
      <w:r w:rsidR="003A145D">
        <w:rPr>
          <w:color w:val="000000" w:themeColor="text1"/>
        </w:rPr>
        <w:t xml:space="preserve"> groups</w:t>
      </w:r>
      <w:r w:rsidR="00EF4231">
        <w:rPr>
          <w:color w:val="000000" w:themeColor="text1"/>
        </w:rPr>
        <w:t xml:space="preserve"> (i.e., 100% of the participants and clinicians guessed the allocation to an active treatment group)</w:t>
      </w:r>
      <w:r w:rsidRPr="00E66113">
        <w:rPr>
          <w:color w:val="000000" w:themeColor="text1"/>
        </w:rPr>
        <w:t xml:space="preserve">. </w:t>
      </w:r>
      <w:r w:rsidR="00E20705">
        <w:rPr>
          <w:color w:val="000000" w:themeColor="text1"/>
        </w:rPr>
        <w:t>Importantly</w:t>
      </w:r>
      <w:r w:rsidRPr="00E66113">
        <w:rPr>
          <w:color w:val="000000" w:themeColor="text1"/>
        </w:rPr>
        <w:t xml:space="preserve">, </w:t>
      </w:r>
      <w:r w:rsidR="005751E5">
        <w:rPr>
          <w:color w:val="000000" w:themeColor="text1"/>
        </w:rPr>
        <w:t>the authors noted a major</w:t>
      </w:r>
      <w:r w:rsidR="002E595C">
        <w:rPr>
          <w:color w:val="000000" w:themeColor="text1"/>
        </w:rPr>
        <w:t xml:space="preserve"> study</w:t>
      </w:r>
      <w:r w:rsidR="005751E5">
        <w:rPr>
          <w:color w:val="000000" w:themeColor="text1"/>
        </w:rPr>
        <w:t xml:space="preserve"> limitation</w:t>
      </w:r>
      <w:r w:rsidR="00F43AE6">
        <w:rPr>
          <w:color w:val="000000" w:themeColor="text1"/>
        </w:rPr>
        <w:t xml:space="preserve">: </w:t>
      </w:r>
      <w:r w:rsidR="00A2636B">
        <w:rPr>
          <w:color w:val="000000" w:themeColor="text1"/>
        </w:rPr>
        <w:t xml:space="preserve">in Stage </w:t>
      </w:r>
      <w:r w:rsidR="00D24509">
        <w:rPr>
          <w:color w:val="000000" w:themeColor="text1"/>
        </w:rPr>
        <w:t>I</w:t>
      </w:r>
      <w:r w:rsidR="00A2636B">
        <w:rPr>
          <w:color w:val="000000" w:themeColor="text1"/>
        </w:rPr>
        <w:t xml:space="preserve">, </w:t>
      </w:r>
      <w:r w:rsidR="00E47222">
        <w:rPr>
          <w:color w:val="000000" w:themeColor="text1"/>
        </w:rPr>
        <w:t xml:space="preserve">the </w:t>
      </w:r>
      <w:r w:rsidRPr="00E66113">
        <w:rPr>
          <w:color w:val="000000" w:themeColor="text1"/>
        </w:rPr>
        <w:t>participant</w:t>
      </w:r>
      <w:r w:rsidR="00461699">
        <w:rPr>
          <w:color w:val="000000" w:themeColor="text1"/>
        </w:rPr>
        <w:t>s who were randomised</w:t>
      </w:r>
      <w:r w:rsidR="00E47222">
        <w:rPr>
          <w:color w:val="000000" w:themeColor="text1"/>
        </w:rPr>
        <w:t xml:space="preserve"> to receive h</w:t>
      </w:r>
      <w:r w:rsidRPr="00E66113">
        <w:rPr>
          <w:color w:val="000000" w:themeColor="text1"/>
        </w:rPr>
        <w:t>igh</w:t>
      </w:r>
      <w:r w:rsidR="00E47222">
        <w:rPr>
          <w:color w:val="000000" w:themeColor="text1"/>
        </w:rPr>
        <w:t xml:space="preserve"> THC had </w:t>
      </w:r>
      <w:r w:rsidR="004E5083">
        <w:rPr>
          <w:color w:val="000000" w:themeColor="text1"/>
        </w:rPr>
        <w:t xml:space="preserve">a </w:t>
      </w:r>
      <w:r w:rsidR="00E47222">
        <w:rPr>
          <w:color w:val="000000" w:themeColor="text1"/>
        </w:rPr>
        <w:t>risk of cannabis use disorder</w:t>
      </w:r>
      <w:r w:rsidR="004E5083">
        <w:rPr>
          <w:color w:val="000000" w:themeColor="text1"/>
        </w:rPr>
        <w:t xml:space="preserve"> </w:t>
      </w:r>
      <w:r w:rsidR="005618B8">
        <w:rPr>
          <w:color w:val="000000" w:themeColor="text1"/>
        </w:rPr>
        <w:t xml:space="preserve">that was nearly two times higher than the </w:t>
      </w:r>
      <w:r w:rsidR="005618B8" w:rsidRPr="00E66113">
        <w:rPr>
          <w:color w:val="000000" w:themeColor="text1"/>
        </w:rPr>
        <w:t xml:space="preserve">participants who were assigned to </w:t>
      </w:r>
      <w:r w:rsidR="005618B8">
        <w:rPr>
          <w:color w:val="000000" w:themeColor="text1"/>
        </w:rPr>
        <w:t xml:space="preserve">the </w:t>
      </w:r>
      <w:r w:rsidR="005618B8" w:rsidRPr="00E66113">
        <w:rPr>
          <w:color w:val="000000" w:themeColor="text1"/>
        </w:rPr>
        <w:t>other active treatment conditions</w:t>
      </w:r>
      <w:r w:rsidR="005618B8">
        <w:rPr>
          <w:color w:val="000000" w:themeColor="text1"/>
        </w:rPr>
        <w:t xml:space="preserve"> </w:t>
      </w:r>
      <w:r w:rsidR="004E5083">
        <w:rPr>
          <w:color w:val="000000" w:themeColor="text1"/>
        </w:rPr>
        <w:t>(</w:t>
      </w:r>
      <w:r w:rsidR="005744EE">
        <w:rPr>
          <w:color w:val="000000" w:themeColor="text1"/>
        </w:rPr>
        <w:t xml:space="preserve">as measured by the </w:t>
      </w:r>
      <w:r w:rsidR="00461699">
        <w:rPr>
          <w:color w:val="000000" w:themeColor="text1"/>
        </w:rPr>
        <w:t>Cannabis Use Disorders Identification Test</w:t>
      </w:r>
      <w:r w:rsidR="000857D0">
        <w:rPr>
          <w:color w:val="000000" w:themeColor="text1"/>
        </w:rPr>
        <w:t xml:space="preserve"> – Revised</w:t>
      </w:r>
      <w:r w:rsidR="00461699">
        <w:rPr>
          <w:color w:val="000000" w:themeColor="text1"/>
        </w:rPr>
        <w:t xml:space="preserve">, </w:t>
      </w:r>
      <w:r w:rsidR="004E5083">
        <w:rPr>
          <w:color w:val="000000" w:themeColor="text1"/>
        </w:rPr>
        <w:t>CUDIT</w:t>
      </w:r>
      <w:r w:rsidR="000857D0">
        <w:rPr>
          <w:color w:val="000000" w:themeColor="text1"/>
        </w:rPr>
        <w:t>-R</w:t>
      </w:r>
      <w:r w:rsidRPr="00E66113">
        <w:rPr>
          <w:color w:val="000000" w:themeColor="text1"/>
        </w:rPr>
        <w:t xml:space="preserve">). </w:t>
      </w:r>
      <w:r w:rsidR="00A25181">
        <w:rPr>
          <w:color w:val="000000" w:themeColor="text1"/>
        </w:rPr>
        <w:t xml:space="preserve">Finally, </w:t>
      </w:r>
      <w:r w:rsidR="005712A2">
        <w:rPr>
          <w:color w:val="000000" w:themeColor="text1"/>
        </w:rPr>
        <w:t xml:space="preserve">by the end of Stage </w:t>
      </w:r>
      <w:r w:rsidR="00D24509">
        <w:rPr>
          <w:color w:val="000000" w:themeColor="text1"/>
        </w:rPr>
        <w:t>II</w:t>
      </w:r>
      <w:r w:rsidR="005712A2">
        <w:rPr>
          <w:color w:val="000000" w:themeColor="text1"/>
        </w:rPr>
        <w:t xml:space="preserve">, a significant proportion of participants </w:t>
      </w:r>
      <w:r w:rsidR="004B76A2">
        <w:rPr>
          <w:color w:val="000000" w:themeColor="text1"/>
        </w:rPr>
        <w:t xml:space="preserve">(16.3%; </w:t>
      </w:r>
      <w:r w:rsidR="00B8332A" w:rsidRPr="00F62917">
        <w:rPr>
          <w:i/>
          <w:iCs/>
          <w:color w:val="000000" w:themeColor="text1"/>
        </w:rPr>
        <w:t>n</w:t>
      </w:r>
      <w:r w:rsidR="00B8332A">
        <w:rPr>
          <w:color w:val="000000" w:themeColor="text1"/>
        </w:rPr>
        <w:t xml:space="preserve"> = </w:t>
      </w:r>
      <w:r w:rsidR="004B76A2">
        <w:rPr>
          <w:color w:val="000000" w:themeColor="text1"/>
        </w:rPr>
        <w:t>13/80</w:t>
      </w:r>
      <w:r w:rsidR="004B76A2" w:rsidRPr="00E66113">
        <w:rPr>
          <w:color w:val="000000" w:themeColor="text1"/>
        </w:rPr>
        <w:t>)</w:t>
      </w:r>
      <w:r w:rsidR="004B76A2">
        <w:rPr>
          <w:color w:val="000000" w:themeColor="text1"/>
        </w:rPr>
        <w:t xml:space="preserve"> </w:t>
      </w:r>
      <w:r w:rsidR="005712A2">
        <w:rPr>
          <w:color w:val="000000" w:themeColor="text1"/>
        </w:rPr>
        <w:t xml:space="preserve">had dropped out of the study due to adverse events </w:t>
      </w:r>
      <w:r w:rsidR="004B76A2">
        <w:rPr>
          <w:color w:val="000000" w:themeColor="text1"/>
        </w:rPr>
        <w:t xml:space="preserve">(8) </w:t>
      </w:r>
      <w:r w:rsidR="005712A2">
        <w:rPr>
          <w:color w:val="000000" w:themeColor="text1"/>
        </w:rPr>
        <w:t xml:space="preserve">and </w:t>
      </w:r>
      <w:r w:rsidR="00010316">
        <w:rPr>
          <w:color w:val="000000" w:themeColor="text1"/>
        </w:rPr>
        <w:t>voluntary withdrawal</w:t>
      </w:r>
      <w:r w:rsidR="00F61102">
        <w:rPr>
          <w:color w:val="000000" w:themeColor="text1"/>
        </w:rPr>
        <w:t xml:space="preserve"> (</w:t>
      </w:r>
      <w:r w:rsidR="009630B6">
        <w:rPr>
          <w:color w:val="000000" w:themeColor="text1"/>
        </w:rPr>
        <w:t>5)</w:t>
      </w:r>
      <w:r w:rsidR="00D84393">
        <w:rPr>
          <w:color w:val="000000" w:themeColor="text1"/>
        </w:rPr>
        <w:t xml:space="preserve">. The authors noted </w:t>
      </w:r>
      <w:r w:rsidR="002A75C6">
        <w:rPr>
          <w:color w:val="000000" w:themeColor="text1"/>
        </w:rPr>
        <w:t xml:space="preserve">that the </w:t>
      </w:r>
      <w:r w:rsidR="00E47222">
        <w:rPr>
          <w:color w:val="000000" w:themeColor="text1"/>
        </w:rPr>
        <w:t xml:space="preserve">self-administration </w:t>
      </w:r>
      <w:r w:rsidRPr="00E66113">
        <w:rPr>
          <w:color w:val="000000" w:themeColor="text1"/>
        </w:rPr>
        <w:t xml:space="preserve">of cannabis </w:t>
      </w:r>
      <w:r w:rsidR="002A75C6">
        <w:rPr>
          <w:color w:val="000000" w:themeColor="text1"/>
        </w:rPr>
        <w:t>was lower than expected (based on a comparative analysis to other studies)</w:t>
      </w:r>
      <w:r w:rsidR="004F35E2">
        <w:rPr>
          <w:color w:val="000000" w:themeColor="text1"/>
        </w:rPr>
        <w:t xml:space="preserve">, which they attributed to </w:t>
      </w:r>
      <w:r w:rsidR="007A47B6">
        <w:rPr>
          <w:color w:val="000000" w:themeColor="text1"/>
        </w:rPr>
        <w:t>the lower perceived q</w:t>
      </w:r>
      <w:r w:rsidR="00E47222">
        <w:rPr>
          <w:color w:val="000000" w:themeColor="text1"/>
        </w:rPr>
        <w:t xml:space="preserve">uality of the </w:t>
      </w:r>
      <w:r w:rsidRPr="00E66113">
        <w:rPr>
          <w:color w:val="000000" w:themeColor="text1"/>
        </w:rPr>
        <w:t>cannabis avail</w:t>
      </w:r>
      <w:r w:rsidR="000A43FE">
        <w:rPr>
          <w:color w:val="000000" w:themeColor="text1"/>
        </w:rPr>
        <w:t>able for the study</w:t>
      </w:r>
      <w:r w:rsidR="00645B51">
        <w:rPr>
          <w:color w:val="000000" w:themeColor="text1"/>
        </w:rPr>
        <w:t>, relative to the q</w:t>
      </w:r>
      <w:r w:rsidRPr="00E66113">
        <w:rPr>
          <w:color w:val="000000" w:themeColor="text1"/>
        </w:rPr>
        <w:t xml:space="preserve">uality of cannabis </w:t>
      </w:r>
      <w:r w:rsidR="009435B7">
        <w:rPr>
          <w:color w:val="000000" w:themeColor="text1"/>
        </w:rPr>
        <w:t>sold commercially</w:t>
      </w:r>
      <w:r w:rsidR="00E47222">
        <w:rPr>
          <w:color w:val="000000" w:themeColor="text1"/>
        </w:rPr>
        <w:t>.</w:t>
      </w:r>
    </w:p>
    <w:p w14:paraId="1B0DEC82" w14:textId="37B31FD2" w:rsidR="00BB0D21" w:rsidRPr="009B4D43" w:rsidRDefault="00BB0D21" w:rsidP="00BB0D21">
      <w:pPr>
        <w:pStyle w:val="Heading1"/>
      </w:pPr>
      <w:bookmarkStart w:id="252" w:name="_Toc165018219"/>
      <w:r w:rsidRPr="009B4D43">
        <w:t>Strengths and Limitations</w:t>
      </w:r>
      <w:bookmarkEnd w:id="252"/>
    </w:p>
    <w:p w14:paraId="5231452A" w14:textId="77777777" w:rsidR="008576BF" w:rsidRDefault="008576BF" w:rsidP="008576BF">
      <w:pPr>
        <w:jc w:val="both"/>
        <w:rPr>
          <w:lang w:val="en-US"/>
        </w:rPr>
      </w:pPr>
      <w:r w:rsidRPr="00EB21D5">
        <w:rPr>
          <w:lang w:val="en-US"/>
        </w:rPr>
        <w:t xml:space="preserve">Strengths of the REA include the focus on peer-reviewed </w:t>
      </w:r>
      <w:r>
        <w:rPr>
          <w:lang w:val="en-US"/>
        </w:rPr>
        <w:t>L</w:t>
      </w:r>
      <w:r w:rsidRPr="00EB21D5">
        <w:rPr>
          <w:lang w:val="en-US"/>
        </w:rPr>
        <w:t xml:space="preserve">evel I and </w:t>
      </w:r>
      <w:r>
        <w:rPr>
          <w:lang w:val="en-US"/>
        </w:rPr>
        <w:t>L</w:t>
      </w:r>
      <w:r w:rsidRPr="00EB21D5">
        <w:rPr>
          <w:lang w:val="en-US"/>
        </w:rPr>
        <w:t xml:space="preserve">evel II </w:t>
      </w:r>
      <w:r w:rsidRPr="00DF7A15">
        <w:rPr>
          <w:lang w:val="en-US"/>
        </w:rPr>
        <w:t xml:space="preserve">evidence </w:t>
      </w:r>
      <w:r>
        <w:rPr>
          <w:lang w:val="en-US"/>
        </w:rPr>
        <w:t>(</w:t>
      </w:r>
      <w:r w:rsidRPr="00DF7A15">
        <w:rPr>
          <w:lang w:val="en-US"/>
        </w:rPr>
        <w:t>NHMRC, 2009</w:t>
      </w:r>
      <w:r>
        <w:rPr>
          <w:lang w:val="en-US"/>
        </w:rPr>
        <w:t>)</w:t>
      </w:r>
      <w:r w:rsidRPr="00DF7A15">
        <w:rPr>
          <w:lang w:val="en-US"/>
        </w:rPr>
        <w:t xml:space="preserve"> from</w:t>
      </w:r>
      <w:r w:rsidRPr="00EB21D5">
        <w:rPr>
          <w:lang w:val="en-US"/>
        </w:rPr>
        <w:t xml:space="preserve"> scientific journals in the fields of health, medicine, psychiatry, and psychology (including a specialist database developed by the US Department of Veterans’ Affairs focusing on literature rel</w:t>
      </w:r>
      <w:r>
        <w:rPr>
          <w:lang w:val="en-US"/>
        </w:rPr>
        <w:t xml:space="preserve">evant to veterans with PTSD). </w:t>
      </w:r>
      <w:r w:rsidRPr="00EB21D5">
        <w:rPr>
          <w:lang w:val="en-US"/>
        </w:rPr>
        <w:t>Limitations of the REA include the exclusion of potentially relevant papers that were published prior to 2017 and the exclusion of non-English language papers.</w:t>
      </w:r>
      <w:r>
        <w:rPr>
          <w:lang w:val="en-US"/>
        </w:rPr>
        <w:t xml:space="preserve"> </w:t>
      </w:r>
    </w:p>
    <w:p w14:paraId="4FA7199B" w14:textId="2B0ED766" w:rsidR="00891733" w:rsidRPr="00EB21D5" w:rsidRDefault="00891733" w:rsidP="00891733">
      <w:pPr>
        <w:jc w:val="both"/>
        <w:rPr>
          <w:lang w:val="en-US"/>
        </w:rPr>
      </w:pPr>
      <w:r w:rsidRPr="00C33349">
        <w:t xml:space="preserve">The </w:t>
      </w:r>
      <w:r w:rsidR="004361E5">
        <w:t xml:space="preserve">medicinal cannabis </w:t>
      </w:r>
      <w:r w:rsidRPr="00C33349">
        <w:t xml:space="preserve">studies </w:t>
      </w:r>
      <w:r>
        <w:t xml:space="preserve">included in the REA </w:t>
      </w:r>
      <w:r w:rsidRPr="00C33349">
        <w:t xml:space="preserve">employed various participant samples, various treatment regimens, and various </w:t>
      </w:r>
      <w:r>
        <w:t xml:space="preserve">outcome </w:t>
      </w:r>
      <w:r w:rsidRPr="00313961">
        <w:t>measures. Some studies were based on small participant samples, and there were concerns as to whether the studies were adequately powered to detect the effect/s of the intervention/s.</w:t>
      </w:r>
      <w:r>
        <w:t xml:space="preserve"> Other studies had high rates of study dropout, which raised significant concerns about the risk of bias due to missing outcome data. </w:t>
      </w:r>
      <w:r w:rsidRPr="00313961">
        <w:rPr>
          <w:lang w:val="en-US"/>
        </w:rPr>
        <w:t>Further methodologically robust research on medicinal cannabis interventions (conducted with larger cohorts over longer follow-up periods) is warranted.</w:t>
      </w:r>
    </w:p>
    <w:p w14:paraId="59BF200E" w14:textId="1E20CF32" w:rsidR="00BB0D21" w:rsidRPr="009B4D43" w:rsidRDefault="00BB0D21" w:rsidP="00BB0D21">
      <w:pPr>
        <w:pStyle w:val="Heading1"/>
      </w:pPr>
      <w:bookmarkStart w:id="253" w:name="_Toc165018220"/>
      <w:r w:rsidRPr="009B4D43">
        <w:t>Conclusions and Recommendations for Future Research</w:t>
      </w:r>
      <w:bookmarkEnd w:id="253"/>
    </w:p>
    <w:p w14:paraId="7B86C65D" w14:textId="77777777" w:rsidR="003A2833" w:rsidRDefault="003A2833" w:rsidP="003A2833">
      <w:pPr>
        <w:jc w:val="both"/>
      </w:pPr>
      <w:r w:rsidRPr="00C33349">
        <w:t xml:space="preserve">It is difficult to draw conclusions </w:t>
      </w:r>
      <w:r>
        <w:t xml:space="preserve">and recommendations </w:t>
      </w:r>
      <w:r w:rsidRPr="00C33349">
        <w:t xml:space="preserve">regarding medicinal cannabis interventions from the body of evidence considered by the REA. </w:t>
      </w:r>
      <w:r>
        <w:t>Two studies examined standalone</w:t>
      </w:r>
      <w:r>
        <w:rPr>
          <w:rFonts w:eastAsia="Times New Roman" w:cstheme="minorHAnsi"/>
          <w:szCs w:val="20"/>
          <w:lang w:eastAsia="en-AU"/>
        </w:rPr>
        <w:t xml:space="preserve"> medicinal cannabis interventions for participants with anxiety disorders: in one study, </w:t>
      </w:r>
      <w:r w:rsidRPr="001251AB">
        <w:rPr>
          <w:rFonts w:eastAsia="Times New Roman" w:cstheme="minorHAnsi"/>
          <w:szCs w:val="20"/>
          <w:lang w:eastAsia="en-AU"/>
        </w:rPr>
        <w:t>medicinal cannabis appeared to improve treatment outcomes; in the other study, the treatment effects were not significant</w:t>
      </w:r>
      <w:r w:rsidRPr="00E853EF">
        <w:rPr>
          <w:rFonts w:eastAsia="Times New Roman" w:cstheme="minorHAnsi"/>
          <w:szCs w:val="20"/>
          <w:lang w:eastAsia="en-AU"/>
        </w:rPr>
        <w:t>.</w:t>
      </w:r>
      <w:r w:rsidRPr="00E853EF" w:rsidDel="00843C3E">
        <w:rPr>
          <w:rFonts w:eastAsia="Times New Roman" w:cstheme="minorHAnsi"/>
          <w:szCs w:val="20"/>
          <w:lang w:eastAsia="en-AU"/>
        </w:rPr>
        <w:t xml:space="preserve"> </w:t>
      </w:r>
      <w:r>
        <w:rPr>
          <w:rFonts w:eastAsia="Times New Roman" w:cstheme="minorHAnsi"/>
          <w:szCs w:val="20"/>
          <w:lang w:eastAsia="en-AU"/>
        </w:rPr>
        <w:t xml:space="preserve">Both studies had a high risk of bias. No studies included in the REA examined a combined medicinal cannabis intervention for anxiety disorders. Additionally, no studies examined </w:t>
      </w:r>
      <w:r>
        <w:t xml:space="preserve">medicinal cannabis interventions (either standalone or combined) for mood/depressive disorders. </w:t>
      </w:r>
      <w:r w:rsidRPr="005E6E5B">
        <w:rPr>
          <w:rFonts w:eastAsia="Times New Roman" w:cstheme="minorHAnsi"/>
          <w:szCs w:val="20"/>
          <w:lang w:eastAsia="en-AU"/>
        </w:rPr>
        <w:t>Three studies included in the REA examined a standalone</w:t>
      </w:r>
      <w:r w:rsidRPr="005E6E5B">
        <w:t xml:space="preserve"> medicinal cannabis intervention for substance-related and addictive disorders: </w:t>
      </w:r>
      <w:r w:rsidRPr="0057430F">
        <w:t>all three studies had a high risk of bias. I</w:t>
      </w:r>
      <w:r w:rsidRPr="005E6E5B">
        <w:t>n two studies, medicinal cannabis appeared to improve treatment outcomes</w:t>
      </w:r>
      <w:r w:rsidRPr="0057430F">
        <w:t>; i</w:t>
      </w:r>
      <w:r w:rsidRPr="005E6E5B">
        <w:t xml:space="preserve">n the </w:t>
      </w:r>
      <w:r w:rsidRPr="0057430F">
        <w:t>third</w:t>
      </w:r>
      <w:r w:rsidRPr="005E6E5B">
        <w:t xml:space="preserve"> study, the treatment effects were not significant.</w:t>
      </w:r>
      <w:r w:rsidRPr="00956A17">
        <w:t xml:space="preserve"> </w:t>
      </w:r>
      <w:r>
        <w:t>S</w:t>
      </w:r>
      <w:r w:rsidRPr="00956A17">
        <w:t>ix s</w:t>
      </w:r>
      <w:r>
        <w:t>tudies</w:t>
      </w:r>
      <w:r w:rsidRPr="00956A17">
        <w:t xml:space="preserve"> examined a combined medicinal cannabis and psychotherapy intervention for participants with substance-related disorders</w:t>
      </w:r>
      <w:r>
        <w:t xml:space="preserve">. The findings from these studies were </w:t>
      </w:r>
      <w:r w:rsidRPr="00956A17">
        <w:t xml:space="preserve">mixed: some studies showed an effect of the treatment, and other studies failed show a treatment effect. </w:t>
      </w:r>
      <w:r>
        <w:t xml:space="preserve">For example, there were two studies that examined a combined psychotherapy and medicinal </w:t>
      </w:r>
      <w:r w:rsidRPr="00C67F88">
        <w:t xml:space="preserve">cannabis </w:t>
      </w:r>
      <w:r>
        <w:t xml:space="preserve">(oromucosal spray) intervention for the treatment of cannabis use disorder. One study reported that cannabis treatment was superior to placebo; the other study failed to demonstrate benefits of cannabis treatment over placebo. Both studies were judged to have a high risk of bias; primarily due to missing outcome data: </w:t>
      </w:r>
      <w:r w:rsidRPr="00A44D1D">
        <w:t xml:space="preserve">approximately 50% of </w:t>
      </w:r>
      <w:r w:rsidRPr="0057430F">
        <w:t xml:space="preserve">the </w:t>
      </w:r>
      <w:r w:rsidRPr="00A44D1D">
        <w:t>participants dropped out before the end of the 12-week treatment.</w:t>
      </w:r>
      <w:r>
        <w:t xml:space="preserve">  </w:t>
      </w:r>
    </w:p>
    <w:p w14:paraId="7C74D2BF" w14:textId="77777777" w:rsidR="003A2833" w:rsidRPr="006F6ABC" w:rsidRDefault="003A2833" w:rsidP="003A2833">
      <w:pPr>
        <w:jc w:val="both"/>
      </w:pPr>
      <w:r>
        <w:t>T</w:t>
      </w:r>
      <w:r w:rsidRPr="00C256F6">
        <w:t xml:space="preserve">here is a paucity of high-quality evidence examining </w:t>
      </w:r>
      <w:r>
        <w:t>medicinal cannabis</w:t>
      </w:r>
      <w:r w:rsidRPr="00C256F6">
        <w:t xml:space="preserve"> </w:t>
      </w:r>
      <w:r>
        <w:t>interventions</w:t>
      </w:r>
      <w:r w:rsidRPr="00C256F6">
        <w:t xml:space="preserve"> in </w:t>
      </w:r>
      <w:r>
        <w:t xml:space="preserve">anxiety disorders, mood/depressive disorders, substance-related and additive disorders, and trauma- and stressor-related disorders (including </w:t>
      </w:r>
      <w:r w:rsidRPr="00C256F6">
        <w:t>PTSD</w:t>
      </w:r>
      <w:r>
        <w:t>)</w:t>
      </w:r>
      <w:r w:rsidRPr="00C256F6">
        <w:t xml:space="preserve">. </w:t>
      </w:r>
      <w:r>
        <w:t>The REA search strategy identified 12 clinical trial records for ongoing randomised controlled trials focusing on medicinal cannabis interventions (</w:t>
      </w:r>
      <w:r>
        <w:rPr>
          <w:lang w:val="en-US"/>
        </w:rPr>
        <w:t>see Appendix 4 for details</w:t>
      </w:r>
      <w:r>
        <w:t>). Most of these studies are recruiting participants with a PTSD diagnosis (with or without comorbid conditions). The findings from these</w:t>
      </w:r>
      <w:r w:rsidRPr="0033635F">
        <w:t xml:space="preserve"> studies </w:t>
      </w:r>
      <w:r>
        <w:t xml:space="preserve">may be relevant to </w:t>
      </w:r>
      <w:r w:rsidRPr="0033635F">
        <w:t>future reports</w:t>
      </w:r>
      <w:r>
        <w:t>.</w:t>
      </w:r>
    </w:p>
    <w:p w14:paraId="28C5D80F" w14:textId="77777777" w:rsidR="003A2833" w:rsidRPr="006F6ABC" w:rsidRDefault="003A2833" w:rsidP="003A2833">
      <w:pPr>
        <w:jc w:val="both"/>
      </w:pPr>
      <w:r>
        <w:lastRenderedPageBreak/>
        <w:t>A productive direction for f</w:t>
      </w:r>
      <w:r w:rsidRPr="006F6ABC">
        <w:t>uture researc</w:t>
      </w:r>
      <w:r>
        <w:t xml:space="preserve">h efforts would be to focus on </w:t>
      </w:r>
      <w:r w:rsidRPr="006F6ABC">
        <w:t>medic</w:t>
      </w:r>
      <w:r>
        <w:t>inal cannabis interventions for v</w:t>
      </w:r>
      <w:r w:rsidRPr="006F6ABC">
        <w:t xml:space="preserve">eterans with co-morbid PTSD, anxiety, depression, and chronic pain syndromes </w:t>
      </w:r>
      <w:r>
        <w:t>that are a</w:t>
      </w:r>
      <w:r w:rsidRPr="006F6ABC">
        <w:t xml:space="preserve">ssociated with premature </w:t>
      </w:r>
      <w:r>
        <w:t>(</w:t>
      </w:r>
      <w:r w:rsidRPr="006F6ABC">
        <w:t>joint and</w:t>
      </w:r>
      <w:r>
        <w:t xml:space="preserve"> soft tissue) injuries of weight-</w:t>
      </w:r>
      <w:r w:rsidRPr="006F6ABC">
        <w:t xml:space="preserve">bearing joints. This </w:t>
      </w:r>
      <w:r>
        <w:t xml:space="preserve">is a clinical presentation </w:t>
      </w:r>
      <w:r w:rsidRPr="006F6ABC">
        <w:t xml:space="preserve">where medicinal cannabis is </w:t>
      </w:r>
      <w:r>
        <w:t xml:space="preserve">currently </w:t>
      </w:r>
      <w:r w:rsidRPr="006F6ABC">
        <w:t>being prescribed</w:t>
      </w:r>
      <w:r>
        <w:t xml:space="preserve">, and there would be considerable interest in the study findings. Studies that investigate </w:t>
      </w:r>
      <w:r w:rsidRPr="006F6ABC">
        <w:t xml:space="preserve">both the psychoactive and pain-modulating effects of cannabinoids </w:t>
      </w:r>
      <w:r>
        <w:t xml:space="preserve">may be the most </w:t>
      </w:r>
      <w:r w:rsidRPr="006F6ABC">
        <w:t>likely to yie</w:t>
      </w:r>
      <w:r>
        <w:t>ld positive outcomes. Additionally, f</w:t>
      </w:r>
      <w:r w:rsidRPr="006F6ABC">
        <w:t xml:space="preserve">uture research </w:t>
      </w:r>
      <w:r>
        <w:t>c</w:t>
      </w:r>
      <w:r w:rsidRPr="006F6ABC">
        <w:t xml:space="preserve">ould examine the </w:t>
      </w:r>
      <w:r>
        <w:t>efficacy o</w:t>
      </w:r>
      <w:r w:rsidRPr="006F6ABC">
        <w:t>f can</w:t>
      </w:r>
      <w:r>
        <w:t xml:space="preserve">nabinoids for addressing insomnia and </w:t>
      </w:r>
      <w:r w:rsidRPr="006F6ABC">
        <w:t xml:space="preserve">sleep disturbance in veterans with </w:t>
      </w:r>
      <w:r>
        <w:t xml:space="preserve">formally </w:t>
      </w:r>
      <w:r w:rsidRPr="006F6ABC">
        <w:t>diagnosed mental health conditions.</w:t>
      </w:r>
      <w:r>
        <w:t xml:space="preserve"> </w:t>
      </w:r>
    </w:p>
    <w:p w14:paraId="4942FC3C" w14:textId="7F7C4138" w:rsidR="007A07E2" w:rsidRDefault="003A2833">
      <w:pPr>
        <w:spacing w:after="160"/>
        <w:rPr>
          <w:rFonts w:asciiTheme="majorHAnsi" w:eastAsiaTheme="majorEastAsia" w:hAnsiTheme="majorHAnsi" w:cstheme="majorBidi"/>
          <w:color w:val="2E74B5" w:themeColor="accent1" w:themeShade="BF"/>
          <w:sz w:val="32"/>
          <w:szCs w:val="32"/>
        </w:rPr>
      </w:pPr>
      <w:r>
        <w:t xml:space="preserve">Finally, it is important for practitioners and consumers to note that the GRADE summaries in this report assess the certainty of the body of evidence for the randomised controlled trials included in the REA. These findings cannot be generalised beyond the specific interventions and mental health conditions that are the focus of the included studies. </w:t>
      </w:r>
      <w:r w:rsidR="007A07E2">
        <w:br w:type="page"/>
      </w:r>
    </w:p>
    <w:p w14:paraId="427C4D38" w14:textId="153C66DD" w:rsidR="00BB0D21" w:rsidRPr="009B4D43" w:rsidRDefault="00BB0D21" w:rsidP="00BB0D21">
      <w:pPr>
        <w:pStyle w:val="Heading1"/>
      </w:pPr>
      <w:bookmarkStart w:id="254" w:name="_Toc165018221"/>
      <w:r w:rsidRPr="005D6E23">
        <w:lastRenderedPageBreak/>
        <w:t>Reference List</w:t>
      </w:r>
      <w:bookmarkEnd w:id="254"/>
    </w:p>
    <w:p w14:paraId="0E362D2D" w14:textId="7FBBAC13" w:rsidR="00EE3301" w:rsidRDefault="00EE3301" w:rsidP="00D42A7B">
      <w:pPr>
        <w:autoSpaceDE w:val="0"/>
        <w:autoSpaceDN w:val="0"/>
        <w:adjustRightInd w:val="0"/>
        <w:spacing w:after="0"/>
        <w:ind w:left="357" w:hanging="357"/>
      </w:pPr>
      <w:bookmarkStart w:id="255" w:name="_Toc96361239"/>
      <w:r>
        <w:t xml:space="preserve">American Psychiatric Association. (2022). </w:t>
      </w:r>
      <w:r w:rsidR="008C5092">
        <w:rPr>
          <w:i/>
        </w:rPr>
        <w:t>DSM h</w:t>
      </w:r>
      <w:r w:rsidRPr="00EE3301">
        <w:rPr>
          <w:i/>
        </w:rPr>
        <w:t>istory</w:t>
      </w:r>
      <w:r>
        <w:t xml:space="preserve">. </w:t>
      </w:r>
      <w:hyperlink r:id="rId34" w:history="1">
        <w:r w:rsidR="00D42A7B" w:rsidRPr="00BD29BC">
          <w:rPr>
            <w:rStyle w:val="Hyperlink"/>
          </w:rPr>
          <w:t>https://www.psychiatry.org/psychiatrists/practice/dsm/history-of-the-dsm</w:t>
        </w:r>
      </w:hyperlink>
      <w:r w:rsidR="004A71BC">
        <w:t xml:space="preserve"> </w:t>
      </w:r>
      <w:r>
        <w:t xml:space="preserve"> </w:t>
      </w:r>
    </w:p>
    <w:p w14:paraId="00D07736" w14:textId="77777777" w:rsidR="00B8654B" w:rsidRPr="00DF739B" w:rsidRDefault="00B8654B" w:rsidP="00D42A7B">
      <w:pPr>
        <w:autoSpaceDE w:val="0"/>
        <w:autoSpaceDN w:val="0"/>
        <w:adjustRightInd w:val="0"/>
        <w:spacing w:after="0"/>
        <w:ind w:left="357" w:hanging="357"/>
        <w:rPr>
          <w:rFonts w:ascii="Calibri" w:hAnsi="Calibri" w:cs="Calibri"/>
          <w:color w:val="0563C1" w:themeColor="hyperlink"/>
          <w:u w:val="single"/>
        </w:rPr>
      </w:pPr>
      <w:r w:rsidRPr="00AF746B">
        <w:rPr>
          <w:rFonts w:ascii="Calibri" w:hAnsi="Calibri" w:cs="Calibri"/>
        </w:rPr>
        <w:t xml:space="preserve">Araújo, A. M., Carvalho, F., de Lourdes Bastos, M., de Pinho, P. G., </w:t>
      </w:r>
      <w:r>
        <w:rPr>
          <w:rFonts w:ascii="Calibri" w:hAnsi="Calibri" w:cs="Calibri"/>
        </w:rPr>
        <w:t xml:space="preserve">&amp; </w:t>
      </w:r>
      <w:r w:rsidRPr="00AF746B">
        <w:rPr>
          <w:rFonts w:ascii="Calibri" w:hAnsi="Calibri" w:cs="Calibri"/>
        </w:rPr>
        <w:t xml:space="preserve">Carvalho, M. (2015). The hallucinogenic world of tryptamines: An updated review. </w:t>
      </w:r>
      <w:r w:rsidRPr="00AF746B">
        <w:rPr>
          <w:rFonts w:ascii="Calibri" w:hAnsi="Calibri" w:cs="Calibri"/>
          <w:i/>
        </w:rPr>
        <w:t>Archives of Toxicology,</w:t>
      </w:r>
      <w:r w:rsidRPr="00AF746B">
        <w:rPr>
          <w:rFonts w:ascii="Calibri" w:hAnsi="Calibri" w:cs="Calibri"/>
        </w:rPr>
        <w:t xml:space="preserve"> </w:t>
      </w:r>
      <w:r w:rsidRPr="00AF746B">
        <w:rPr>
          <w:rFonts w:ascii="Calibri" w:hAnsi="Calibri" w:cs="Calibri"/>
          <w:bCs/>
          <w:i/>
        </w:rPr>
        <w:t>89</w:t>
      </w:r>
      <w:r w:rsidRPr="00AF746B">
        <w:rPr>
          <w:rFonts w:ascii="Calibri" w:hAnsi="Calibri" w:cs="Calibri"/>
        </w:rPr>
        <w:t xml:space="preserve">(8), 1151-1173. </w:t>
      </w:r>
      <w:hyperlink r:id="rId35" w:history="1">
        <w:r w:rsidRPr="00AF746B">
          <w:rPr>
            <w:rStyle w:val="Hyperlink"/>
            <w:rFonts w:ascii="Calibri" w:hAnsi="Calibri" w:cs="Calibri"/>
          </w:rPr>
          <w:t>https://doi.org/10.1007/s00204-015-1513-x</w:t>
        </w:r>
      </w:hyperlink>
    </w:p>
    <w:p w14:paraId="2955F175" w14:textId="77777777" w:rsidR="00DF739B" w:rsidRDefault="00511DFB" w:rsidP="00D42A7B">
      <w:pPr>
        <w:autoSpaceDE w:val="0"/>
        <w:autoSpaceDN w:val="0"/>
        <w:adjustRightInd w:val="0"/>
        <w:spacing w:after="0"/>
        <w:ind w:left="357" w:hanging="357"/>
        <w:rPr>
          <w:rStyle w:val="Hyperlink"/>
          <w:rFonts w:ascii="Calibri" w:hAnsi="Calibri" w:cs="Calibri"/>
        </w:rPr>
      </w:pPr>
      <w:r w:rsidRPr="00297F9F">
        <w:rPr>
          <w:rFonts w:ascii="Calibri" w:hAnsi="Calibri" w:cs="Calibri"/>
        </w:rPr>
        <w:t xml:space="preserve">Arnold, J. C. (2021). A primer on medicinal cannabis safety and potential adverse effects. </w:t>
      </w:r>
      <w:r w:rsidRPr="00297F9F">
        <w:rPr>
          <w:rFonts w:ascii="Calibri" w:hAnsi="Calibri" w:cs="Calibri"/>
          <w:i/>
          <w:iCs/>
        </w:rPr>
        <w:t>Australian Journal of General Practice</w:t>
      </w:r>
      <w:r w:rsidRPr="00297F9F">
        <w:rPr>
          <w:rFonts w:ascii="Calibri" w:hAnsi="Calibri" w:cs="Calibri"/>
        </w:rPr>
        <w:t>,</w:t>
      </w:r>
      <w:r w:rsidRPr="00297F9F">
        <w:rPr>
          <w:rFonts w:ascii="Calibri" w:hAnsi="Calibri" w:cs="Calibri"/>
          <w:i/>
          <w:iCs/>
        </w:rPr>
        <w:t xml:space="preserve"> 50</w:t>
      </w:r>
      <w:r w:rsidRPr="00297F9F">
        <w:rPr>
          <w:rFonts w:ascii="Calibri" w:hAnsi="Calibri" w:cs="Calibri"/>
        </w:rPr>
        <w:t xml:space="preserve">(6), 345-350. </w:t>
      </w:r>
      <w:hyperlink r:id="rId36" w:history="1">
        <w:r w:rsidRPr="00615190">
          <w:rPr>
            <w:rStyle w:val="Hyperlink"/>
            <w:rFonts w:ascii="Calibri" w:hAnsi="Calibri" w:cs="Calibri"/>
          </w:rPr>
          <w:t>https://doi.org/10.31128/ajgp-02-21-5845</w:t>
        </w:r>
      </w:hyperlink>
    </w:p>
    <w:p w14:paraId="34691C70" w14:textId="77777777" w:rsidR="00B8654B" w:rsidRDefault="00B8654B" w:rsidP="00D42A7B">
      <w:pPr>
        <w:autoSpaceDE w:val="0"/>
        <w:autoSpaceDN w:val="0"/>
        <w:adjustRightInd w:val="0"/>
        <w:spacing w:after="0"/>
        <w:ind w:left="357" w:hanging="357"/>
        <w:rPr>
          <w:rFonts w:ascii="Calibri" w:hAnsi="Calibri" w:cs="Calibri"/>
          <w:color w:val="0563C1" w:themeColor="hyperlink"/>
          <w:u w:val="single"/>
        </w:rPr>
      </w:pPr>
      <w:r>
        <w:t xml:space="preserve">Arnold J. C., Nation T., &amp; McGregor I. S. (2020). Prescribing medicinal cannabis. </w:t>
      </w:r>
      <w:r w:rsidRPr="00EE3301">
        <w:rPr>
          <w:i/>
        </w:rPr>
        <w:t>Australian Prescriber, 43</w:t>
      </w:r>
      <w:r>
        <w:t xml:space="preserve">, 152-159. </w:t>
      </w:r>
      <w:hyperlink r:id="rId37" w:history="1">
        <w:r w:rsidRPr="006F3F76">
          <w:rPr>
            <w:rStyle w:val="Hyperlink"/>
          </w:rPr>
          <w:t>https://doi.org/10.18773/austprescr.2020.052</w:t>
        </w:r>
      </w:hyperlink>
      <w:r>
        <w:t xml:space="preserve">  </w:t>
      </w:r>
    </w:p>
    <w:p w14:paraId="74E55249" w14:textId="77777777" w:rsidR="0062120A" w:rsidRDefault="0062120A" w:rsidP="00D42A7B">
      <w:pPr>
        <w:autoSpaceDE w:val="0"/>
        <w:autoSpaceDN w:val="0"/>
        <w:adjustRightInd w:val="0"/>
        <w:spacing w:after="0"/>
        <w:ind w:left="357" w:hanging="357"/>
        <w:rPr>
          <w:rFonts w:ascii="Calibri" w:hAnsi="Calibri" w:cs="Calibri"/>
        </w:rPr>
      </w:pPr>
      <w:r w:rsidRPr="00CB5849">
        <w:rPr>
          <w:rFonts w:ascii="Calibri" w:hAnsi="Calibri" w:cs="Calibri"/>
        </w:rPr>
        <w:t>Bonn-Miller, M. O., Sisley, S., Riggs, P., Yazar-Klosinski, B., Wang, J. B., Loflin, M. J. E., Shechet, B., Hennigan, C., Matthews, R., Emerson, A., &amp; Doblin, R. (2021). The short-term impact of 3 smoked cannabis preparations versus placebo on PTSD symptoms: A randomized cross-over clinical trial. </w:t>
      </w:r>
      <w:r>
        <w:rPr>
          <w:rFonts w:ascii="Calibri" w:hAnsi="Calibri" w:cs="Calibri"/>
          <w:i/>
          <w:iCs/>
        </w:rPr>
        <w:t xml:space="preserve">PLOS </w:t>
      </w:r>
      <w:r w:rsidRPr="00CB5849">
        <w:rPr>
          <w:rFonts w:ascii="Calibri" w:hAnsi="Calibri" w:cs="Calibri"/>
          <w:i/>
          <w:iCs/>
        </w:rPr>
        <w:t>ONE</w:t>
      </w:r>
      <w:r w:rsidRPr="00CB5849">
        <w:rPr>
          <w:rFonts w:ascii="Calibri" w:hAnsi="Calibri" w:cs="Calibri"/>
        </w:rPr>
        <w:t>, </w:t>
      </w:r>
      <w:r w:rsidRPr="00CB5849">
        <w:rPr>
          <w:rFonts w:ascii="Calibri" w:hAnsi="Calibri" w:cs="Calibri"/>
          <w:i/>
          <w:iCs/>
        </w:rPr>
        <w:t>16</w:t>
      </w:r>
      <w:r w:rsidRPr="00CB5849">
        <w:rPr>
          <w:rFonts w:ascii="Calibri" w:hAnsi="Calibri" w:cs="Calibri"/>
        </w:rPr>
        <w:t xml:space="preserve">(3), </w:t>
      </w:r>
      <w:r>
        <w:rPr>
          <w:rFonts w:ascii="Calibri" w:hAnsi="Calibri" w:cs="Calibri"/>
        </w:rPr>
        <w:t xml:space="preserve">Article </w:t>
      </w:r>
      <w:r w:rsidRPr="00CB5849">
        <w:rPr>
          <w:rFonts w:ascii="Calibri" w:hAnsi="Calibri" w:cs="Calibri"/>
        </w:rPr>
        <w:t xml:space="preserve">e0246990. </w:t>
      </w:r>
      <w:hyperlink r:id="rId38" w:history="1">
        <w:r w:rsidRPr="00CB5849">
          <w:rPr>
            <w:rStyle w:val="Hyperlink"/>
            <w:rFonts w:ascii="Calibri" w:hAnsi="Calibri" w:cs="Calibri"/>
          </w:rPr>
          <w:t>https://doi.org/10.1371/journal.pone.0246990</w:t>
        </w:r>
      </w:hyperlink>
    </w:p>
    <w:p w14:paraId="33B848DA" w14:textId="39C41A8C" w:rsidR="00511DFB" w:rsidRDefault="00511DFB" w:rsidP="00D42A7B">
      <w:pPr>
        <w:autoSpaceDE w:val="0"/>
        <w:autoSpaceDN w:val="0"/>
        <w:adjustRightInd w:val="0"/>
        <w:spacing w:after="0"/>
        <w:ind w:left="357" w:hanging="357"/>
        <w:rPr>
          <w:rFonts w:ascii="Calibri" w:hAnsi="Calibri" w:cs="Calibri"/>
        </w:rPr>
      </w:pPr>
      <w:r w:rsidRPr="00297F9F">
        <w:rPr>
          <w:rFonts w:ascii="Calibri" w:hAnsi="Calibri" w:cs="Calibri"/>
        </w:rPr>
        <w:t xml:space="preserve">Bridgeman, M. B., &amp; Abazia, D. T. (2017). Medicinal cannabis: History, pharmacology, and implications for the acute care setting. </w:t>
      </w:r>
      <w:r w:rsidRPr="00297F9F">
        <w:rPr>
          <w:rFonts w:ascii="Calibri" w:hAnsi="Calibri" w:cs="Calibri"/>
          <w:i/>
          <w:iCs/>
        </w:rPr>
        <w:t>Pharmacy and Therapeutics</w:t>
      </w:r>
      <w:r w:rsidRPr="00297F9F">
        <w:rPr>
          <w:rFonts w:ascii="Calibri" w:hAnsi="Calibri" w:cs="Calibri"/>
        </w:rPr>
        <w:t>,</w:t>
      </w:r>
      <w:r w:rsidRPr="00297F9F">
        <w:rPr>
          <w:rFonts w:ascii="Calibri" w:hAnsi="Calibri" w:cs="Calibri"/>
          <w:i/>
          <w:iCs/>
        </w:rPr>
        <w:t xml:space="preserve"> 42</w:t>
      </w:r>
      <w:r w:rsidRPr="00297F9F">
        <w:rPr>
          <w:rFonts w:ascii="Calibri" w:hAnsi="Calibri" w:cs="Calibri"/>
        </w:rPr>
        <w:t xml:space="preserve">(3), 180-188. </w:t>
      </w:r>
      <w:hyperlink r:id="rId39" w:history="1">
        <w:r w:rsidRPr="00615190">
          <w:rPr>
            <w:rStyle w:val="Hyperlink"/>
            <w:rFonts w:ascii="Calibri" w:hAnsi="Calibri" w:cs="Calibri"/>
          </w:rPr>
          <w:t>https://www.ncbi.nlm.nih.gov/pmc/articles/PMC5312634/</w:t>
        </w:r>
      </w:hyperlink>
    </w:p>
    <w:p w14:paraId="52334653" w14:textId="6F2FBE52" w:rsidR="009904BE" w:rsidRPr="009904BE" w:rsidRDefault="009904BE" w:rsidP="00D42A7B">
      <w:pPr>
        <w:autoSpaceDE w:val="0"/>
        <w:autoSpaceDN w:val="0"/>
        <w:adjustRightInd w:val="0"/>
        <w:spacing w:after="0"/>
        <w:ind w:left="357" w:hanging="357"/>
        <w:rPr>
          <w:rFonts w:ascii="Calibri" w:hAnsi="Calibri" w:cs="Calibri"/>
          <w:u w:val="single"/>
        </w:rPr>
      </w:pPr>
      <w:r w:rsidRPr="009904BE">
        <w:rPr>
          <w:rFonts w:ascii="Calibri" w:hAnsi="Calibri" w:cs="Calibri"/>
        </w:rPr>
        <w:t>Carmi, L., Tendler, A., Bystritsky, A., Hollander, E., Blumberger, D. M., Daskalakis, J., Ward, H., Lapidus, K., Goodman, W., Casuto, L., Feifel, D., Barnea-Ygael, N., Roth, Y., Zangen, A., &amp; Zohar, J. (2019). Efficacy and safety of deep transcranial magnetic stimulation for obsessive-compulsive disorder: A prospective multicenter randomized double-blind placebo-controlled trial. </w:t>
      </w:r>
      <w:r w:rsidRPr="009904BE">
        <w:rPr>
          <w:rFonts w:ascii="Calibri" w:hAnsi="Calibri" w:cs="Calibri"/>
          <w:i/>
          <w:iCs/>
        </w:rPr>
        <w:t>The American Journal of Psychiatry</w:t>
      </w:r>
      <w:r w:rsidRPr="009904BE">
        <w:rPr>
          <w:rFonts w:ascii="Calibri" w:hAnsi="Calibri" w:cs="Calibri"/>
        </w:rPr>
        <w:t>, </w:t>
      </w:r>
      <w:r w:rsidRPr="009904BE">
        <w:rPr>
          <w:rFonts w:ascii="Calibri" w:hAnsi="Calibri" w:cs="Calibri"/>
          <w:i/>
          <w:iCs/>
        </w:rPr>
        <w:t>176</w:t>
      </w:r>
      <w:r w:rsidR="00040DFE">
        <w:rPr>
          <w:rFonts w:ascii="Calibri" w:hAnsi="Calibri" w:cs="Calibri"/>
        </w:rPr>
        <w:t>(11), 931-</w:t>
      </w:r>
      <w:r w:rsidRPr="009904BE">
        <w:rPr>
          <w:rFonts w:ascii="Calibri" w:hAnsi="Calibri" w:cs="Calibri"/>
        </w:rPr>
        <w:t xml:space="preserve">938. </w:t>
      </w:r>
      <w:hyperlink r:id="rId40" w:history="1">
        <w:r w:rsidRPr="009904BE">
          <w:rPr>
            <w:rStyle w:val="Hyperlink"/>
            <w:rFonts w:ascii="Calibri" w:hAnsi="Calibri" w:cs="Calibri"/>
          </w:rPr>
          <w:t>https://doi.org/10.1176/appi.ajp.2019.18101180</w:t>
        </w:r>
      </w:hyperlink>
    </w:p>
    <w:p w14:paraId="191B3B06" w14:textId="77777777" w:rsidR="0062120A" w:rsidRDefault="0062120A" w:rsidP="00D42A7B">
      <w:pPr>
        <w:autoSpaceDE w:val="0"/>
        <w:autoSpaceDN w:val="0"/>
        <w:adjustRightInd w:val="0"/>
        <w:spacing w:after="0"/>
        <w:ind w:left="357" w:hanging="357"/>
        <w:rPr>
          <w:rFonts w:ascii="Calibri" w:hAnsi="Calibri" w:cs="Calibri"/>
        </w:rPr>
      </w:pPr>
      <w:r>
        <w:rPr>
          <w:rFonts w:ascii="Calibri" w:hAnsi="Calibri" w:cs="Calibri"/>
        </w:rPr>
        <w:t xml:space="preserve">Centers for Disease Control and Prevention. (2020). </w:t>
      </w:r>
      <w:r>
        <w:rPr>
          <w:rFonts w:ascii="Calibri" w:hAnsi="Calibri" w:cs="Calibri"/>
          <w:i/>
        </w:rPr>
        <w:t>Outbreak of lung injury associated with the use of e-cigarette, or vaping, p</w:t>
      </w:r>
      <w:r w:rsidRPr="008C5092">
        <w:rPr>
          <w:rFonts w:ascii="Calibri" w:hAnsi="Calibri" w:cs="Calibri"/>
          <w:i/>
        </w:rPr>
        <w:t>roducts.</w:t>
      </w:r>
      <w:r>
        <w:rPr>
          <w:rFonts w:ascii="Calibri" w:hAnsi="Calibri" w:cs="Calibri"/>
        </w:rPr>
        <w:t xml:space="preserve">  </w:t>
      </w:r>
      <w:hyperlink r:id="rId41" w:anchor="key-facts" w:history="1">
        <w:r w:rsidRPr="00935B81">
          <w:rPr>
            <w:rStyle w:val="Hyperlink"/>
            <w:rFonts w:ascii="Calibri" w:hAnsi="Calibri" w:cs="Calibri"/>
          </w:rPr>
          <w:t>https://www.cdc.gov/tobacco/basic_information/e-cigarettes/severe-lung-disease.html#key-facts</w:t>
        </w:r>
      </w:hyperlink>
      <w:r>
        <w:rPr>
          <w:rFonts w:ascii="Calibri" w:hAnsi="Calibri" w:cs="Calibri"/>
        </w:rPr>
        <w:t xml:space="preserve"> </w:t>
      </w:r>
    </w:p>
    <w:p w14:paraId="3FCFA864" w14:textId="30250809" w:rsidR="00511DFB" w:rsidRDefault="00CB5849" w:rsidP="00D42A7B">
      <w:pPr>
        <w:autoSpaceDE w:val="0"/>
        <w:autoSpaceDN w:val="0"/>
        <w:adjustRightInd w:val="0"/>
        <w:spacing w:after="0"/>
        <w:ind w:left="357" w:hanging="357"/>
        <w:rPr>
          <w:rFonts w:ascii="Calibri" w:hAnsi="Calibri" w:cs="Calibri"/>
        </w:rPr>
      </w:pPr>
      <w:r>
        <w:rPr>
          <w:rFonts w:ascii="Calibri" w:hAnsi="Calibri" w:cs="Calibri"/>
        </w:rPr>
        <w:t>Clarivate. (</w:t>
      </w:r>
      <w:r w:rsidR="00511DFB" w:rsidRPr="00297F9F">
        <w:rPr>
          <w:rFonts w:ascii="Calibri" w:hAnsi="Calibri" w:cs="Calibri"/>
        </w:rPr>
        <w:t xml:space="preserve">2022). </w:t>
      </w:r>
      <w:r w:rsidR="00511DFB" w:rsidRPr="00297F9F">
        <w:rPr>
          <w:rFonts w:ascii="Calibri" w:hAnsi="Calibri" w:cs="Calibri"/>
          <w:i/>
          <w:iCs/>
        </w:rPr>
        <w:t>EndNote</w:t>
      </w:r>
      <w:r w:rsidR="00DF739B">
        <w:rPr>
          <w:rFonts w:ascii="Calibri" w:hAnsi="Calibri" w:cs="Calibri"/>
          <w:i/>
          <w:iCs/>
        </w:rPr>
        <w:t xml:space="preserve"> </w:t>
      </w:r>
      <w:r w:rsidR="00DF739B">
        <w:rPr>
          <w:rFonts w:ascii="Calibri" w:hAnsi="Calibri" w:cs="Calibri"/>
          <w:iCs/>
        </w:rPr>
        <w:t>[Computer software]</w:t>
      </w:r>
      <w:r w:rsidR="00511DFB" w:rsidRPr="00297F9F">
        <w:rPr>
          <w:rFonts w:ascii="Calibri" w:hAnsi="Calibri" w:cs="Calibri"/>
        </w:rPr>
        <w:t xml:space="preserve">. </w:t>
      </w:r>
      <w:hyperlink r:id="rId42" w:history="1">
        <w:r w:rsidR="00511DFB" w:rsidRPr="00615190">
          <w:rPr>
            <w:rStyle w:val="Hyperlink"/>
            <w:rFonts w:ascii="Calibri" w:hAnsi="Calibri" w:cs="Calibri"/>
          </w:rPr>
          <w:t>https://endnote.com/product-details</w:t>
        </w:r>
      </w:hyperlink>
    </w:p>
    <w:p w14:paraId="7E709DCF" w14:textId="7FEB4D7E" w:rsidR="00B8648A" w:rsidRDefault="00B8648A" w:rsidP="00D42A7B">
      <w:pPr>
        <w:autoSpaceDE w:val="0"/>
        <w:autoSpaceDN w:val="0"/>
        <w:adjustRightInd w:val="0"/>
        <w:spacing w:after="0"/>
        <w:ind w:left="357" w:hanging="357"/>
        <w:rPr>
          <w:rFonts w:ascii="Calibri" w:hAnsi="Calibri" w:cs="Calibri"/>
        </w:rPr>
      </w:pPr>
      <w:r w:rsidRPr="00B8648A">
        <w:rPr>
          <w:rFonts w:ascii="Calibri" w:hAnsi="Calibri" w:cs="Calibri"/>
        </w:rPr>
        <w:t>Cohen, S. L., Bikson, M., Badran, B. W., &amp; George, M. S. (2022). A visual and narrative timeline of US FDA milestones for Transcranial Magnetic Stimulation (TMS) devices. </w:t>
      </w:r>
      <w:r w:rsidRPr="00B8648A">
        <w:rPr>
          <w:rFonts w:ascii="Calibri" w:hAnsi="Calibri" w:cs="Calibri"/>
          <w:i/>
          <w:iCs/>
        </w:rPr>
        <w:t>Brain Stimulation</w:t>
      </w:r>
      <w:r w:rsidRPr="00B8648A">
        <w:rPr>
          <w:rFonts w:ascii="Calibri" w:hAnsi="Calibri" w:cs="Calibri"/>
        </w:rPr>
        <w:t>, </w:t>
      </w:r>
      <w:r w:rsidRPr="00B8648A">
        <w:rPr>
          <w:rFonts w:ascii="Calibri" w:hAnsi="Calibri" w:cs="Calibri"/>
          <w:i/>
          <w:iCs/>
        </w:rPr>
        <w:t>15</w:t>
      </w:r>
      <w:r w:rsidR="00040DFE">
        <w:rPr>
          <w:rFonts w:ascii="Calibri" w:hAnsi="Calibri" w:cs="Calibri"/>
        </w:rPr>
        <w:t>(1), 73-</w:t>
      </w:r>
      <w:r w:rsidRPr="00B8648A">
        <w:rPr>
          <w:rFonts w:ascii="Calibri" w:hAnsi="Calibri" w:cs="Calibri"/>
        </w:rPr>
        <w:t xml:space="preserve">75. </w:t>
      </w:r>
      <w:hyperlink r:id="rId43" w:history="1">
        <w:r w:rsidRPr="00B8648A">
          <w:rPr>
            <w:rStyle w:val="Hyperlink"/>
            <w:rFonts w:ascii="Calibri" w:hAnsi="Calibri" w:cs="Calibri"/>
          </w:rPr>
          <w:t>https://doi.org/10.1016/j.brs.2021.11.010</w:t>
        </w:r>
      </w:hyperlink>
      <w:r w:rsidRPr="00B8648A">
        <w:rPr>
          <w:rFonts w:ascii="Calibri" w:hAnsi="Calibri" w:cs="Calibri"/>
        </w:rPr>
        <w:t xml:space="preserve"> </w:t>
      </w:r>
    </w:p>
    <w:p w14:paraId="3042D02F" w14:textId="77777777" w:rsidR="00D56FBD" w:rsidRPr="00D57623" w:rsidRDefault="00D56FBD" w:rsidP="00D42A7B">
      <w:pPr>
        <w:autoSpaceDE w:val="0"/>
        <w:autoSpaceDN w:val="0"/>
        <w:adjustRightInd w:val="0"/>
        <w:spacing w:after="0"/>
        <w:ind w:left="357" w:hanging="357"/>
        <w:rPr>
          <w:rFonts w:ascii="Calibri" w:hAnsi="Calibri" w:cs="Calibri"/>
        </w:rPr>
      </w:pPr>
      <w:r>
        <w:rPr>
          <w:rFonts w:cstheme="minorHAnsi"/>
        </w:rPr>
        <w:t>Department of Veterans' Affairs. (2020</w:t>
      </w:r>
      <w:r w:rsidRPr="00231E97">
        <w:rPr>
          <w:rFonts w:cstheme="minorHAnsi"/>
        </w:rPr>
        <w:t xml:space="preserve">). </w:t>
      </w:r>
      <w:r>
        <w:rPr>
          <w:rFonts w:cstheme="minorHAnsi"/>
          <w:i/>
        </w:rPr>
        <w:t>Transition and w</w:t>
      </w:r>
      <w:r w:rsidRPr="00231E97">
        <w:rPr>
          <w:rFonts w:cstheme="minorHAnsi"/>
          <w:i/>
        </w:rPr>
        <w:t xml:space="preserve">ellbeing </w:t>
      </w:r>
      <w:r>
        <w:rPr>
          <w:rFonts w:cstheme="minorHAnsi"/>
          <w:i/>
        </w:rPr>
        <w:t>research p</w:t>
      </w:r>
      <w:r w:rsidRPr="00231E97">
        <w:rPr>
          <w:rFonts w:cstheme="minorHAnsi"/>
          <w:i/>
        </w:rPr>
        <w:t>rogramme</w:t>
      </w:r>
      <w:r>
        <w:rPr>
          <w:rFonts w:cstheme="minorHAnsi"/>
        </w:rPr>
        <w:t xml:space="preserve">. </w:t>
      </w:r>
      <w:r w:rsidRPr="00231E97">
        <w:rPr>
          <w:rFonts w:cstheme="minorHAnsi"/>
        </w:rPr>
        <w:t xml:space="preserve">Australian Government. </w:t>
      </w:r>
      <w:hyperlink r:id="rId44" w:history="1">
        <w:r w:rsidRPr="00291B11">
          <w:rPr>
            <w:rStyle w:val="Hyperlink"/>
            <w:rFonts w:cstheme="minorHAnsi"/>
          </w:rPr>
          <w:t>https://www.dva.gov.au/about-us/overview/research/transition-and-wellbeing-research-programme</w:t>
        </w:r>
      </w:hyperlink>
      <w:r>
        <w:rPr>
          <w:rFonts w:cstheme="minorHAnsi"/>
        </w:rPr>
        <w:t xml:space="preserve"> </w:t>
      </w:r>
    </w:p>
    <w:p w14:paraId="2F5BCEC1" w14:textId="5CDF0F1B" w:rsidR="00BB0F8D" w:rsidRPr="00BB0F8D" w:rsidRDefault="00BB0F8D" w:rsidP="00D42A7B">
      <w:pPr>
        <w:autoSpaceDE w:val="0"/>
        <w:autoSpaceDN w:val="0"/>
        <w:adjustRightInd w:val="0"/>
        <w:spacing w:after="0"/>
        <w:ind w:left="357" w:hanging="357"/>
        <w:rPr>
          <w:rFonts w:ascii="Calibri" w:hAnsi="Calibri" w:cs="Calibri"/>
        </w:rPr>
      </w:pPr>
      <w:r w:rsidRPr="4C15A81F">
        <w:rPr>
          <w:rFonts w:ascii="Calibri" w:hAnsi="Calibri" w:cs="Calibri"/>
        </w:rPr>
        <w:t xml:space="preserve">Di Lazzaro, V., Pilato, F., Saturno, E., Oliviero, A., Dileone, M., Mazzone P., Tonali, F., Ranieri, Y., Huang, Z., </w:t>
      </w:r>
      <w:r w:rsidR="00DD48A6">
        <w:rPr>
          <w:rFonts w:ascii="Calibri" w:hAnsi="Calibri" w:cs="Calibri"/>
        </w:rPr>
        <w:t xml:space="preserve">&amp; </w:t>
      </w:r>
      <w:r w:rsidRPr="4C15A81F">
        <w:rPr>
          <w:rFonts w:ascii="Calibri" w:hAnsi="Calibri" w:cs="Calibri"/>
        </w:rPr>
        <w:t xml:space="preserve">Rothwell, J. C. (2005). Theta-burst repetitive transcranial magnetic stimulation suppresses specific excitatory circuits in the human motor cortex. </w:t>
      </w:r>
      <w:r w:rsidRPr="4C15A81F">
        <w:rPr>
          <w:rFonts w:ascii="Calibri" w:hAnsi="Calibri" w:cs="Calibri"/>
          <w:i/>
          <w:iCs/>
        </w:rPr>
        <w:t>The Journal of Physiology, 565</w:t>
      </w:r>
      <w:r w:rsidR="00DD48A6" w:rsidRPr="00DD48A6">
        <w:rPr>
          <w:rFonts w:ascii="Calibri" w:hAnsi="Calibri" w:cs="Calibri"/>
          <w:iCs/>
        </w:rPr>
        <w:t>(3)</w:t>
      </w:r>
      <w:r w:rsidRPr="4C15A81F">
        <w:rPr>
          <w:rFonts w:ascii="Calibri" w:hAnsi="Calibri" w:cs="Calibri"/>
          <w:i/>
          <w:iCs/>
        </w:rPr>
        <w:t>,</w:t>
      </w:r>
      <w:r w:rsidR="00040DFE">
        <w:rPr>
          <w:rFonts w:ascii="Calibri" w:hAnsi="Calibri" w:cs="Calibri"/>
        </w:rPr>
        <w:t xml:space="preserve"> 945-9</w:t>
      </w:r>
      <w:r w:rsidRPr="4C15A81F">
        <w:rPr>
          <w:rFonts w:ascii="Calibri" w:hAnsi="Calibri" w:cs="Calibri"/>
        </w:rPr>
        <w:t xml:space="preserve">50. </w:t>
      </w:r>
      <w:hyperlink r:id="rId45" w:history="1">
        <w:r w:rsidRPr="4C15A81F">
          <w:rPr>
            <w:rStyle w:val="Hyperlink"/>
            <w:rFonts w:ascii="Calibri" w:hAnsi="Calibri" w:cs="Calibri"/>
          </w:rPr>
          <w:t>https://doi.org/10.1113/jphysiol.2005.087288</w:t>
        </w:r>
      </w:hyperlink>
      <w:r w:rsidRPr="4C15A81F">
        <w:rPr>
          <w:rFonts w:ascii="Calibri" w:hAnsi="Calibri" w:cs="Calibri"/>
        </w:rPr>
        <w:t xml:space="preserve"> </w:t>
      </w:r>
    </w:p>
    <w:p w14:paraId="544C68B8" w14:textId="215CD8F5" w:rsidR="00BB0F8D" w:rsidRPr="00BB0F8D" w:rsidRDefault="00511DFB" w:rsidP="00D42A7B">
      <w:pPr>
        <w:autoSpaceDE w:val="0"/>
        <w:autoSpaceDN w:val="0"/>
        <w:adjustRightInd w:val="0"/>
        <w:spacing w:after="0"/>
        <w:ind w:left="357" w:hanging="357"/>
        <w:rPr>
          <w:rFonts w:ascii="Calibri" w:hAnsi="Calibri" w:cs="Calibri"/>
        </w:rPr>
      </w:pPr>
      <w:r w:rsidRPr="4C15A81F">
        <w:rPr>
          <w:rFonts w:ascii="Calibri" w:hAnsi="Calibri" w:cs="Calibri"/>
        </w:rPr>
        <w:t xml:space="preserve">Epstein, D. H. (2019). Cannabidiol: Not a cure-all, but a candidate for coping with cue-induced craving. </w:t>
      </w:r>
      <w:r w:rsidRPr="4C15A81F">
        <w:rPr>
          <w:rFonts w:ascii="Calibri" w:hAnsi="Calibri" w:cs="Calibri"/>
          <w:i/>
          <w:iCs/>
        </w:rPr>
        <w:t>The American Journal of Psychiatry</w:t>
      </w:r>
      <w:r w:rsidRPr="4C15A81F">
        <w:rPr>
          <w:rFonts w:ascii="Calibri" w:hAnsi="Calibri" w:cs="Calibri"/>
        </w:rPr>
        <w:t>,</w:t>
      </w:r>
      <w:r w:rsidRPr="4C15A81F">
        <w:rPr>
          <w:rFonts w:ascii="Calibri" w:hAnsi="Calibri" w:cs="Calibri"/>
          <w:i/>
          <w:iCs/>
        </w:rPr>
        <w:t xml:space="preserve"> 176</w:t>
      </w:r>
      <w:r w:rsidRPr="4C15A81F">
        <w:rPr>
          <w:rFonts w:ascii="Calibri" w:hAnsi="Calibri" w:cs="Calibri"/>
        </w:rPr>
        <w:t xml:space="preserve">(11), 888-891. </w:t>
      </w:r>
    </w:p>
    <w:p w14:paraId="125A3835" w14:textId="7F5A56EA" w:rsidR="00511DFB" w:rsidRDefault="00511DFB" w:rsidP="00D42A7B">
      <w:pPr>
        <w:autoSpaceDE w:val="0"/>
        <w:autoSpaceDN w:val="0"/>
        <w:adjustRightInd w:val="0"/>
        <w:spacing w:after="0"/>
        <w:ind w:left="357" w:hanging="357"/>
        <w:rPr>
          <w:rFonts w:ascii="Calibri" w:hAnsi="Calibri" w:cs="Calibri"/>
        </w:rPr>
      </w:pPr>
      <w:r w:rsidRPr="00297F9F">
        <w:rPr>
          <w:rFonts w:ascii="Calibri" w:hAnsi="Calibri" w:cs="Calibri"/>
        </w:rPr>
        <w:t xml:space="preserve">Farace, D. J., &amp; Schöpfel, J. (Eds.). (2010). </w:t>
      </w:r>
      <w:r w:rsidRPr="00297F9F">
        <w:rPr>
          <w:rFonts w:ascii="Calibri" w:hAnsi="Calibri" w:cs="Calibri"/>
          <w:i/>
          <w:iCs/>
        </w:rPr>
        <w:t>Grey literature in library and information studies</w:t>
      </w:r>
      <w:r w:rsidRPr="00297F9F">
        <w:rPr>
          <w:rFonts w:ascii="Calibri" w:hAnsi="Calibri" w:cs="Calibri"/>
        </w:rPr>
        <w:t xml:space="preserve">. De Gruyter Saur. </w:t>
      </w:r>
      <w:hyperlink r:id="rId46">
        <w:r w:rsidRPr="21DBD735">
          <w:rPr>
            <w:rStyle w:val="Hyperlink"/>
            <w:rFonts w:ascii="Calibri" w:hAnsi="Calibri" w:cs="Calibri"/>
          </w:rPr>
          <w:t>https://directory.doabooks.org/handle/20.500.12854/31873</w:t>
        </w:r>
      </w:hyperlink>
    </w:p>
    <w:p w14:paraId="7F0DB30D" w14:textId="77777777" w:rsidR="00040DFE" w:rsidRDefault="006300C8" w:rsidP="00D42A7B">
      <w:pPr>
        <w:autoSpaceDE w:val="0"/>
        <w:autoSpaceDN w:val="0"/>
        <w:adjustRightInd w:val="0"/>
        <w:spacing w:after="0"/>
        <w:ind w:left="357" w:hanging="357"/>
        <w:rPr>
          <w:rFonts w:ascii="Calibri" w:hAnsi="Calibri" w:cs="Calibri"/>
        </w:rPr>
      </w:pPr>
      <w:r w:rsidRPr="4C15A81F">
        <w:rPr>
          <w:rFonts w:ascii="Calibri" w:hAnsi="Calibri" w:cs="Calibri"/>
        </w:rPr>
        <w:t xml:space="preserve">Fitzgerald, P. B., Hoy, K. E., &amp; Daskalakis, S. J. (2021). Left handedness and response to repetitive transcranial magnetic stimulation in major depressive disorder. </w:t>
      </w:r>
      <w:r w:rsidRPr="4C15A81F">
        <w:rPr>
          <w:rFonts w:ascii="Calibri" w:hAnsi="Calibri" w:cs="Calibri"/>
          <w:i/>
          <w:iCs/>
        </w:rPr>
        <w:t>The World Journal of Biological Psychiatry, 22</w:t>
      </w:r>
      <w:r w:rsidRPr="4C15A81F">
        <w:rPr>
          <w:rFonts w:ascii="Calibri" w:hAnsi="Calibri" w:cs="Calibri"/>
        </w:rPr>
        <w:t xml:space="preserve">(4), 310-314. </w:t>
      </w:r>
      <w:hyperlink r:id="rId47" w:history="1">
        <w:r w:rsidRPr="4C15A81F">
          <w:rPr>
            <w:rStyle w:val="Hyperlink"/>
            <w:rFonts w:ascii="Calibri" w:hAnsi="Calibri" w:cs="Calibri"/>
          </w:rPr>
          <w:t>https://doi.org/10.1080/15622975.2020.1795255</w:t>
        </w:r>
      </w:hyperlink>
      <w:r w:rsidRPr="4C15A81F">
        <w:rPr>
          <w:rFonts w:ascii="Calibri" w:hAnsi="Calibri" w:cs="Calibri"/>
        </w:rPr>
        <w:t xml:space="preserve"> </w:t>
      </w:r>
    </w:p>
    <w:p w14:paraId="1E46B343" w14:textId="77777777" w:rsidR="00335C39" w:rsidRPr="00040DFE" w:rsidRDefault="00335C39" w:rsidP="00D42A7B">
      <w:pPr>
        <w:autoSpaceDE w:val="0"/>
        <w:autoSpaceDN w:val="0"/>
        <w:adjustRightInd w:val="0"/>
        <w:spacing w:after="0"/>
        <w:ind w:left="357" w:hanging="357"/>
        <w:rPr>
          <w:rFonts w:ascii="Calibri" w:hAnsi="Calibri" w:cs="Calibri"/>
        </w:rPr>
      </w:pPr>
      <w:r>
        <w:t xml:space="preserve">Frecska, E., Bokor, P., &amp; Winkelman, M. (2016). The therapeutic potentials of ayahuasca: Possible effects against various diseases of civilization. </w:t>
      </w:r>
      <w:r w:rsidRPr="008A5D4A">
        <w:rPr>
          <w:i/>
        </w:rPr>
        <w:t>Frontiers in Pharmacology, 7</w:t>
      </w:r>
      <w:r>
        <w:t xml:space="preserve">, Article 35. </w:t>
      </w:r>
      <w:hyperlink r:id="rId48" w:history="1">
        <w:r w:rsidRPr="006F3F76">
          <w:rPr>
            <w:rStyle w:val="Hyperlink"/>
          </w:rPr>
          <w:t>https://doi.org/10.3389/fphar.2016.00035</w:t>
        </w:r>
      </w:hyperlink>
      <w:r>
        <w:t xml:space="preserve"> </w:t>
      </w:r>
    </w:p>
    <w:p w14:paraId="027DFA6D" w14:textId="77777777" w:rsidR="00335C39" w:rsidRDefault="00335C39" w:rsidP="00D42A7B">
      <w:pPr>
        <w:autoSpaceDE w:val="0"/>
        <w:autoSpaceDN w:val="0"/>
        <w:adjustRightInd w:val="0"/>
        <w:spacing w:after="0"/>
        <w:ind w:left="357" w:hanging="357"/>
        <w:rPr>
          <w:rFonts w:ascii="Calibri" w:hAnsi="Calibri" w:cs="Calibri"/>
        </w:rPr>
      </w:pPr>
      <w:r w:rsidRPr="00297F9F">
        <w:rPr>
          <w:rFonts w:ascii="Calibri" w:hAnsi="Calibri" w:cs="Calibri"/>
        </w:rPr>
        <w:t>Freeman, T. P., Hindocha, C., Baio, G., Shaban, N. D. C., Thomas, E. M., Astbury, D., Freeman, A. M., Lees, R., Craft, S., Morrison, P. D., Bloomfield, M. A. P., O'Ryan, D., Kinghorn, J., Morgan, C. J. A., Mofeez, A., &amp; Curran, H. V. (2020). Cannabidiol for the treatment of cannabis use disorder: A phase 2a, double-blind, placebo-co</w:t>
      </w:r>
      <w:r>
        <w:rPr>
          <w:rFonts w:ascii="Calibri" w:hAnsi="Calibri" w:cs="Calibri"/>
        </w:rPr>
        <w:t>ntrolled, randomised, adaptive B</w:t>
      </w:r>
      <w:r w:rsidRPr="00297F9F">
        <w:rPr>
          <w:rFonts w:ascii="Calibri" w:hAnsi="Calibri" w:cs="Calibri"/>
        </w:rPr>
        <w:t xml:space="preserve">ayesian trial. </w:t>
      </w:r>
      <w:r w:rsidRPr="00297F9F">
        <w:rPr>
          <w:rFonts w:ascii="Calibri" w:hAnsi="Calibri" w:cs="Calibri"/>
          <w:i/>
          <w:iCs/>
        </w:rPr>
        <w:t>The Lancet Psychiatry</w:t>
      </w:r>
      <w:r w:rsidRPr="00297F9F">
        <w:rPr>
          <w:rFonts w:ascii="Calibri" w:hAnsi="Calibri" w:cs="Calibri"/>
        </w:rPr>
        <w:t>,</w:t>
      </w:r>
      <w:r w:rsidRPr="00297F9F">
        <w:rPr>
          <w:rFonts w:ascii="Calibri" w:hAnsi="Calibri" w:cs="Calibri"/>
          <w:i/>
          <w:iCs/>
        </w:rPr>
        <w:t xml:space="preserve"> 7</w:t>
      </w:r>
      <w:r w:rsidRPr="00297F9F">
        <w:rPr>
          <w:rFonts w:ascii="Calibri" w:hAnsi="Calibri" w:cs="Calibri"/>
        </w:rPr>
        <w:t xml:space="preserve">(10), 865-874. </w:t>
      </w:r>
      <w:hyperlink r:id="rId49" w:history="1">
        <w:r w:rsidRPr="00615190">
          <w:rPr>
            <w:rStyle w:val="Hyperlink"/>
            <w:rFonts w:ascii="Calibri" w:hAnsi="Calibri" w:cs="Calibri"/>
          </w:rPr>
          <w:t>https://doi.org/10.1016/s2215-0366(20)30290-x</w:t>
        </w:r>
      </w:hyperlink>
    </w:p>
    <w:p w14:paraId="5E2BAAF6" w14:textId="77777777" w:rsidR="003A2662" w:rsidRDefault="003A2662" w:rsidP="00D42A7B">
      <w:pPr>
        <w:autoSpaceDE w:val="0"/>
        <w:autoSpaceDN w:val="0"/>
        <w:adjustRightInd w:val="0"/>
        <w:spacing w:after="0"/>
        <w:ind w:left="357" w:hanging="357"/>
        <w:rPr>
          <w:rFonts w:ascii="Calibri" w:hAnsi="Calibri" w:cs="Calibri"/>
        </w:rPr>
      </w:pPr>
      <w:r w:rsidRPr="00D64F84">
        <w:rPr>
          <w:rFonts w:ascii="Calibri" w:hAnsi="Calibri" w:cs="Calibri"/>
        </w:rPr>
        <w:lastRenderedPageBreak/>
        <w:t>Fuentes, J. J., Fonseca, F., Elices, M., Farré, M., &amp; Torrens, M. (2020). Therapeutic use of LSD in psychiatry: A systematic review of randomized-controlled clinical trials. </w:t>
      </w:r>
      <w:r w:rsidRPr="00D64F84">
        <w:rPr>
          <w:rFonts w:ascii="Calibri" w:hAnsi="Calibri" w:cs="Calibri"/>
          <w:i/>
          <w:iCs/>
        </w:rPr>
        <w:t>Frontiers in Psychiatry</w:t>
      </w:r>
      <w:r w:rsidRPr="00D64F84">
        <w:rPr>
          <w:rFonts w:ascii="Calibri" w:hAnsi="Calibri" w:cs="Calibri"/>
        </w:rPr>
        <w:t>, </w:t>
      </w:r>
      <w:r w:rsidRPr="00D64F84">
        <w:rPr>
          <w:rFonts w:ascii="Calibri" w:hAnsi="Calibri" w:cs="Calibri"/>
          <w:i/>
          <w:iCs/>
        </w:rPr>
        <w:t>10</w:t>
      </w:r>
      <w:r>
        <w:rPr>
          <w:rFonts w:ascii="Calibri" w:hAnsi="Calibri" w:cs="Calibri"/>
        </w:rPr>
        <w:t xml:space="preserve">, Article </w:t>
      </w:r>
      <w:r w:rsidRPr="00D64F84">
        <w:rPr>
          <w:rFonts w:ascii="Calibri" w:hAnsi="Calibri" w:cs="Calibri"/>
        </w:rPr>
        <w:t xml:space="preserve">943. </w:t>
      </w:r>
      <w:hyperlink r:id="rId50" w:history="1">
        <w:r w:rsidRPr="00D64F84">
          <w:rPr>
            <w:rStyle w:val="Hyperlink"/>
            <w:rFonts w:ascii="Calibri" w:hAnsi="Calibri" w:cs="Calibri"/>
          </w:rPr>
          <w:t>https://doi.org/10.3389/fpsyt.2019.00943</w:t>
        </w:r>
      </w:hyperlink>
    </w:p>
    <w:p w14:paraId="500B8E23" w14:textId="77DDD947" w:rsidR="00511DFB" w:rsidRDefault="00511DFB" w:rsidP="00D42A7B">
      <w:pPr>
        <w:autoSpaceDE w:val="0"/>
        <w:autoSpaceDN w:val="0"/>
        <w:adjustRightInd w:val="0"/>
        <w:spacing w:after="0"/>
        <w:ind w:left="357" w:hanging="357"/>
        <w:rPr>
          <w:rFonts w:ascii="Calibri" w:hAnsi="Calibri" w:cs="Calibri"/>
        </w:rPr>
      </w:pPr>
      <w:r w:rsidRPr="4C15A81F">
        <w:rPr>
          <w:rFonts w:ascii="Calibri" w:hAnsi="Calibri" w:cs="Calibri"/>
        </w:rPr>
        <w:t xml:space="preserve">Garritty, C., Gartlehner, G., Nussbaumer-Streit, B., King, V. J., Hamel, C., Kamel, C., Affengruber, L., &amp; Stevens, A. (2021). Cochrane Rapid Reviews Methods Group offers evidence-informed guidance to conduct rapid reviews. </w:t>
      </w:r>
      <w:r w:rsidRPr="4C15A81F">
        <w:rPr>
          <w:rFonts w:ascii="Calibri" w:hAnsi="Calibri" w:cs="Calibri"/>
          <w:i/>
          <w:iCs/>
        </w:rPr>
        <w:t>Journal of Clinical Epidemiology</w:t>
      </w:r>
      <w:r w:rsidRPr="4C15A81F">
        <w:rPr>
          <w:rFonts w:ascii="Calibri" w:hAnsi="Calibri" w:cs="Calibri"/>
        </w:rPr>
        <w:t>,</w:t>
      </w:r>
      <w:r w:rsidRPr="4C15A81F">
        <w:rPr>
          <w:rFonts w:ascii="Calibri" w:hAnsi="Calibri" w:cs="Calibri"/>
          <w:i/>
          <w:iCs/>
        </w:rPr>
        <w:t xml:space="preserve"> 130</w:t>
      </w:r>
      <w:r w:rsidRPr="4C15A81F">
        <w:rPr>
          <w:rFonts w:ascii="Calibri" w:hAnsi="Calibri" w:cs="Calibri"/>
        </w:rPr>
        <w:t xml:space="preserve">, 13-22. </w:t>
      </w:r>
      <w:hyperlink r:id="rId51">
        <w:r w:rsidRPr="4C15A81F">
          <w:rPr>
            <w:rStyle w:val="Hyperlink"/>
            <w:rFonts w:ascii="Calibri" w:hAnsi="Calibri" w:cs="Calibri"/>
          </w:rPr>
          <w:t>https://doi.org/10.1016/j.jclinepi.2020.10.007</w:t>
        </w:r>
      </w:hyperlink>
    </w:p>
    <w:p w14:paraId="39486975" w14:textId="4654CBFC" w:rsidR="330E8F38" w:rsidRDefault="330E8F38" w:rsidP="00D42A7B">
      <w:pPr>
        <w:spacing w:after="0"/>
        <w:ind w:left="357" w:hanging="357"/>
        <w:rPr>
          <w:rFonts w:ascii="Calibri" w:eastAsia="Calibri" w:hAnsi="Calibri" w:cs="Calibri"/>
          <w:szCs w:val="20"/>
        </w:rPr>
      </w:pPr>
      <w:r w:rsidRPr="4C15A81F">
        <w:rPr>
          <w:rFonts w:ascii="Calibri" w:eastAsia="Calibri" w:hAnsi="Calibri" w:cs="Calibri"/>
          <w:color w:val="000000" w:themeColor="text1"/>
          <w:szCs w:val="20"/>
        </w:rPr>
        <w:t>Governm</w:t>
      </w:r>
      <w:r w:rsidR="00983239">
        <w:rPr>
          <w:rFonts w:ascii="Calibri" w:eastAsia="Calibri" w:hAnsi="Calibri" w:cs="Calibri"/>
          <w:color w:val="000000" w:themeColor="text1"/>
          <w:szCs w:val="20"/>
        </w:rPr>
        <w:t>ent of Canada. (2019</w:t>
      </w:r>
      <w:r w:rsidRPr="4C15A81F">
        <w:rPr>
          <w:rFonts w:ascii="Calibri" w:eastAsia="Calibri" w:hAnsi="Calibri" w:cs="Calibri"/>
          <w:color w:val="000000" w:themeColor="text1"/>
          <w:szCs w:val="20"/>
        </w:rPr>
        <w:t xml:space="preserve">). </w:t>
      </w:r>
      <w:r w:rsidRPr="4C15A81F">
        <w:rPr>
          <w:rFonts w:ascii="Calibri" w:eastAsia="Calibri" w:hAnsi="Calibri" w:cs="Calibri"/>
          <w:i/>
          <w:iCs/>
          <w:color w:val="000000" w:themeColor="text1"/>
          <w:szCs w:val="20"/>
        </w:rPr>
        <w:t>Mandate, mission, vision, values and ethics: Definition of a veteran</w:t>
      </w:r>
      <w:r w:rsidRPr="4C15A81F">
        <w:rPr>
          <w:rFonts w:ascii="Calibri" w:eastAsia="Calibri" w:hAnsi="Calibri" w:cs="Calibri"/>
          <w:color w:val="000000" w:themeColor="text1"/>
          <w:szCs w:val="20"/>
        </w:rPr>
        <w:t xml:space="preserve">. </w:t>
      </w:r>
      <w:hyperlink r:id="rId52" w:anchor="definition" w:history="1">
        <w:r w:rsidRPr="4C15A81F">
          <w:rPr>
            <w:rStyle w:val="Hyperlink"/>
            <w:rFonts w:ascii="Calibri" w:eastAsia="Calibri" w:hAnsi="Calibri" w:cs="Calibri"/>
            <w:szCs w:val="20"/>
          </w:rPr>
          <w:t>https://www.veterans.gc.ca/eng/about-vac/what-we-do/mandate#definition</w:t>
        </w:r>
      </w:hyperlink>
      <w:r w:rsidRPr="4C15A81F">
        <w:rPr>
          <w:rFonts w:ascii="Calibri" w:eastAsia="Calibri" w:hAnsi="Calibri" w:cs="Calibri"/>
          <w:color w:val="000000" w:themeColor="text1"/>
          <w:szCs w:val="20"/>
        </w:rPr>
        <w:t xml:space="preserve"> </w:t>
      </w:r>
      <w:r w:rsidRPr="4C15A81F">
        <w:rPr>
          <w:rFonts w:ascii="Calibri" w:eastAsia="Calibri" w:hAnsi="Calibri" w:cs="Calibri"/>
          <w:szCs w:val="20"/>
        </w:rPr>
        <w:t xml:space="preserve"> </w:t>
      </w:r>
    </w:p>
    <w:p w14:paraId="3487C4D6" w14:textId="77777777" w:rsidR="00F00FF1" w:rsidRDefault="00F00FF1" w:rsidP="00D42A7B">
      <w:pPr>
        <w:autoSpaceDE w:val="0"/>
        <w:autoSpaceDN w:val="0"/>
        <w:adjustRightInd w:val="0"/>
        <w:spacing w:after="0"/>
        <w:ind w:left="357" w:hanging="357"/>
        <w:rPr>
          <w:rStyle w:val="Hyperlink"/>
          <w:rFonts w:cstheme="minorHAnsi"/>
          <w:szCs w:val="20"/>
        </w:rPr>
      </w:pPr>
      <w:r w:rsidRPr="00C3425F">
        <w:rPr>
          <w:rFonts w:cstheme="minorHAnsi"/>
          <w:szCs w:val="20"/>
        </w:rPr>
        <w:t xml:space="preserve">Grinspoon, P. (2021, August 11). </w:t>
      </w:r>
      <w:r w:rsidRPr="00CC79BA">
        <w:rPr>
          <w:rFonts w:cstheme="minorHAnsi"/>
          <w:i/>
          <w:iCs/>
          <w:szCs w:val="20"/>
        </w:rPr>
        <w:t>The endocannabinoid system: Essential and mysterious</w:t>
      </w:r>
      <w:r w:rsidRPr="00C3425F">
        <w:rPr>
          <w:rFonts w:cstheme="minorHAnsi"/>
          <w:szCs w:val="20"/>
        </w:rPr>
        <w:t xml:space="preserve">. Harvard Health Publishing. </w:t>
      </w:r>
      <w:hyperlink r:id="rId53" w:history="1">
        <w:r w:rsidRPr="008D3BB4">
          <w:rPr>
            <w:rStyle w:val="Hyperlink"/>
            <w:rFonts w:cstheme="minorHAnsi"/>
            <w:szCs w:val="20"/>
          </w:rPr>
          <w:t>https://www.health.harvard.edu/blog/the-endocannabinoid-system-essential-and-mysterious-202108112569</w:t>
        </w:r>
      </w:hyperlink>
    </w:p>
    <w:p w14:paraId="5BDEE6E0" w14:textId="05449EAB" w:rsidR="003A2662" w:rsidRDefault="003A2662" w:rsidP="00D42A7B">
      <w:pPr>
        <w:autoSpaceDE w:val="0"/>
        <w:autoSpaceDN w:val="0"/>
        <w:adjustRightInd w:val="0"/>
        <w:spacing w:after="0"/>
        <w:ind w:left="357" w:hanging="357"/>
        <w:rPr>
          <w:rFonts w:ascii="Calibri" w:hAnsi="Calibri" w:cs="Calibri"/>
        </w:rPr>
      </w:pPr>
      <w:r w:rsidRPr="00297F9F">
        <w:rPr>
          <w:rFonts w:ascii="Calibri" w:hAnsi="Calibri" w:cs="Calibri"/>
        </w:rPr>
        <w:t xml:space="preserve">Guyatt, G., Oxman, A. D., Akl, E. A., Kunz, R., Vist, G., Brozek, J., Norris, S., Falck-Ytter, Y., Glasziou, P., deBeer, H., Jaeschke, R., Rind, D., Meerpohl, J., Dahm, P., &amp; Schünemann, H. J. (2011). GRADE guidelines: 1. Introduction </w:t>
      </w:r>
      <w:r>
        <w:rPr>
          <w:rFonts w:ascii="Calibri" w:hAnsi="Calibri" w:cs="Calibri"/>
        </w:rPr>
        <w:t>–</w:t>
      </w:r>
      <w:r w:rsidRPr="00297F9F">
        <w:rPr>
          <w:rFonts w:ascii="Calibri" w:hAnsi="Calibri" w:cs="Calibri"/>
        </w:rPr>
        <w:t xml:space="preserve"> GRADE</w:t>
      </w:r>
      <w:r>
        <w:rPr>
          <w:rFonts w:ascii="Calibri" w:hAnsi="Calibri" w:cs="Calibri"/>
        </w:rPr>
        <w:t xml:space="preserve"> </w:t>
      </w:r>
      <w:r w:rsidRPr="00297F9F">
        <w:rPr>
          <w:rFonts w:ascii="Calibri" w:hAnsi="Calibri" w:cs="Calibri"/>
        </w:rPr>
        <w:t xml:space="preserve">evidence profiles and summary of findings tables. </w:t>
      </w:r>
      <w:r w:rsidRPr="00297F9F">
        <w:rPr>
          <w:rFonts w:ascii="Calibri" w:hAnsi="Calibri" w:cs="Calibri"/>
          <w:i/>
          <w:iCs/>
        </w:rPr>
        <w:t>Journal of Clinical Epidemiology</w:t>
      </w:r>
      <w:r w:rsidRPr="00297F9F">
        <w:rPr>
          <w:rFonts w:ascii="Calibri" w:hAnsi="Calibri" w:cs="Calibri"/>
        </w:rPr>
        <w:t>,</w:t>
      </w:r>
      <w:r w:rsidRPr="00297F9F">
        <w:rPr>
          <w:rFonts w:ascii="Calibri" w:hAnsi="Calibri" w:cs="Calibri"/>
          <w:i/>
          <w:iCs/>
        </w:rPr>
        <w:t xml:space="preserve"> 64</w:t>
      </w:r>
      <w:r w:rsidRPr="00297F9F">
        <w:rPr>
          <w:rFonts w:ascii="Calibri" w:hAnsi="Calibri" w:cs="Calibri"/>
        </w:rPr>
        <w:t xml:space="preserve">(4), 383-394. </w:t>
      </w:r>
      <w:hyperlink r:id="rId54" w:history="1">
        <w:r w:rsidRPr="00615190">
          <w:rPr>
            <w:rStyle w:val="Hyperlink"/>
            <w:rFonts w:ascii="Calibri" w:hAnsi="Calibri" w:cs="Calibri"/>
          </w:rPr>
          <w:t>https://doi.org/https://doi.org/10.1016/j.jclinepi.2010.04.026</w:t>
        </w:r>
      </w:hyperlink>
    </w:p>
    <w:p w14:paraId="062B06DE" w14:textId="022B112C" w:rsidR="00511DFB" w:rsidRDefault="00511DFB" w:rsidP="00D42A7B">
      <w:pPr>
        <w:autoSpaceDE w:val="0"/>
        <w:autoSpaceDN w:val="0"/>
        <w:adjustRightInd w:val="0"/>
        <w:spacing w:after="0"/>
        <w:ind w:left="357" w:hanging="357"/>
        <w:rPr>
          <w:rFonts w:ascii="Calibri" w:hAnsi="Calibri" w:cs="Calibri"/>
        </w:rPr>
      </w:pPr>
      <w:r w:rsidRPr="19C6C0B2">
        <w:rPr>
          <w:rFonts w:ascii="Calibri" w:hAnsi="Calibri" w:cs="Calibri"/>
        </w:rPr>
        <w:t xml:space="preserve">Hamel, C., Michaud, A., Thuku, M., Skidmore, B., Stevens, A., Nussbaumer-Streit, B., &amp; Garritty, C. (2021). Defining rapid reviews: A systematic scoping review and thematic analysis of definitions and defining characteristics of rapid reviews. </w:t>
      </w:r>
      <w:r w:rsidRPr="19C6C0B2">
        <w:rPr>
          <w:rFonts w:ascii="Calibri" w:hAnsi="Calibri" w:cs="Calibri"/>
          <w:i/>
          <w:iCs/>
        </w:rPr>
        <w:t>Journal of Clinical Epidemiology</w:t>
      </w:r>
      <w:r w:rsidRPr="19C6C0B2">
        <w:rPr>
          <w:rFonts w:ascii="Calibri" w:hAnsi="Calibri" w:cs="Calibri"/>
        </w:rPr>
        <w:t>,</w:t>
      </w:r>
      <w:r w:rsidRPr="19C6C0B2">
        <w:rPr>
          <w:rFonts w:ascii="Calibri" w:hAnsi="Calibri" w:cs="Calibri"/>
          <w:i/>
          <w:iCs/>
        </w:rPr>
        <w:t xml:space="preserve"> 129</w:t>
      </w:r>
      <w:r w:rsidRPr="19C6C0B2">
        <w:rPr>
          <w:rFonts w:ascii="Calibri" w:hAnsi="Calibri" w:cs="Calibri"/>
        </w:rPr>
        <w:t xml:space="preserve">, 74-85. </w:t>
      </w:r>
      <w:hyperlink r:id="rId55">
        <w:r w:rsidRPr="19C6C0B2">
          <w:rPr>
            <w:rStyle w:val="Hyperlink"/>
            <w:rFonts w:ascii="Calibri" w:hAnsi="Calibri" w:cs="Calibri"/>
          </w:rPr>
          <w:t>https://doi.org/10.1016/j.jclinepi.2020.09.041</w:t>
        </w:r>
      </w:hyperlink>
    </w:p>
    <w:p w14:paraId="2D2AA4AC" w14:textId="11E833CA" w:rsidR="00511DFB" w:rsidRDefault="00511DFB" w:rsidP="00D42A7B">
      <w:pPr>
        <w:autoSpaceDE w:val="0"/>
        <w:autoSpaceDN w:val="0"/>
        <w:adjustRightInd w:val="0"/>
        <w:spacing w:after="0"/>
        <w:ind w:left="357" w:hanging="357"/>
        <w:rPr>
          <w:rFonts w:ascii="Calibri" w:hAnsi="Calibri" w:cs="Calibri"/>
        </w:rPr>
      </w:pPr>
      <w:r w:rsidRPr="19C6C0B2">
        <w:rPr>
          <w:rFonts w:ascii="Calibri" w:hAnsi="Calibri" w:cs="Calibri"/>
        </w:rPr>
        <w:t xml:space="preserve">Hill, K. P., Palastro, M. D., Gruber, S. A., Fitzmaurice, G. M., Greenfield, S. F., Lukas, S. E., &amp; Weiss, R. D. (2017). Nabilone pharmacotherapy for cannabis dependence: A randomized, controlled pilot study. </w:t>
      </w:r>
      <w:r w:rsidRPr="19C6C0B2">
        <w:rPr>
          <w:rFonts w:ascii="Calibri" w:hAnsi="Calibri" w:cs="Calibri"/>
          <w:i/>
          <w:iCs/>
        </w:rPr>
        <w:t>The American Journal on Addictions</w:t>
      </w:r>
      <w:r w:rsidRPr="19C6C0B2">
        <w:rPr>
          <w:rFonts w:ascii="Calibri" w:hAnsi="Calibri" w:cs="Calibri"/>
        </w:rPr>
        <w:t>,</w:t>
      </w:r>
      <w:r w:rsidRPr="19C6C0B2">
        <w:rPr>
          <w:rFonts w:ascii="Calibri" w:hAnsi="Calibri" w:cs="Calibri"/>
          <w:i/>
          <w:iCs/>
        </w:rPr>
        <w:t xml:space="preserve"> 26</w:t>
      </w:r>
      <w:r w:rsidRPr="19C6C0B2">
        <w:rPr>
          <w:rFonts w:ascii="Calibri" w:hAnsi="Calibri" w:cs="Calibri"/>
        </w:rPr>
        <w:t xml:space="preserve">(8), 795-801. </w:t>
      </w:r>
      <w:hyperlink r:id="rId56">
        <w:r w:rsidRPr="19C6C0B2">
          <w:rPr>
            <w:rStyle w:val="Hyperlink"/>
            <w:rFonts w:ascii="Calibri" w:hAnsi="Calibri" w:cs="Calibri"/>
          </w:rPr>
          <w:t>https://doi.org/10.1111/ajad.12622</w:t>
        </w:r>
      </w:hyperlink>
    </w:p>
    <w:p w14:paraId="57FC2004" w14:textId="38B945E4" w:rsidR="00511DFB" w:rsidRDefault="00511DFB" w:rsidP="00D42A7B">
      <w:pPr>
        <w:autoSpaceDE w:val="0"/>
        <w:autoSpaceDN w:val="0"/>
        <w:adjustRightInd w:val="0"/>
        <w:spacing w:after="0"/>
        <w:ind w:left="357" w:hanging="357"/>
        <w:rPr>
          <w:rFonts w:ascii="Calibri" w:hAnsi="Calibri" w:cs="Calibri"/>
        </w:rPr>
      </w:pPr>
      <w:r w:rsidRPr="4C15A81F">
        <w:rPr>
          <w:rFonts w:ascii="Calibri" w:hAnsi="Calibri" w:cs="Calibri"/>
        </w:rPr>
        <w:t>Hindocha, C., Freeman, T. P., Grabski, M., Stroud, J. B., Crudgington, H., D</w:t>
      </w:r>
      <w:r w:rsidR="008D58E2">
        <w:rPr>
          <w:rFonts w:ascii="Calibri" w:hAnsi="Calibri" w:cs="Calibri"/>
        </w:rPr>
        <w:t>avies, A. C., Das, R. K., Lawn,</w:t>
      </w:r>
      <w:r w:rsidR="008D58E2">
        <w:rPr>
          <w:rFonts w:ascii="Calibri" w:hAnsi="Calibri" w:cs="Calibri"/>
        </w:rPr>
        <w:br/>
      </w:r>
      <w:r w:rsidRPr="4C15A81F">
        <w:rPr>
          <w:rFonts w:ascii="Calibri" w:hAnsi="Calibri" w:cs="Calibri"/>
        </w:rPr>
        <w:t xml:space="preserve">W., Morgan, C. J. A., &amp; Curran, H. V. (2018). Cannabidiol reverses attentional bias to cigarette cues in a human experimental model of tobacco withdrawal. </w:t>
      </w:r>
      <w:r w:rsidRPr="4C15A81F">
        <w:rPr>
          <w:rFonts w:ascii="Calibri" w:hAnsi="Calibri" w:cs="Calibri"/>
          <w:i/>
          <w:iCs/>
        </w:rPr>
        <w:t>Addiction</w:t>
      </w:r>
      <w:r w:rsidRPr="4C15A81F">
        <w:rPr>
          <w:rFonts w:ascii="Calibri" w:hAnsi="Calibri" w:cs="Calibri"/>
        </w:rPr>
        <w:t>,</w:t>
      </w:r>
      <w:r w:rsidRPr="4C15A81F">
        <w:rPr>
          <w:rFonts w:ascii="Calibri" w:hAnsi="Calibri" w:cs="Calibri"/>
          <w:i/>
          <w:iCs/>
        </w:rPr>
        <w:t xml:space="preserve"> 113</w:t>
      </w:r>
      <w:r w:rsidRPr="4C15A81F">
        <w:rPr>
          <w:rFonts w:ascii="Calibri" w:hAnsi="Calibri" w:cs="Calibri"/>
        </w:rPr>
        <w:t xml:space="preserve">(9), 1696-1705. </w:t>
      </w:r>
      <w:hyperlink r:id="rId57">
        <w:r w:rsidR="0857EAB6" w:rsidRPr="4C15A81F">
          <w:rPr>
            <w:rStyle w:val="Hyperlink"/>
            <w:rFonts w:ascii="Calibri" w:hAnsi="Calibri" w:cs="Calibri"/>
          </w:rPr>
          <w:t>https://doi.org/10.1111/add.14243</w:t>
        </w:r>
      </w:hyperlink>
    </w:p>
    <w:p w14:paraId="69B0681B" w14:textId="77777777" w:rsidR="003E2B90" w:rsidRDefault="003E2B90" w:rsidP="00D42A7B">
      <w:pPr>
        <w:spacing w:after="0"/>
        <w:ind w:left="357" w:hanging="357"/>
        <w:rPr>
          <w:rFonts w:ascii="Calibri" w:eastAsia="Calibri" w:hAnsi="Calibri" w:cs="Calibri"/>
          <w:szCs w:val="20"/>
        </w:rPr>
      </w:pPr>
      <w:r w:rsidRPr="4C15A81F">
        <w:rPr>
          <w:rFonts w:ascii="Calibri" w:eastAsia="Calibri" w:hAnsi="Calibri" w:cs="Calibri"/>
          <w:color w:val="000000" w:themeColor="text1"/>
          <w:szCs w:val="20"/>
        </w:rPr>
        <w:t xml:space="preserve">Horvath, J. C., Mathews, J., Demitrack, M. A., &amp; Pascual-Leone, A. (2010). The NeuroStar TMS device: Conducting the FDA approved protocol for treatment of depression. </w:t>
      </w:r>
      <w:r w:rsidRPr="4C15A81F">
        <w:rPr>
          <w:rFonts w:ascii="Calibri" w:eastAsia="Calibri" w:hAnsi="Calibri" w:cs="Calibri"/>
          <w:i/>
          <w:iCs/>
          <w:color w:val="000000" w:themeColor="text1"/>
          <w:szCs w:val="20"/>
        </w:rPr>
        <w:t>Journal of Visualized Experiments, 45</w:t>
      </w:r>
      <w:r w:rsidRPr="4C15A81F">
        <w:rPr>
          <w:rFonts w:ascii="Calibri" w:eastAsia="Calibri" w:hAnsi="Calibri" w:cs="Calibri"/>
          <w:color w:val="000000" w:themeColor="text1"/>
          <w:szCs w:val="20"/>
        </w:rPr>
        <w:t xml:space="preserve">, </w:t>
      </w:r>
      <w:r>
        <w:rPr>
          <w:rFonts w:ascii="Calibri" w:eastAsia="Calibri" w:hAnsi="Calibri" w:cs="Calibri"/>
          <w:color w:val="000000" w:themeColor="text1"/>
          <w:szCs w:val="20"/>
        </w:rPr>
        <w:t xml:space="preserve">Article </w:t>
      </w:r>
      <w:r w:rsidRPr="4C15A81F">
        <w:rPr>
          <w:rFonts w:ascii="Calibri" w:eastAsia="Calibri" w:hAnsi="Calibri" w:cs="Calibri"/>
          <w:color w:val="000000" w:themeColor="text1"/>
          <w:szCs w:val="20"/>
        </w:rPr>
        <w:t xml:space="preserve">e2345.  </w:t>
      </w:r>
      <w:hyperlink r:id="rId58" w:history="1">
        <w:r w:rsidRPr="4C15A81F">
          <w:rPr>
            <w:rStyle w:val="Hyperlink"/>
            <w:rFonts w:ascii="Calibri" w:eastAsia="Calibri" w:hAnsi="Calibri" w:cs="Calibri"/>
            <w:szCs w:val="20"/>
          </w:rPr>
          <w:t>https://doi.org/10.3791/2345</w:t>
        </w:r>
      </w:hyperlink>
      <w:r>
        <w:rPr>
          <w:rStyle w:val="Hyperlink"/>
          <w:rFonts w:ascii="Calibri" w:eastAsia="Calibri" w:hAnsi="Calibri" w:cs="Calibri"/>
          <w:szCs w:val="20"/>
        </w:rPr>
        <w:t>-v</w:t>
      </w:r>
      <w:r w:rsidRPr="4C15A81F">
        <w:rPr>
          <w:rFonts w:ascii="Calibri" w:eastAsia="Calibri" w:hAnsi="Calibri" w:cs="Calibri"/>
          <w:color w:val="000000" w:themeColor="text1"/>
          <w:szCs w:val="20"/>
        </w:rPr>
        <w:t xml:space="preserve"> </w:t>
      </w:r>
      <w:r w:rsidRPr="4C15A81F">
        <w:rPr>
          <w:rFonts w:ascii="Calibri" w:eastAsia="Calibri" w:hAnsi="Calibri" w:cs="Calibri"/>
          <w:szCs w:val="20"/>
        </w:rPr>
        <w:t xml:space="preserve"> </w:t>
      </w:r>
    </w:p>
    <w:p w14:paraId="258E6D2D" w14:textId="77777777" w:rsidR="003A2662" w:rsidRPr="001E7B32" w:rsidRDefault="003A2662" w:rsidP="00D42A7B">
      <w:pPr>
        <w:autoSpaceDE w:val="0"/>
        <w:autoSpaceDN w:val="0"/>
        <w:adjustRightInd w:val="0"/>
        <w:spacing w:after="0"/>
        <w:ind w:left="357" w:hanging="357"/>
        <w:rPr>
          <w:rFonts w:ascii="Calibri" w:hAnsi="Calibri" w:cs="Calibri"/>
        </w:rPr>
      </w:pPr>
      <w:r w:rsidRPr="001E7B32">
        <w:rPr>
          <w:rFonts w:ascii="Calibri" w:hAnsi="Calibri" w:cs="Calibri"/>
        </w:rPr>
        <w:t xml:space="preserve">Huang, Y-Z., Edwards, M. J., Rounis, E., Bhatia, K. P., &amp; Rothwell, J. C. (2005). Theta burst stimulation of the human motor cortex. </w:t>
      </w:r>
      <w:r w:rsidRPr="001E7B32">
        <w:rPr>
          <w:rFonts w:ascii="Calibri" w:hAnsi="Calibri" w:cs="Calibri"/>
          <w:i/>
          <w:iCs/>
        </w:rPr>
        <w:t>Neuron, 45</w:t>
      </w:r>
      <w:r w:rsidRPr="00522B3C">
        <w:rPr>
          <w:rFonts w:ascii="Calibri" w:hAnsi="Calibri" w:cs="Calibri"/>
          <w:iCs/>
        </w:rPr>
        <w:t>(2)</w:t>
      </w:r>
      <w:r w:rsidRPr="001E7B32">
        <w:rPr>
          <w:rFonts w:ascii="Calibri" w:hAnsi="Calibri" w:cs="Calibri"/>
          <w:i/>
          <w:iCs/>
        </w:rPr>
        <w:t>,</w:t>
      </w:r>
      <w:r>
        <w:rPr>
          <w:rFonts w:ascii="Calibri" w:hAnsi="Calibri" w:cs="Calibri"/>
        </w:rPr>
        <w:t xml:space="preserve"> 201-206</w:t>
      </w:r>
      <w:r w:rsidRPr="001E7B32">
        <w:rPr>
          <w:rFonts w:ascii="Calibri" w:hAnsi="Calibri" w:cs="Calibri"/>
        </w:rPr>
        <w:t xml:space="preserve">. </w:t>
      </w:r>
      <w:hyperlink r:id="rId59" w:history="1">
        <w:r w:rsidRPr="00A85996">
          <w:rPr>
            <w:rStyle w:val="Hyperlink"/>
            <w:rFonts w:ascii="Calibri" w:hAnsi="Calibri" w:cs="Calibri"/>
          </w:rPr>
          <w:t>https://doi.org/10.1016/j.neuron.2004.12.033</w:t>
        </w:r>
      </w:hyperlink>
      <w:r w:rsidRPr="00A85996">
        <w:rPr>
          <w:rFonts w:ascii="Calibri" w:hAnsi="Calibri" w:cs="Calibri"/>
        </w:rPr>
        <w:t xml:space="preserve"> </w:t>
      </w:r>
    </w:p>
    <w:p w14:paraId="63FF0D12" w14:textId="77777777" w:rsidR="003A2662" w:rsidRDefault="003A2662" w:rsidP="00D42A7B">
      <w:pPr>
        <w:autoSpaceDE w:val="0"/>
        <w:autoSpaceDN w:val="0"/>
        <w:adjustRightInd w:val="0"/>
        <w:spacing w:after="0"/>
        <w:ind w:left="357" w:hanging="357"/>
        <w:rPr>
          <w:rFonts w:ascii="Calibri" w:hAnsi="Calibri" w:cs="Calibri"/>
        </w:rPr>
      </w:pPr>
      <w:r w:rsidRPr="001E7B32">
        <w:rPr>
          <w:rFonts w:ascii="Calibri" w:hAnsi="Calibri" w:cs="Calibri"/>
        </w:rPr>
        <w:t xml:space="preserve">Huang, Y-Z., Sommer, M., Thickbroom, G., Hamada, M., Pascual-Leonne, A., Paulus, W., Classen, J., Peterchev, A. V., Zangen, A., Ugawa, Y. (2009). Consensus: New methodologies for brain stimulation. </w:t>
      </w:r>
      <w:r w:rsidRPr="001E7B32">
        <w:rPr>
          <w:rFonts w:ascii="Calibri" w:hAnsi="Calibri" w:cs="Calibri"/>
          <w:i/>
          <w:iCs/>
        </w:rPr>
        <w:t>Brain Stimulation, 2</w:t>
      </w:r>
      <w:r w:rsidRPr="00522B3C">
        <w:rPr>
          <w:rFonts w:ascii="Calibri" w:hAnsi="Calibri" w:cs="Calibri"/>
          <w:iCs/>
        </w:rPr>
        <w:t>(1),</w:t>
      </w:r>
      <w:r w:rsidRPr="00522B3C">
        <w:rPr>
          <w:rFonts w:ascii="Calibri" w:hAnsi="Calibri" w:cs="Calibri"/>
        </w:rPr>
        <w:t xml:space="preserve"> </w:t>
      </w:r>
      <w:r>
        <w:rPr>
          <w:rFonts w:ascii="Calibri" w:hAnsi="Calibri" w:cs="Calibri"/>
        </w:rPr>
        <w:t>2-</w:t>
      </w:r>
      <w:r w:rsidRPr="001E7B32">
        <w:rPr>
          <w:rFonts w:ascii="Calibri" w:hAnsi="Calibri" w:cs="Calibri"/>
        </w:rPr>
        <w:t xml:space="preserve">13. </w:t>
      </w:r>
      <w:hyperlink r:id="rId60" w:history="1">
        <w:r w:rsidRPr="00A85996">
          <w:rPr>
            <w:rStyle w:val="Hyperlink"/>
            <w:rFonts w:ascii="Calibri" w:hAnsi="Calibri" w:cs="Calibri"/>
          </w:rPr>
          <w:t>https://doi.org/10.1016/j.brs.2008.09.007</w:t>
        </w:r>
      </w:hyperlink>
      <w:r w:rsidRPr="00A85996">
        <w:rPr>
          <w:rFonts w:ascii="Calibri" w:hAnsi="Calibri" w:cs="Calibri"/>
        </w:rPr>
        <w:t xml:space="preserve"> </w:t>
      </w:r>
    </w:p>
    <w:p w14:paraId="7E6528DE" w14:textId="7213C735" w:rsidR="00511DFB" w:rsidRDefault="00511DFB" w:rsidP="00D42A7B">
      <w:pPr>
        <w:autoSpaceDE w:val="0"/>
        <w:autoSpaceDN w:val="0"/>
        <w:adjustRightInd w:val="0"/>
        <w:spacing w:after="0"/>
        <w:ind w:left="357" w:hanging="357"/>
        <w:rPr>
          <w:rStyle w:val="Hyperlink"/>
          <w:rFonts w:ascii="Calibri" w:hAnsi="Calibri" w:cs="Calibri"/>
        </w:rPr>
      </w:pPr>
      <w:r w:rsidRPr="4C15A81F">
        <w:rPr>
          <w:rFonts w:ascii="Calibri" w:hAnsi="Calibri" w:cs="Calibri"/>
        </w:rPr>
        <w:t xml:space="preserve">Hurd, Y. L., Spriggs, S., Alishayev, J., Winkel, G., Gurgov, K., Kudrich, C., Oprescu, A. M., &amp; Salsitz, E. (2019). Cannabidiol for the reduction of cue-induced craving and anxiety in drug-abstinent individuals with heroin use disorder: A double-blind randomized placebo-controlled trial. </w:t>
      </w:r>
      <w:r w:rsidRPr="4C15A81F">
        <w:rPr>
          <w:rFonts w:ascii="Calibri" w:hAnsi="Calibri" w:cs="Calibri"/>
          <w:i/>
          <w:iCs/>
        </w:rPr>
        <w:t>The American Journal of Psychiatry</w:t>
      </w:r>
      <w:r w:rsidRPr="4C15A81F">
        <w:rPr>
          <w:rFonts w:ascii="Calibri" w:hAnsi="Calibri" w:cs="Calibri"/>
        </w:rPr>
        <w:t>,</w:t>
      </w:r>
      <w:r w:rsidRPr="4C15A81F">
        <w:rPr>
          <w:rFonts w:ascii="Calibri" w:hAnsi="Calibri" w:cs="Calibri"/>
          <w:i/>
          <w:iCs/>
        </w:rPr>
        <w:t xml:space="preserve"> 176</w:t>
      </w:r>
      <w:r w:rsidRPr="4C15A81F">
        <w:rPr>
          <w:rFonts w:ascii="Calibri" w:hAnsi="Calibri" w:cs="Calibri"/>
        </w:rPr>
        <w:t xml:space="preserve">(11), 911-922. </w:t>
      </w:r>
      <w:hyperlink r:id="rId61">
        <w:r w:rsidRPr="4C15A81F">
          <w:rPr>
            <w:rStyle w:val="Hyperlink"/>
            <w:rFonts w:ascii="Calibri" w:hAnsi="Calibri" w:cs="Calibri"/>
          </w:rPr>
          <w:t>https://doi.org/10.1176/appi.ajp.2019.18101191</w:t>
        </w:r>
      </w:hyperlink>
    </w:p>
    <w:p w14:paraId="5EF29D53" w14:textId="77777777" w:rsidR="008A7EFB" w:rsidRPr="00892B6C" w:rsidRDefault="008A7EFB" w:rsidP="00D42A7B">
      <w:pPr>
        <w:autoSpaceDE w:val="0"/>
        <w:autoSpaceDN w:val="0"/>
        <w:adjustRightInd w:val="0"/>
        <w:spacing w:after="0"/>
        <w:ind w:left="357" w:hanging="357"/>
        <w:rPr>
          <w:rFonts w:ascii="Calibri" w:hAnsi="Calibri" w:cs="Calibri"/>
        </w:rPr>
      </w:pPr>
      <w:r>
        <w:t xml:space="preserve">Illingworth, B. J., Lewis, D. J. Lambarth, A. T., Stocking, K., Duffy, J. M., Jelen, L. A., &amp; Rucker, J. J. (2021). A comparison of MDMA-assisted psychotherapy to non-assisted psychotherapy in treatment-resistant PTSD: A systematic review and meta-analysis. </w:t>
      </w:r>
      <w:r w:rsidRPr="008A5D4A">
        <w:rPr>
          <w:i/>
        </w:rPr>
        <w:t>Journal of Psychopharmacology, 35</w:t>
      </w:r>
      <w:r>
        <w:t xml:space="preserve">(5), 501-511. </w:t>
      </w:r>
      <w:hyperlink r:id="rId62" w:history="1">
        <w:r w:rsidRPr="006F3F76">
          <w:rPr>
            <w:rStyle w:val="Hyperlink"/>
          </w:rPr>
          <w:t>https://doi.org/10.1177/0269881120965915</w:t>
        </w:r>
      </w:hyperlink>
      <w:r>
        <w:t xml:space="preserve">  </w:t>
      </w:r>
    </w:p>
    <w:p w14:paraId="557A5F11" w14:textId="21BD8BAD" w:rsidR="063369F2" w:rsidRDefault="063369F2" w:rsidP="00D42A7B">
      <w:pPr>
        <w:spacing w:after="0"/>
        <w:ind w:left="357" w:hanging="357"/>
        <w:rPr>
          <w:rFonts w:ascii="Calibri" w:eastAsia="Calibri" w:hAnsi="Calibri" w:cs="Calibri"/>
          <w:szCs w:val="20"/>
        </w:rPr>
      </w:pPr>
      <w:r w:rsidRPr="4C15A81F">
        <w:rPr>
          <w:rFonts w:ascii="Calibri" w:eastAsia="Calibri" w:hAnsi="Calibri" w:cs="Calibri"/>
          <w:color w:val="000000" w:themeColor="text1"/>
          <w:szCs w:val="20"/>
        </w:rPr>
        <w:t>Johnson, M. W., &amp; Griffiths, R. R. (2017). Potential therapeutic effects of psilocybin. </w:t>
      </w:r>
      <w:r w:rsidRPr="4C15A81F">
        <w:rPr>
          <w:rFonts w:ascii="Calibri" w:eastAsia="Calibri" w:hAnsi="Calibri" w:cs="Calibri"/>
          <w:i/>
          <w:iCs/>
          <w:color w:val="000000" w:themeColor="text1"/>
          <w:szCs w:val="20"/>
        </w:rPr>
        <w:t>Neurotherapeutics, 14</w:t>
      </w:r>
      <w:r w:rsidRPr="4C15A81F">
        <w:rPr>
          <w:rFonts w:ascii="Calibri" w:eastAsia="Calibri" w:hAnsi="Calibri" w:cs="Calibri"/>
          <w:color w:val="000000" w:themeColor="text1"/>
          <w:szCs w:val="20"/>
        </w:rPr>
        <w:t xml:space="preserve">(3), 734-740. </w:t>
      </w:r>
      <w:hyperlink r:id="rId63" w:history="1">
        <w:r w:rsidRPr="4C15A81F">
          <w:rPr>
            <w:rStyle w:val="Hyperlink"/>
            <w:rFonts w:ascii="Calibri" w:eastAsia="Calibri" w:hAnsi="Calibri" w:cs="Calibri"/>
            <w:szCs w:val="20"/>
          </w:rPr>
          <w:t>https://doi.org/10.1007/s13311-017-0542-y</w:t>
        </w:r>
      </w:hyperlink>
    </w:p>
    <w:p w14:paraId="775A8558" w14:textId="77777777" w:rsidR="003A2662" w:rsidRDefault="003A2662" w:rsidP="00D42A7B">
      <w:pPr>
        <w:autoSpaceDE w:val="0"/>
        <w:autoSpaceDN w:val="0"/>
        <w:adjustRightInd w:val="0"/>
        <w:spacing w:after="0"/>
        <w:ind w:left="357" w:hanging="357"/>
        <w:rPr>
          <w:rFonts w:ascii="Calibri" w:hAnsi="Calibri" w:cs="Calibri"/>
        </w:rPr>
      </w:pPr>
      <w:r w:rsidRPr="00297F9F">
        <w:rPr>
          <w:rFonts w:ascii="Calibri" w:hAnsi="Calibri" w:cs="Calibri"/>
        </w:rPr>
        <w:t xml:space="preserve">Jones, K., O’Donnell, M., Stone, C., &amp; Varker, T. (2020). </w:t>
      </w:r>
      <w:r w:rsidRPr="00297F9F">
        <w:rPr>
          <w:rFonts w:ascii="Calibri" w:hAnsi="Calibri" w:cs="Calibri"/>
          <w:i/>
          <w:iCs/>
        </w:rPr>
        <w:t xml:space="preserve">Understanding evidence: A framework for guiding the use of evidence in decision making for mental health interventions including adjunct therapies. </w:t>
      </w:r>
      <w:r w:rsidRPr="00297F9F">
        <w:rPr>
          <w:rFonts w:ascii="Calibri" w:hAnsi="Calibri" w:cs="Calibri"/>
        </w:rPr>
        <w:t xml:space="preserve">Report prepared for Department of Veterans’ Affairs. Phoenix Australia </w:t>
      </w:r>
      <w:r>
        <w:rPr>
          <w:rFonts w:ascii="Calibri" w:hAnsi="Calibri" w:cs="Calibri"/>
        </w:rPr>
        <w:t>–</w:t>
      </w:r>
      <w:r w:rsidRPr="00297F9F">
        <w:rPr>
          <w:rFonts w:ascii="Calibri" w:hAnsi="Calibri" w:cs="Calibri"/>
        </w:rPr>
        <w:t xml:space="preserve"> Centre</w:t>
      </w:r>
      <w:r>
        <w:rPr>
          <w:rFonts w:ascii="Calibri" w:hAnsi="Calibri" w:cs="Calibri"/>
        </w:rPr>
        <w:t xml:space="preserve"> </w:t>
      </w:r>
      <w:r w:rsidRPr="00297F9F">
        <w:rPr>
          <w:rFonts w:ascii="Calibri" w:hAnsi="Calibri" w:cs="Calibri"/>
        </w:rPr>
        <w:t xml:space="preserve">for Posttraumatic Mental Health. </w:t>
      </w:r>
      <w:hyperlink r:id="rId64" w:history="1">
        <w:r w:rsidRPr="00615190">
          <w:rPr>
            <w:rStyle w:val="Hyperlink"/>
            <w:rFonts w:ascii="Calibri" w:hAnsi="Calibri" w:cs="Calibri"/>
          </w:rPr>
          <w:t>https://www.dva.gov.au/sites/default/files/2021-10/understanding-evidence-framework.pdf</w:t>
        </w:r>
      </w:hyperlink>
    </w:p>
    <w:p w14:paraId="65EA2E33" w14:textId="7679371E" w:rsidR="00511DFB" w:rsidRDefault="00511DFB" w:rsidP="00D42A7B">
      <w:pPr>
        <w:autoSpaceDE w:val="0"/>
        <w:autoSpaceDN w:val="0"/>
        <w:adjustRightInd w:val="0"/>
        <w:spacing w:after="0"/>
        <w:ind w:left="357" w:hanging="357"/>
        <w:rPr>
          <w:rFonts w:ascii="Calibri" w:hAnsi="Calibri" w:cs="Calibri"/>
        </w:rPr>
      </w:pPr>
      <w:r w:rsidRPr="19C6C0B2">
        <w:rPr>
          <w:rFonts w:ascii="Calibri" w:hAnsi="Calibri" w:cs="Calibri"/>
        </w:rPr>
        <w:t xml:space="preserve">Kayser, R. R., </w:t>
      </w:r>
      <w:r w:rsidR="000E7C1F" w:rsidRPr="19C6C0B2">
        <w:rPr>
          <w:rFonts w:ascii="Calibri" w:hAnsi="Calibri" w:cs="Calibri"/>
        </w:rPr>
        <w:t xml:space="preserve">Haney, M., </w:t>
      </w:r>
      <w:r w:rsidRPr="19C6C0B2">
        <w:rPr>
          <w:rFonts w:ascii="Calibri" w:hAnsi="Calibri" w:cs="Calibri"/>
        </w:rPr>
        <w:t xml:space="preserve">Raskin, M., </w:t>
      </w:r>
      <w:r w:rsidR="000E7C1F" w:rsidRPr="19C6C0B2">
        <w:rPr>
          <w:rFonts w:ascii="Calibri" w:hAnsi="Calibri" w:cs="Calibri"/>
        </w:rPr>
        <w:t xml:space="preserve">Arout, C., </w:t>
      </w:r>
      <w:r w:rsidRPr="19C6C0B2">
        <w:rPr>
          <w:rFonts w:ascii="Calibri" w:hAnsi="Calibri" w:cs="Calibri"/>
        </w:rPr>
        <w:t xml:space="preserve">&amp; Simpson, H. B. (2020). </w:t>
      </w:r>
      <w:r w:rsidR="00F44B2A" w:rsidRPr="19C6C0B2">
        <w:rPr>
          <w:rFonts w:ascii="Calibri" w:hAnsi="Calibri" w:cs="Calibri"/>
        </w:rPr>
        <w:t>Acute effects of cannabinoids on symptoms of obsessive‐compulsive disorder: A human laboratory study</w:t>
      </w:r>
      <w:r w:rsidRPr="19C6C0B2">
        <w:rPr>
          <w:rFonts w:ascii="Calibri" w:hAnsi="Calibri" w:cs="Calibri"/>
        </w:rPr>
        <w:t xml:space="preserve">. </w:t>
      </w:r>
      <w:r w:rsidR="00C811B3" w:rsidRPr="19C6C0B2">
        <w:rPr>
          <w:rFonts w:ascii="Calibri" w:hAnsi="Calibri" w:cs="Calibri"/>
          <w:i/>
          <w:iCs/>
        </w:rPr>
        <w:t>Depression and Anxiety</w:t>
      </w:r>
      <w:r w:rsidR="00E24507" w:rsidRPr="19C6C0B2">
        <w:rPr>
          <w:rFonts w:ascii="Calibri" w:hAnsi="Calibri" w:cs="Calibri"/>
          <w:i/>
          <w:iCs/>
        </w:rPr>
        <w:t>,</w:t>
      </w:r>
      <w:r w:rsidR="00C811B3" w:rsidRPr="19C6C0B2">
        <w:rPr>
          <w:rFonts w:ascii="Calibri" w:hAnsi="Calibri" w:cs="Calibri"/>
          <w:i/>
          <w:iCs/>
        </w:rPr>
        <w:t xml:space="preserve"> 37</w:t>
      </w:r>
      <w:r w:rsidR="00E24507" w:rsidRPr="19C6C0B2">
        <w:rPr>
          <w:rFonts w:ascii="Calibri" w:hAnsi="Calibri" w:cs="Calibri"/>
        </w:rPr>
        <w:t xml:space="preserve">, </w:t>
      </w:r>
      <w:r w:rsidR="00522B3C">
        <w:rPr>
          <w:rFonts w:ascii="Calibri" w:hAnsi="Calibri" w:cs="Calibri"/>
        </w:rPr>
        <w:t>801-</w:t>
      </w:r>
      <w:r w:rsidR="00971FE2">
        <w:rPr>
          <w:rFonts w:ascii="Calibri" w:hAnsi="Calibri" w:cs="Calibri"/>
        </w:rPr>
        <w:t>8</w:t>
      </w:r>
      <w:r w:rsidR="00C811B3" w:rsidRPr="19C6C0B2">
        <w:rPr>
          <w:rFonts w:ascii="Calibri" w:hAnsi="Calibri" w:cs="Calibri"/>
        </w:rPr>
        <w:t xml:space="preserve">11. </w:t>
      </w:r>
      <w:hyperlink r:id="rId65">
        <w:r w:rsidR="007E230D" w:rsidRPr="19C6C0B2">
          <w:rPr>
            <w:rStyle w:val="Hyperlink"/>
            <w:rFonts w:ascii="Calibri" w:hAnsi="Calibri" w:cs="Calibri"/>
          </w:rPr>
          <w:t>https://doi.org/10.1002/da.23032</w:t>
        </w:r>
      </w:hyperlink>
      <w:r w:rsidR="007E230D" w:rsidRPr="19C6C0B2">
        <w:rPr>
          <w:rFonts w:ascii="Calibri" w:hAnsi="Calibri" w:cs="Calibri"/>
        </w:rPr>
        <w:t xml:space="preserve"> </w:t>
      </w:r>
    </w:p>
    <w:p w14:paraId="3848C55F" w14:textId="77777777" w:rsidR="003A2662" w:rsidRPr="00034744" w:rsidRDefault="003A2662" w:rsidP="00D42A7B">
      <w:pPr>
        <w:autoSpaceDE w:val="0"/>
        <w:autoSpaceDN w:val="0"/>
        <w:adjustRightInd w:val="0"/>
        <w:spacing w:after="0"/>
        <w:ind w:left="357" w:hanging="357"/>
        <w:rPr>
          <w:rFonts w:ascii="Calibri" w:hAnsi="Calibri" w:cs="Calibri"/>
        </w:rPr>
      </w:pPr>
      <w:r w:rsidRPr="4C15A81F">
        <w:rPr>
          <w:rFonts w:ascii="Calibri" w:hAnsi="Calibri" w:cs="Calibri"/>
        </w:rPr>
        <w:t>Khan,</w:t>
      </w:r>
      <w:r>
        <w:rPr>
          <w:rFonts w:ascii="Calibri" w:hAnsi="Calibri" w:cs="Calibri"/>
        </w:rPr>
        <w:t xml:space="preserve"> Z., &amp; Bollu, P. C. (2022</w:t>
      </w:r>
      <w:r w:rsidRPr="4C15A81F">
        <w:rPr>
          <w:rFonts w:ascii="Calibri" w:hAnsi="Calibri" w:cs="Calibri"/>
        </w:rPr>
        <w:t xml:space="preserve">). Horner syndrome. </w:t>
      </w:r>
      <w:r>
        <w:rPr>
          <w:rFonts w:ascii="Calibri" w:hAnsi="Calibri" w:cs="Calibri"/>
        </w:rPr>
        <w:t xml:space="preserve">In </w:t>
      </w:r>
      <w:r w:rsidRPr="4C15A81F">
        <w:rPr>
          <w:rFonts w:ascii="Calibri" w:hAnsi="Calibri" w:cs="Calibri"/>
          <w:i/>
          <w:iCs/>
        </w:rPr>
        <w:t>StatPearls</w:t>
      </w:r>
      <w:r w:rsidRPr="4C15A81F">
        <w:rPr>
          <w:rFonts w:ascii="Calibri" w:hAnsi="Calibri" w:cs="Calibri"/>
        </w:rPr>
        <w:t xml:space="preserve">. StatPearls Publishing. </w:t>
      </w:r>
      <w:hyperlink r:id="rId66" w:history="1">
        <w:r w:rsidRPr="4C15A81F">
          <w:rPr>
            <w:rStyle w:val="Hyperlink"/>
            <w:rFonts w:ascii="Calibri" w:hAnsi="Calibri" w:cs="Calibri"/>
          </w:rPr>
          <w:t>https://www.ncbi.nlm.nih.gov/books/NBK500000/</w:t>
        </w:r>
      </w:hyperlink>
    </w:p>
    <w:p w14:paraId="679D73E6" w14:textId="4A284006" w:rsidR="58B8AFC2" w:rsidRDefault="58B8AFC2" w:rsidP="00D42A7B">
      <w:pPr>
        <w:pStyle w:val="paragraph"/>
        <w:spacing w:before="0" w:beforeAutospacing="0" w:after="0" w:afterAutospacing="0" w:line="259" w:lineRule="auto"/>
        <w:ind w:left="357" w:hanging="357"/>
        <w:rPr>
          <w:rFonts w:ascii="Calibri" w:eastAsia="Calibri" w:hAnsi="Calibri" w:cs="Calibri"/>
          <w:szCs w:val="20"/>
        </w:rPr>
      </w:pPr>
      <w:r w:rsidRPr="4C15A81F">
        <w:rPr>
          <w:rFonts w:ascii="Calibri" w:eastAsia="Calibri" w:hAnsi="Calibri" w:cs="Calibri"/>
          <w:color w:val="000000" w:themeColor="text1"/>
          <w:sz w:val="20"/>
          <w:szCs w:val="20"/>
        </w:rPr>
        <w:lastRenderedPageBreak/>
        <w:t xml:space="preserve">Kisely, S., Connor, M., &amp; Somogyi, A. (2021). </w:t>
      </w:r>
      <w:r w:rsidRPr="4C15A81F">
        <w:rPr>
          <w:rFonts w:ascii="Calibri" w:eastAsia="Calibri" w:hAnsi="Calibri" w:cs="Calibri"/>
          <w:i/>
          <w:iCs/>
          <w:color w:val="000000" w:themeColor="text1"/>
          <w:sz w:val="20"/>
          <w:szCs w:val="20"/>
        </w:rPr>
        <w:t>An evaluation of the therapeutic value, benefits and risks of methylenedioxymethamphetamine (MDMA) and psilocybin for the treatment of mental, behavioural or developmental disorders: Summary of a report to the Therapeutic Goods Administration.</w:t>
      </w:r>
      <w:r w:rsidRPr="4C15A81F">
        <w:rPr>
          <w:rFonts w:ascii="Calibri" w:eastAsia="Calibri" w:hAnsi="Calibri" w:cs="Calibri"/>
          <w:color w:val="000000" w:themeColor="text1"/>
          <w:sz w:val="20"/>
          <w:szCs w:val="20"/>
        </w:rPr>
        <w:t xml:space="preserve"> </w:t>
      </w:r>
      <w:hyperlink r:id="rId67" w:history="1">
        <w:r w:rsidRPr="4C15A81F">
          <w:rPr>
            <w:rStyle w:val="Hyperlink"/>
            <w:rFonts w:ascii="Calibri" w:eastAsia="Calibri" w:hAnsi="Calibri" w:cs="Calibri"/>
            <w:sz w:val="20"/>
            <w:szCs w:val="20"/>
          </w:rPr>
          <w:t>https://www.tga.gov.au/how-we-regulate/ingredients-and-scheduling-medicines-and-chemicals/evaluation-therapeutic-value-benefits-and-risks-methylenedioxymethamphetamine-mdma-and-psilocybin-treatment-mental-behavioural-or-developmental-disorders</w:t>
        </w:r>
      </w:hyperlink>
      <w:r w:rsidRPr="4C15A81F">
        <w:rPr>
          <w:rFonts w:ascii="Calibri" w:eastAsia="Calibri" w:hAnsi="Calibri" w:cs="Calibri"/>
          <w:color w:val="000000" w:themeColor="text1"/>
          <w:sz w:val="20"/>
          <w:szCs w:val="20"/>
        </w:rPr>
        <w:t xml:space="preserve"> </w:t>
      </w:r>
      <w:r w:rsidRPr="4C15A81F">
        <w:rPr>
          <w:rFonts w:ascii="Calibri" w:eastAsia="Calibri" w:hAnsi="Calibri" w:cs="Calibri"/>
          <w:sz w:val="20"/>
          <w:szCs w:val="20"/>
        </w:rPr>
        <w:t xml:space="preserve"> </w:t>
      </w:r>
    </w:p>
    <w:p w14:paraId="05A6F22A" w14:textId="77777777" w:rsidR="00957093" w:rsidRPr="00957093" w:rsidRDefault="00957093" w:rsidP="00D42A7B">
      <w:pPr>
        <w:autoSpaceDE w:val="0"/>
        <w:autoSpaceDN w:val="0"/>
        <w:adjustRightInd w:val="0"/>
        <w:spacing w:after="0"/>
        <w:ind w:left="357" w:hanging="357"/>
        <w:rPr>
          <w:rFonts w:ascii="Calibri" w:hAnsi="Calibri" w:cs="Calibri"/>
        </w:rPr>
      </w:pPr>
      <w:r w:rsidRPr="00957093">
        <w:rPr>
          <w:rFonts w:ascii="Calibri" w:hAnsi="Calibri" w:cs="Calibri"/>
        </w:rPr>
        <w:t xml:space="preserve">Klomjai, W., Katz, R., &amp; Lackmy-Vallée, A. (2015). Basic principles of transcranial magnetic stimulation (TMS) and repetitive TMS (rTMS). </w:t>
      </w:r>
      <w:r w:rsidRPr="00957093">
        <w:rPr>
          <w:rFonts w:ascii="Calibri" w:hAnsi="Calibri" w:cs="Calibri"/>
          <w:i/>
        </w:rPr>
        <w:t>Annals of Physical and Rehabilitation Medicine, 58</w:t>
      </w:r>
      <w:r w:rsidRPr="00957093">
        <w:rPr>
          <w:rFonts w:ascii="Calibri" w:hAnsi="Calibri" w:cs="Calibri"/>
        </w:rPr>
        <w:t xml:space="preserve">(4), 208-213. </w:t>
      </w:r>
      <w:hyperlink r:id="rId68" w:history="1">
        <w:r w:rsidR="734F82D9" w:rsidRPr="793E674C">
          <w:rPr>
            <w:rStyle w:val="Hyperlink"/>
            <w:rFonts w:ascii="Calibri" w:hAnsi="Calibri" w:cs="Calibri"/>
          </w:rPr>
          <w:t>https://doi.org/https://doi.org/10.1016/j.rehab.2015.05.005</w:t>
        </w:r>
      </w:hyperlink>
      <w:r w:rsidR="734F82D9" w:rsidRPr="793E674C">
        <w:rPr>
          <w:rFonts w:ascii="Calibri" w:hAnsi="Calibri" w:cs="Calibri"/>
        </w:rPr>
        <w:t xml:space="preserve"> </w:t>
      </w:r>
    </w:p>
    <w:p w14:paraId="04219503" w14:textId="106424BE" w:rsidR="009744EB" w:rsidRDefault="009744EB" w:rsidP="00D42A7B">
      <w:pPr>
        <w:autoSpaceDE w:val="0"/>
        <w:autoSpaceDN w:val="0"/>
        <w:adjustRightInd w:val="0"/>
        <w:spacing w:after="0"/>
        <w:ind w:left="357" w:hanging="357"/>
      </w:pPr>
      <w:r w:rsidRPr="1A460E1F">
        <w:t xml:space="preserve">Kvale, G., Hansen, B., Hagen, K., Abramowitz, J. S., Børtveit, T., Craske, M. G., Franklin, M. E., Haseth, S., Himle, J. A., Hystad, S., Kristensen, U. B., Launes, G., Lund, A., Solem, S., &amp; Öst, L. G. (2020). Effect of </w:t>
      </w:r>
      <w:r>
        <w:t>D-c</w:t>
      </w:r>
      <w:r w:rsidRPr="1A460E1F">
        <w:t xml:space="preserve">ycloserine on the </w:t>
      </w:r>
      <w:r w:rsidRPr="3324237B">
        <w:t>e</w:t>
      </w:r>
      <w:r w:rsidRPr="1A460E1F">
        <w:t xml:space="preserve">ffect of </w:t>
      </w:r>
      <w:r w:rsidRPr="3324237B">
        <w:t>concentrated e</w:t>
      </w:r>
      <w:r w:rsidRPr="1A460E1F">
        <w:t xml:space="preserve">xposure and </w:t>
      </w:r>
      <w:r w:rsidRPr="3324237B">
        <w:t>response p</w:t>
      </w:r>
      <w:r w:rsidRPr="1A460E1F">
        <w:t xml:space="preserve">revention in </w:t>
      </w:r>
      <w:r w:rsidRPr="11EE4A96">
        <w:t>d</w:t>
      </w:r>
      <w:r w:rsidRPr="1A460E1F">
        <w:t>ifficult-to-</w:t>
      </w:r>
      <w:r w:rsidRPr="11EE4A96">
        <w:t>t</w:t>
      </w:r>
      <w:r w:rsidRPr="1A460E1F">
        <w:t xml:space="preserve">reat </w:t>
      </w:r>
      <w:r>
        <w:t>obsessive-compulsive d</w:t>
      </w:r>
      <w:r w:rsidRPr="1A460E1F">
        <w:t xml:space="preserve">isorder: A </w:t>
      </w:r>
      <w:r w:rsidRPr="5C35B2E3">
        <w:t>randomized clinical trial.</w:t>
      </w:r>
      <w:r w:rsidRPr="1A460E1F">
        <w:t xml:space="preserve"> </w:t>
      </w:r>
      <w:r w:rsidRPr="001674EC">
        <w:rPr>
          <w:i/>
        </w:rPr>
        <w:t xml:space="preserve">JAMA </w:t>
      </w:r>
      <w:r w:rsidRPr="001674EC">
        <w:rPr>
          <w:i/>
          <w:iCs/>
        </w:rPr>
        <w:t>Netw</w:t>
      </w:r>
      <w:r w:rsidRPr="14A16C93">
        <w:rPr>
          <w:i/>
          <w:iCs/>
        </w:rPr>
        <w:t>ork</w:t>
      </w:r>
      <w:r w:rsidRPr="001674EC">
        <w:rPr>
          <w:i/>
        </w:rPr>
        <w:t xml:space="preserve"> Open</w:t>
      </w:r>
      <w:r w:rsidRPr="1A460E1F">
        <w:t xml:space="preserve">, </w:t>
      </w:r>
      <w:r w:rsidRPr="001674EC">
        <w:rPr>
          <w:i/>
        </w:rPr>
        <w:t>3</w:t>
      </w:r>
      <w:r>
        <w:t xml:space="preserve">(8), Article </w:t>
      </w:r>
      <w:r w:rsidRPr="1A460E1F">
        <w:t xml:space="preserve">e2013249. </w:t>
      </w:r>
      <w:hyperlink r:id="rId69" w:history="1">
        <w:r w:rsidRPr="1A460E1F">
          <w:rPr>
            <w:rStyle w:val="Hyperlink"/>
          </w:rPr>
          <w:t>https://doi.org/10.1001/jamanetworkopen.2020.13249</w:t>
        </w:r>
      </w:hyperlink>
      <w:r w:rsidRPr="1A460E1F">
        <w:t xml:space="preserve"> </w:t>
      </w:r>
    </w:p>
    <w:p w14:paraId="63FB59FA" w14:textId="3F0655C8" w:rsidR="00511DFB" w:rsidRDefault="00511DFB" w:rsidP="00D42A7B">
      <w:pPr>
        <w:autoSpaceDE w:val="0"/>
        <w:autoSpaceDN w:val="0"/>
        <w:adjustRightInd w:val="0"/>
        <w:spacing w:after="0"/>
        <w:ind w:left="357" w:hanging="357"/>
        <w:rPr>
          <w:rFonts w:ascii="Calibri" w:hAnsi="Calibri" w:cs="Calibri"/>
        </w:rPr>
      </w:pPr>
      <w:r w:rsidRPr="00297F9F">
        <w:rPr>
          <w:rFonts w:ascii="Calibri" w:hAnsi="Calibri" w:cs="Calibri"/>
        </w:rPr>
        <w:t xml:space="preserve">Levin, F. R., Mariani, J. J., Brooks, D. J., Pavlicova, M., Cheng, W., &amp; Nunes, E. V. (2011). Dronabinol for the treatment of cannabis dependence: A randomized, double-blind, placebo-controlled trial. </w:t>
      </w:r>
      <w:r w:rsidRPr="00297F9F">
        <w:rPr>
          <w:rFonts w:ascii="Calibri" w:hAnsi="Calibri" w:cs="Calibri"/>
          <w:i/>
          <w:iCs/>
        </w:rPr>
        <w:t>Drug and Alcohol Dependence</w:t>
      </w:r>
      <w:r w:rsidRPr="00297F9F">
        <w:rPr>
          <w:rFonts w:ascii="Calibri" w:hAnsi="Calibri" w:cs="Calibri"/>
        </w:rPr>
        <w:t>,</w:t>
      </w:r>
      <w:r w:rsidRPr="00297F9F">
        <w:rPr>
          <w:rFonts w:ascii="Calibri" w:hAnsi="Calibri" w:cs="Calibri"/>
          <w:i/>
          <w:iCs/>
        </w:rPr>
        <w:t xml:space="preserve"> 116</w:t>
      </w:r>
      <w:r w:rsidRPr="00297F9F">
        <w:rPr>
          <w:rFonts w:ascii="Calibri" w:hAnsi="Calibri" w:cs="Calibri"/>
        </w:rPr>
        <w:t xml:space="preserve">(1-3), 142-150. </w:t>
      </w:r>
      <w:hyperlink r:id="rId70" w:history="1">
        <w:r w:rsidRPr="00615190">
          <w:rPr>
            <w:rStyle w:val="Hyperlink"/>
            <w:rFonts w:ascii="Calibri" w:hAnsi="Calibri" w:cs="Calibri"/>
          </w:rPr>
          <w:t>https://doi.org/10.1016/j.drugalcdep.2010.12.010</w:t>
        </w:r>
      </w:hyperlink>
    </w:p>
    <w:p w14:paraId="3CB7CAE6" w14:textId="5BB34D4F" w:rsidR="00511DFB" w:rsidRDefault="00511DFB" w:rsidP="00D42A7B">
      <w:pPr>
        <w:autoSpaceDE w:val="0"/>
        <w:autoSpaceDN w:val="0"/>
        <w:adjustRightInd w:val="0"/>
        <w:spacing w:after="0"/>
        <w:ind w:left="357" w:hanging="357"/>
        <w:rPr>
          <w:rFonts w:ascii="Calibri" w:hAnsi="Calibri" w:cs="Calibri"/>
        </w:rPr>
      </w:pPr>
      <w:r w:rsidRPr="00297F9F">
        <w:rPr>
          <w:rFonts w:ascii="Calibri" w:hAnsi="Calibri" w:cs="Calibri"/>
        </w:rPr>
        <w:t>Levin, F. R., Mariani, J. J., Pavlicova, M., Brooks, D., Glass, A., Mahony, A., Nunes, E. V., Bisaga, A., Dakwar, E., Carpenter, K. M., Sullivan, M. A., &amp; Choi</w:t>
      </w:r>
      <w:r w:rsidR="00F1297E">
        <w:rPr>
          <w:rFonts w:ascii="Calibri" w:hAnsi="Calibri" w:cs="Calibri"/>
        </w:rPr>
        <w:t>, J. C. (2016). Dronabinol and i</w:t>
      </w:r>
      <w:r w:rsidRPr="00297F9F">
        <w:rPr>
          <w:rFonts w:ascii="Calibri" w:hAnsi="Calibri" w:cs="Calibri"/>
        </w:rPr>
        <w:t xml:space="preserve">ofexidine for cannabis use disorder: A randomized, double-blind, placebo-controlled trial. </w:t>
      </w:r>
      <w:r w:rsidRPr="00297F9F">
        <w:rPr>
          <w:rFonts w:ascii="Calibri" w:hAnsi="Calibri" w:cs="Calibri"/>
          <w:i/>
          <w:iCs/>
        </w:rPr>
        <w:t>Drug and Alcohol Dependence</w:t>
      </w:r>
      <w:r w:rsidRPr="00297F9F">
        <w:rPr>
          <w:rFonts w:ascii="Calibri" w:hAnsi="Calibri" w:cs="Calibri"/>
        </w:rPr>
        <w:t>,</w:t>
      </w:r>
      <w:r w:rsidRPr="00297F9F">
        <w:rPr>
          <w:rFonts w:ascii="Calibri" w:hAnsi="Calibri" w:cs="Calibri"/>
          <w:i/>
          <w:iCs/>
        </w:rPr>
        <w:t xml:space="preserve"> 159</w:t>
      </w:r>
      <w:r w:rsidRPr="00297F9F">
        <w:rPr>
          <w:rFonts w:ascii="Calibri" w:hAnsi="Calibri" w:cs="Calibri"/>
        </w:rPr>
        <w:t xml:space="preserve">, 53-60. </w:t>
      </w:r>
      <w:hyperlink r:id="rId71" w:history="1">
        <w:r w:rsidRPr="00615190">
          <w:rPr>
            <w:rStyle w:val="Hyperlink"/>
            <w:rFonts w:ascii="Calibri" w:hAnsi="Calibri" w:cs="Calibri"/>
          </w:rPr>
          <w:t>https://doi.org/10.1016/j.drugalcdep.2015.11.025</w:t>
        </w:r>
      </w:hyperlink>
    </w:p>
    <w:p w14:paraId="71EFB5CA" w14:textId="603B78C9" w:rsidR="00511DFB" w:rsidRDefault="00511DFB" w:rsidP="00D42A7B">
      <w:pPr>
        <w:autoSpaceDE w:val="0"/>
        <w:autoSpaceDN w:val="0"/>
        <w:adjustRightInd w:val="0"/>
        <w:spacing w:after="0"/>
        <w:ind w:left="357" w:hanging="357"/>
        <w:rPr>
          <w:rFonts w:ascii="Calibri" w:hAnsi="Calibri" w:cs="Calibri"/>
        </w:rPr>
      </w:pPr>
      <w:r w:rsidRPr="4C15A81F">
        <w:rPr>
          <w:rFonts w:ascii="Calibri" w:hAnsi="Calibri" w:cs="Calibri"/>
        </w:rPr>
        <w:t xml:space="preserve">Lintzeris, N., Bhardwaj, A., Mills, L., Dunlop, A., Copeland, J., McGregor, I., Bruno, R., Gugusheff, J., Phung, N., Montebello, M., Chan, T., Kirby, A., Hall, M., Jefferies, M., Luksza, J., Shanahan, M., Kevin, R., &amp; Allsop, D. (2019). Nabiximols for the treatment of cannabis dependence: A randomized clinical trial. </w:t>
      </w:r>
      <w:r w:rsidRPr="4C15A81F">
        <w:rPr>
          <w:rFonts w:ascii="Calibri" w:hAnsi="Calibri" w:cs="Calibri"/>
          <w:i/>
          <w:iCs/>
        </w:rPr>
        <w:t>JAMA Internal Medicine</w:t>
      </w:r>
      <w:r w:rsidRPr="4C15A81F">
        <w:rPr>
          <w:rFonts w:ascii="Calibri" w:hAnsi="Calibri" w:cs="Calibri"/>
        </w:rPr>
        <w:t>,</w:t>
      </w:r>
      <w:r w:rsidRPr="4C15A81F">
        <w:rPr>
          <w:rFonts w:ascii="Calibri" w:hAnsi="Calibri" w:cs="Calibri"/>
          <w:i/>
          <w:iCs/>
        </w:rPr>
        <w:t xml:space="preserve"> 179</w:t>
      </w:r>
      <w:r w:rsidRPr="4C15A81F">
        <w:rPr>
          <w:rFonts w:ascii="Calibri" w:hAnsi="Calibri" w:cs="Calibri"/>
        </w:rPr>
        <w:t xml:space="preserve">(9), 1242-1253. </w:t>
      </w:r>
      <w:hyperlink r:id="rId72">
        <w:r w:rsidRPr="4C15A81F">
          <w:rPr>
            <w:rStyle w:val="Hyperlink"/>
            <w:rFonts w:ascii="Calibri" w:hAnsi="Calibri" w:cs="Calibri"/>
          </w:rPr>
          <w:t>https://doi.org/10.1001/jamainternmed.2019.1993</w:t>
        </w:r>
      </w:hyperlink>
    </w:p>
    <w:p w14:paraId="5ABA6CDC" w14:textId="3165CA53" w:rsidR="006C5273" w:rsidRDefault="006C5273" w:rsidP="00D42A7B">
      <w:pPr>
        <w:spacing w:after="0"/>
        <w:ind w:left="357" w:hanging="357"/>
        <w:rPr>
          <w:rFonts w:ascii="Calibri" w:eastAsia="Calibri" w:hAnsi="Calibri" w:cs="Calibri"/>
          <w:color w:val="212121"/>
          <w:szCs w:val="20"/>
        </w:rPr>
      </w:pPr>
      <w:r>
        <w:rPr>
          <w:rFonts w:ascii="Calibri" w:eastAsia="Calibri" w:hAnsi="Calibri" w:cs="Calibri"/>
          <w:color w:val="212121"/>
          <w:szCs w:val="20"/>
        </w:rPr>
        <w:t>L</w:t>
      </w:r>
      <w:r w:rsidRPr="006C5273">
        <w:rPr>
          <w:rFonts w:ascii="Calibri" w:eastAsia="Calibri" w:hAnsi="Calibri" w:cs="Calibri"/>
          <w:color w:val="212121"/>
          <w:szCs w:val="20"/>
        </w:rPr>
        <w:t>ipov E</w:t>
      </w:r>
      <w:r w:rsidR="00541324">
        <w:rPr>
          <w:rFonts w:ascii="Calibri" w:eastAsia="Calibri" w:hAnsi="Calibri" w:cs="Calibri"/>
          <w:color w:val="212121"/>
          <w:szCs w:val="20"/>
        </w:rPr>
        <w:t>.</w:t>
      </w:r>
      <w:r w:rsidRPr="006C5273">
        <w:rPr>
          <w:rFonts w:ascii="Calibri" w:eastAsia="Calibri" w:hAnsi="Calibri" w:cs="Calibri"/>
          <w:color w:val="212121"/>
          <w:szCs w:val="20"/>
        </w:rPr>
        <w:t>, Joshi J</w:t>
      </w:r>
      <w:r w:rsidR="00541324">
        <w:rPr>
          <w:rFonts w:ascii="Calibri" w:eastAsia="Calibri" w:hAnsi="Calibri" w:cs="Calibri"/>
          <w:color w:val="212121"/>
          <w:szCs w:val="20"/>
        </w:rPr>
        <w:t>.</w:t>
      </w:r>
      <w:r w:rsidRPr="006C5273">
        <w:rPr>
          <w:rFonts w:ascii="Calibri" w:eastAsia="Calibri" w:hAnsi="Calibri" w:cs="Calibri"/>
          <w:color w:val="212121"/>
          <w:szCs w:val="20"/>
        </w:rPr>
        <w:t>, Sanders S</w:t>
      </w:r>
      <w:r w:rsidR="00541324">
        <w:rPr>
          <w:rFonts w:ascii="Calibri" w:eastAsia="Calibri" w:hAnsi="Calibri" w:cs="Calibri"/>
          <w:color w:val="212121"/>
          <w:szCs w:val="20"/>
        </w:rPr>
        <w:t>.</w:t>
      </w:r>
      <w:r w:rsidRPr="006C5273">
        <w:rPr>
          <w:rFonts w:ascii="Calibri" w:eastAsia="Calibri" w:hAnsi="Calibri" w:cs="Calibri"/>
          <w:color w:val="212121"/>
          <w:szCs w:val="20"/>
        </w:rPr>
        <w:t xml:space="preserve">, </w:t>
      </w:r>
      <w:r w:rsidR="00F1297E">
        <w:rPr>
          <w:rFonts w:ascii="Calibri" w:eastAsia="Calibri" w:hAnsi="Calibri" w:cs="Calibri"/>
          <w:color w:val="212121"/>
          <w:szCs w:val="20"/>
        </w:rPr>
        <w:t xml:space="preserve">&amp; </w:t>
      </w:r>
      <w:r w:rsidRPr="006C5273">
        <w:rPr>
          <w:rFonts w:ascii="Calibri" w:eastAsia="Calibri" w:hAnsi="Calibri" w:cs="Calibri"/>
          <w:color w:val="212121"/>
          <w:szCs w:val="20"/>
        </w:rPr>
        <w:t xml:space="preserve">Slavin K. </w:t>
      </w:r>
      <w:r>
        <w:rPr>
          <w:rFonts w:ascii="Calibri" w:eastAsia="Calibri" w:hAnsi="Calibri" w:cs="Calibri"/>
          <w:color w:val="212121"/>
          <w:szCs w:val="20"/>
        </w:rPr>
        <w:t xml:space="preserve">(2009). </w:t>
      </w:r>
      <w:r w:rsidRPr="006C5273">
        <w:rPr>
          <w:rFonts w:ascii="Calibri" w:eastAsia="Calibri" w:hAnsi="Calibri" w:cs="Calibri"/>
          <w:color w:val="212121"/>
          <w:szCs w:val="20"/>
        </w:rPr>
        <w:t>A unifying</w:t>
      </w:r>
      <w:r>
        <w:rPr>
          <w:rFonts w:ascii="Calibri" w:eastAsia="Calibri" w:hAnsi="Calibri" w:cs="Calibri"/>
          <w:color w:val="212121"/>
          <w:szCs w:val="20"/>
        </w:rPr>
        <w:t xml:space="preserve"> </w:t>
      </w:r>
      <w:r w:rsidRPr="006C5273">
        <w:rPr>
          <w:rFonts w:ascii="Calibri" w:eastAsia="Calibri" w:hAnsi="Calibri" w:cs="Calibri"/>
          <w:color w:val="212121"/>
          <w:szCs w:val="20"/>
        </w:rPr>
        <w:t>theory linking the prolonged efficacy of the stellate ganglion</w:t>
      </w:r>
      <w:r>
        <w:rPr>
          <w:rFonts w:ascii="Calibri" w:eastAsia="Calibri" w:hAnsi="Calibri" w:cs="Calibri"/>
          <w:color w:val="212121"/>
          <w:szCs w:val="20"/>
        </w:rPr>
        <w:t xml:space="preserve"> </w:t>
      </w:r>
      <w:r w:rsidRPr="006C5273">
        <w:rPr>
          <w:rFonts w:ascii="Calibri" w:eastAsia="Calibri" w:hAnsi="Calibri" w:cs="Calibri"/>
          <w:color w:val="212121"/>
          <w:szCs w:val="20"/>
        </w:rPr>
        <w:t>block for the treatment of chronic regional pain syndrome</w:t>
      </w:r>
      <w:r>
        <w:rPr>
          <w:rFonts w:ascii="Calibri" w:eastAsia="Calibri" w:hAnsi="Calibri" w:cs="Calibri"/>
          <w:color w:val="212121"/>
          <w:szCs w:val="20"/>
        </w:rPr>
        <w:t xml:space="preserve"> </w:t>
      </w:r>
      <w:r w:rsidRPr="006C5273">
        <w:rPr>
          <w:rFonts w:ascii="Calibri" w:eastAsia="Calibri" w:hAnsi="Calibri" w:cs="Calibri"/>
          <w:color w:val="212121"/>
          <w:szCs w:val="20"/>
        </w:rPr>
        <w:t>(CRPS), hot flashes, and posttraumatic stress disorder (PTSD).</w:t>
      </w:r>
      <w:r>
        <w:rPr>
          <w:rFonts w:ascii="Calibri" w:eastAsia="Calibri" w:hAnsi="Calibri" w:cs="Calibri"/>
          <w:color w:val="212121"/>
          <w:szCs w:val="20"/>
        </w:rPr>
        <w:t xml:space="preserve"> </w:t>
      </w:r>
      <w:r w:rsidRPr="00F1297E">
        <w:rPr>
          <w:rFonts w:ascii="Calibri" w:eastAsia="Calibri" w:hAnsi="Calibri" w:cs="Calibri"/>
          <w:i/>
          <w:iCs/>
          <w:color w:val="212121"/>
          <w:szCs w:val="20"/>
        </w:rPr>
        <w:t>Med</w:t>
      </w:r>
      <w:r w:rsidR="00F1297E" w:rsidRPr="00F1297E">
        <w:rPr>
          <w:rFonts w:ascii="Calibri" w:eastAsia="Calibri" w:hAnsi="Calibri" w:cs="Calibri"/>
          <w:i/>
          <w:iCs/>
          <w:color w:val="212121"/>
          <w:szCs w:val="20"/>
        </w:rPr>
        <w:t>ical</w:t>
      </w:r>
      <w:r w:rsidRPr="00F1297E">
        <w:rPr>
          <w:rFonts w:ascii="Calibri" w:eastAsia="Calibri" w:hAnsi="Calibri" w:cs="Calibri"/>
          <w:i/>
          <w:iCs/>
          <w:color w:val="212121"/>
          <w:szCs w:val="20"/>
        </w:rPr>
        <w:t xml:space="preserve"> Hypotheses</w:t>
      </w:r>
      <w:r w:rsidR="00F1297E" w:rsidRPr="00F1297E">
        <w:rPr>
          <w:rFonts w:ascii="Calibri" w:eastAsia="Calibri" w:hAnsi="Calibri" w:cs="Calibri"/>
          <w:i/>
          <w:iCs/>
          <w:color w:val="212121"/>
          <w:szCs w:val="20"/>
        </w:rPr>
        <w:t>,</w:t>
      </w:r>
      <w:r w:rsidR="00F1297E" w:rsidRPr="00F1297E">
        <w:rPr>
          <w:rFonts w:ascii="Calibri" w:eastAsia="Calibri" w:hAnsi="Calibri" w:cs="Calibri"/>
          <w:i/>
          <w:color w:val="212121"/>
          <w:szCs w:val="20"/>
        </w:rPr>
        <w:t xml:space="preserve"> 72</w:t>
      </w:r>
      <w:r w:rsidR="00F1297E">
        <w:rPr>
          <w:rFonts w:ascii="Calibri" w:eastAsia="Calibri" w:hAnsi="Calibri" w:cs="Calibri"/>
          <w:color w:val="212121"/>
          <w:szCs w:val="20"/>
        </w:rPr>
        <w:t>, 657-</w:t>
      </w:r>
      <w:r w:rsidRPr="006C5273">
        <w:rPr>
          <w:rFonts w:ascii="Calibri" w:eastAsia="Calibri" w:hAnsi="Calibri" w:cs="Calibri"/>
          <w:color w:val="212121"/>
          <w:szCs w:val="20"/>
        </w:rPr>
        <w:t>661</w:t>
      </w:r>
      <w:r>
        <w:rPr>
          <w:rFonts w:ascii="Calibri" w:eastAsia="Calibri" w:hAnsi="Calibri" w:cs="Calibri"/>
          <w:color w:val="212121"/>
          <w:szCs w:val="20"/>
        </w:rPr>
        <w:t>.</w:t>
      </w:r>
      <w:r w:rsidR="00C1400E">
        <w:rPr>
          <w:rFonts w:ascii="Calibri" w:eastAsia="Calibri" w:hAnsi="Calibri" w:cs="Calibri"/>
          <w:color w:val="212121"/>
          <w:szCs w:val="20"/>
        </w:rPr>
        <w:t xml:space="preserve"> </w:t>
      </w:r>
      <w:hyperlink r:id="rId73" w:history="1">
        <w:r w:rsidR="00C1400E" w:rsidRPr="00E11575">
          <w:rPr>
            <w:rStyle w:val="Hyperlink"/>
            <w:rFonts w:ascii="Calibri" w:eastAsia="Calibri" w:hAnsi="Calibri" w:cs="Calibri"/>
            <w:szCs w:val="20"/>
          </w:rPr>
          <w:t>https://doi.org/10.1016/j.mehy.2009.01.009</w:t>
        </w:r>
      </w:hyperlink>
      <w:r w:rsidR="00C1400E">
        <w:rPr>
          <w:rFonts w:ascii="Calibri" w:eastAsia="Calibri" w:hAnsi="Calibri" w:cs="Calibri"/>
          <w:color w:val="212121"/>
          <w:szCs w:val="20"/>
        </w:rPr>
        <w:t xml:space="preserve"> </w:t>
      </w:r>
    </w:p>
    <w:p w14:paraId="0ADBD31C" w14:textId="75F096B1" w:rsidR="00B2A4AD" w:rsidRDefault="00B2A4AD" w:rsidP="00D42A7B">
      <w:pPr>
        <w:spacing w:after="0"/>
        <w:ind w:left="357" w:hanging="357"/>
        <w:rPr>
          <w:rFonts w:ascii="Calibri" w:eastAsia="Calibri" w:hAnsi="Calibri" w:cs="Calibri"/>
          <w:szCs w:val="20"/>
        </w:rPr>
      </w:pPr>
      <w:r w:rsidRPr="4C15A81F">
        <w:rPr>
          <w:rFonts w:ascii="Calibri" w:eastAsia="Calibri" w:hAnsi="Calibri" w:cs="Calibri"/>
          <w:color w:val="212121"/>
          <w:szCs w:val="20"/>
        </w:rPr>
        <w:t>Liu, X., Zhao, X., Liu, T., Liu, Q., Tang, L., Zhang, H., Luo, W., Daskalakis, Z. J., &amp; Yuan, T. F. (2020). The effects of repetitive transcranial magnetic stimulation on cue-induced craving in male patients with heroin use disorder. </w:t>
      </w:r>
      <w:r w:rsidRPr="4C15A81F">
        <w:rPr>
          <w:rFonts w:ascii="Calibri" w:eastAsia="Calibri" w:hAnsi="Calibri" w:cs="Calibri"/>
          <w:i/>
          <w:iCs/>
          <w:color w:val="212121"/>
          <w:szCs w:val="20"/>
        </w:rPr>
        <w:t>eBioMedicine</w:t>
      </w:r>
      <w:r w:rsidRPr="4C15A81F">
        <w:rPr>
          <w:rFonts w:ascii="Calibri" w:eastAsia="Calibri" w:hAnsi="Calibri" w:cs="Calibri"/>
          <w:color w:val="212121"/>
          <w:szCs w:val="20"/>
        </w:rPr>
        <w:t>, </w:t>
      </w:r>
      <w:r w:rsidRPr="4C15A81F">
        <w:rPr>
          <w:rFonts w:ascii="Calibri" w:eastAsia="Calibri" w:hAnsi="Calibri" w:cs="Calibri"/>
          <w:i/>
          <w:iCs/>
          <w:color w:val="212121"/>
          <w:szCs w:val="20"/>
        </w:rPr>
        <w:t>56</w:t>
      </w:r>
      <w:r w:rsidRPr="4C15A81F">
        <w:rPr>
          <w:rFonts w:ascii="Calibri" w:eastAsia="Calibri" w:hAnsi="Calibri" w:cs="Calibri"/>
          <w:color w:val="212121"/>
          <w:szCs w:val="20"/>
        </w:rPr>
        <w:t xml:space="preserve">, </w:t>
      </w:r>
      <w:r w:rsidR="00F1297E">
        <w:rPr>
          <w:rFonts w:ascii="Calibri" w:eastAsia="Calibri" w:hAnsi="Calibri" w:cs="Calibri"/>
          <w:color w:val="212121"/>
          <w:szCs w:val="20"/>
        </w:rPr>
        <w:t xml:space="preserve">Article </w:t>
      </w:r>
      <w:r w:rsidRPr="4C15A81F">
        <w:rPr>
          <w:rFonts w:ascii="Calibri" w:eastAsia="Calibri" w:hAnsi="Calibri" w:cs="Calibri"/>
          <w:color w:val="212121"/>
          <w:szCs w:val="20"/>
        </w:rPr>
        <w:t xml:space="preserve">102809. </w:t>
      </w:r>
      <w:hyperlink r:id="rId74" w:history="1">
        <w:r w:rsidRPr="4C15A81F">
          <w:rPr>
            <w:rStyle w:val="Hyperlink"/>
            <w:rFonts w:ascii="Calibri" w:eastAsia="Calibri" w:hAnsi="Calibri" w:cs="Calibri"/>
            <w:szCs w:val="20"/>
          </w:rPr>
          <w:t>https://doi.org/10.1016/j.ebiom.2020.102809</w:t>
        </w:r>
      </w:hyperlink>
    </w:p>
    <w:p w14:paraId="50E22C94" w14:textId="77777777" w:rsidR="00614E9D" w:rsidRDefault="00614E9D" w:rsidP="00D42A7B">
      <w:pPr>
        <w:autoSpaceDE w:val="0"/>
        <w:autoSpaceDN w:val="0"/>
        <w:adjustRightInd w:val="0"/>
        <w:spacing w:after="0"/>
        <w:ind w:left="357" w:hanging="357"/>
        <w:rPr>
          <w:rFonts w:ascii="Calibri" w:hAnsi="Calibri" w:cs="Calibri"/>
        </w:rPr>
      </w:pPr>
      <w:r w:rsidRPr="007D78EE">
        <w:rPr>
          <w:rFonts w:ascii="Calibri" w:hAnsi="Calibri" w:cs="Calibri"/>
        </w:rPr>
        <w:t xml:space="preserve">Loflin, M., &amp; Earleywine, M. (2015). No smoke, no fire: What the initial literature suggests regarding vapourized cannabis and respiratory risk. </w:t>
      </w:r>
      <w:r>
        <w:rPr>
          <w:rFonts w:ascii="Calibri" w:hAnsi="Calibri" w:cs="Calibri"/>
          <w:i/>
          <w:iCs/>
        </w:rPr>
        <w:t>Canadian Journal of Respiratory T</w:t>
      </w:r>
      <w:r w:rsidRPr="00F1297E">
        <w:rPr>
          <w:rFonts w:ascii="Calibri" w:hAnsi="Calibri" w:cs="Calibri"/>
          <w:i/>
          <w:iCs/>
        </w:rPr>
        <w:t>herapy</w:t>
      </w:r>
      <w:r w:rsidRPr="00F1297E">
        <w:rPr>
          <w:rFonts w:ascii="Calibri" w:hAnsi="Calibri" w:cs="Calibri"/>
          <w:i/>
        </w:rPr>
        <w:t>, 51</w:t>
      </w:r>
      <w:r>
        <w:rPr>
          <w:rFonts w:ascii="Calibri" w:hAnsi="Calibri" w:cs="Calibri"/>
        </w:rPr>
        <w:t>(1), 7-</w:t>
      </w:r>
      <w:r w:rsidRPr="007D78EE">
        <w:rPr>
          <w:rFonts w:ascii="Calibri" w:hAnsi="Calibri" w:cs="Calibri"/>
        </w:rPr>
        <w:t>9.</w:t>
      </w:r>
      <w:r>
        <w:rPr>
          <w:rFonts w:ascii="Calibri" w:hAnsi="Calibri" w:cs="Calibri"/>
        </w:rPr>
        <w:t xml:space="preserve"> </w:t>
      </w:r>
      <w:hyperlink r:id="rId75" w:history="1">
        <w:r w:rsidRPr="005716E1">
          <w:rPr>
            <w:rStyle w:val="Hyperlink"/>
            <w:rFonts w:ascii="Calibri" w:hAnsi="Calibri" w:cs="Calibri"/>
          </w:rPr>
          <w:t>https://www.ncbi.nlm.nih.gov/pmc/articles/PMC4456813/</w:t>
        </w:r>
      </w:hyperlink>
      <w:r>
        <w:rPr>
          <w:rFonts w:ascii="Calibri" w:hAnsi="Calibri" w:cs="Calibri"/>
        </w:rPr>
        <w:t xml:space="preserve"> </w:t>
      </w:r>
    </w:p>
    <w:p w14:paraId="141DF73A" w14:textId="59218EDF" w:rsidR="00511DFB" w:rsidRPr="00297F9F" w:rsidRDefault="00511DFB" w:rsidP="00D42A7B">
      <w:pPr>
        <w:autoSpaceDE w:val="0"/>
        <w:autoSpaceDN w:val="0"/>
        <w:adjustRightInd w:val="0"/>
        <w:spacing w:after="0"/>
        <w:ind w:left="357" w:hanging="357"/>
        <w:rPr>
          <w:rFonts w:ascii="Calibri" w:hAnsi="Calibri" w:cs="Calibri"/>
        </w:rPr>
      </w:pPr>
      <w:r w:rsidRPr="00297F9F">
        <w:rPr>
          <w:rFonts w:ascii="Calibri" w:hAnsi="Calibri" w:cs="Calibri"/>
        </w:rPr>
        <w:t xml:space="preserve">Maguire, A. M. (2020, July). </w:t>
      </w:r>
      <w:r w:rsidRPr="00297F9F">
        <w:rPr>
          <w:rFonts w:ascii="Calibri" w:hAnsi="Calibri" w:cs="Calibri"/>
          <w:i/>
          <w:iCs/>
        </w:rPr>
        <w:t>The Australian Defence Community needs assessment report: Priority areas for service planning</w:t>
      </w:r>
      <w:r w:rsidRPr="00297F9F">
        <w:rPr>
          <w:rFonts w:ascii="Calibri" w:hAnsi="Calibri" w:cs="Calibri"/>
        </w:rPr>
        <w:t xml:space="preserve">. Gallipoli Medical Research Foundation &amp; RSL Queensland. </w:t>
      </w:r>
    </w:p>
    <w:p w14:paraId="5CA234D3" w14:textId="14AC3AFA" w:rsidR="00511DFB" w:rsidRDefault="00511DFB" w:rsidP="00D42A7B">
      <w:pPr>
        <w:autoSpaceDE w:val="0"/>
        <w:autoSpaceDN w:val="0"/>
        <w:adjustRightInd w:val="0"/>
        <w:spacing w:after="0"/>
        <w:ind w:left="357" w:hanging="357"/>
        <w:rPr>
          <w:rFonts w:ascii="Calibri" w:hAnsi="Calibri" w:cs="Calibri"/>
        </w:rPr>
      </w:pPr>
      <w:r w:rsidRPr="00297F9F">
        <w:rPr>
          <w:rFonts w:ascii="Calibri" w:hAnsi="Calibri" w:cs="Calibri"/>
        </w:rPr>
        <w:t xml:space="preserve">Masataka, N. (2019). Anxiolytic effects of repeated cannabidiol treatment in teenagers with social anxiety disorders. </w:t>
      </w:r>
      <w:r w:rsidRPr="00297F9F">
        <w:rPr>
          <w:rFonts w:ascii="Calibri" w:hAnsi="Calibri" w:cs="Calibri"/>
          <w:i/>
          <w:iCs/>
        </w:rPr>
        <w:t>Frontiers in Psychology</w:t>
      </w:r>
      <w:r w:rsidRPr="00297F9F">
        <w:rPr>
          <w:rFonts w:ascii="Calibri" w:hAnsi="Calibri" w:cs="Calibri"/>
        </w:rPr>
        <w:t>,</w:t>
      </w:r>
      <w:r w:rsidRPr="00297F9F">
        <w:rPr>
          <w:rFonts w:ascii="Calibri" w:hAnsi="Calibri" w:cs="Calibri"/>
          <w:i/>
          <w:iCs/>
        </w:rPr>
        <w:t xml:space="preserve"> 10</w:t>
      </w:r>
      <w:r w:rsidRPr="00297F9F">
        <w:rPr>
          <w:rFonts w:ascii="Calibri" w:hAnsi="Calibri" w:cs="Calibri"/>
        </w:rPr>
        <w:t xml:space="preserve">, </w:t>
      </w:r>
      <w:r w:rsidR="00F1297E">
        <w:rPr>
          <w:rFonts w:ascii="Calibri" w:hAnsi="Calibri" w:cs="Calibri"/>
        </w:rPr>
        <w:t xml:space="preserve">Article </w:t>
      </w:r>
      <w:r w:rsidRPr="00297F9F">
        <w:rPr>
          <w:rFonts w:ascii="Calibri" w:hAnsi="Calibri" w:cs="Calibri"/>
        </w:rPr>
        <w:t xml:space="preserve">2466. </w:t>
      </w:r>
      <w:hyperlink r:id="rId76" w:history="1">
        <w:r w:rsidRPr="00615190">
          <w:rPr>
            <w:rStyle w:val="Hyperlink"/>
            <w:rFonts w:ascii="Calibri" w:hAnsi="Calibri" w:cs="Calibri"/>
          </w:rPr>
          <w:t>https://doi.org/10.3389/fpsyg.2019.02466</w:t>
        </w:r>
      </w:hyperlink>
    </w:p>
    <w:p w14:paraId="55D16ACD" w14:textId="5944D532" w:rsidR="00511DFB" w:rsidRDefault="00511DFB" w:rsidP="00D42A7B">
      <w:pPr>
        <w:autoSpaceDE w:val="0"/>
        <w:autoSpaceDN w:val="0"/>
        <w:adjustRightInd w:val="0"/>
        <w:spacing w:after="0"/>
        <w:ind w:left="357" w:hanging="357"/>
        <w:rPr>
          <w:rFonts w:ascii="Calibri" w:hAnsi="Calibri" w:cs="Calibri"/>
        </w:rPr>
      </w:pPr>
      <w:r w:rsidRPr="00297F9F">
        <w:rPr>
          <w:rFonts w:ascii="Calibri" w:hAnsi="Calibri" w:cs="Calibri"/>
        </w:rPr>
        <w:t xml:space="preserve">Meneses-Gaya, C., Crippa, J. A., Hallak, J. E., Miguel, A. Q., Laranjeira, R., Bressan, R. A., Zuardi, A. W., &amp; Lacerda, A. L. (2021). Cannabidiol for the treatment of crack-cocaine craving: An exploratory double-blind study. </w:t>
      </w:r>
      <w:r w:rsidRPr="00297F9F">
        <w:rPr>
          <w:rFonts w:ascii="Calibri" w:hAnsi="Calibri" w:cs="Calibri"/>
          <w:i/>
          <w:iCs/>
        </w:rPr>
        <w:t>Brazilian Journal of Psychiatry</w:t>
      </w:r>
      <w:r w:rsidRPr="00297F9F">
        <w:rPr>
          <w:rFonts w:ascii="Calibri" w:hAnsi="Calibri" w:cs="Calibri"/>
        </w:rPr>
        <w:t>,</w:t>
      </w:r>
      <w:r w:rsidRPr="00297F9F">
        <w:rPr>
          <w:rFonts w:ascii="Calibri" w:hAnsi="Calibri" w:cs="Calibri"/>
          <w:i/>
          <w:iCs/>
        </w:rPr>
        <w:t xml:space="preserve"> 43</w:t>
      </w:r>
      <w:r w:rsidRPr="00297F9F">
        <w:rPr>
          <w:rFonts w:ascii="Calibri" w:hAnsi="Calibri" w:cs="Calibri"/>
        </w:rPr>
        <w:t xml:space="preserve">(5), 467-476. </w:t>
      </w:r>
      <w:hyperlink r:id="rId77" w:history="1">
        <w:r w:rsidRPr="00615190">
          <w:rPr>
            <w:rStyle w:val="Hyperlink"/>
            <w:rFonts w:ascii="Calibri" w:hAnsi="Calibri" w:cs="Calibri"/>
          </w:rPr>
          <w:t>https://doi.org/10.1590/1516-4446-2020-1416</w:t>
        </w:r>
      </w:hyperlink>
    </w:p>
    <w:p w14:paraId="5DFB26BE" w14:textId="22012362" w:rsidR="00511DFB" w:rsidRDefault="00511DFB" w:rsidP="00D42A7B">
      <w:pPr>
        <w:autoSpaceDE w:val="0"/>
        <w:autoSpaceDN w:val="0"/>
        <w:adjustRightInd w:val="0"/>
        <w:spacing w:after="0"/>
        <w:ind w:left="357" w:hanging="357"/>
        <w:rPr>
          <w:rFonts w:ascii="Calibri" w:hAnsi="Calibri" w:cs="Calibri"/>
        </w:rPr>
      </w:pPr>
      <w:r w:rsidRPr="00297F9F">
        <w:rPr>
          <w:rFonts w:ascii="Calibri" w:hAnsi="Calibri" w:cs="Calibri"/>
        </w:rPr>
        <w:t>Microsoft</w:t>
      </w:r>
      <w:r w:rsidR="005E779C">
        <w:rPr>
          <w:rFonts w:ascii="Calibri" w:hAnsi="Calibri" w:cs="Calibri"/>
        </w:rPr>
        <w:t xml:space="preserve"> Corporation</w:t>
      </w:r>
      <w:r w:rsidR="00CB5849">
        <w:rPr>
          <w:rFonts w:ascii="Calibri" w:hAnsi="Calibri" w:cs="Calibri"/>
        </w:rPr>
        <w:t>. (</w:t>
      </w:r>
      <w:r w:rsidRPr="00297F9F">
        <w:rPr>
          <w:rFonts w:ascii="Calibri" w:hAnsi="Calibri" w:cs="Calibri"/>
        </w:rPr>
        <w:t xml:space="preserve">2022). </w:t>
      </w:r>
      <w:r w:rsidRPr="00297F9F">
        <w:rPr>
          <w:rFonts w:ascii="Calibri" w:hAnsi="Calibri" w:cs="Calibri"/>
          <w:i/>
          <w:iCs/>
        </w:rPr>
        <w:t>Microsoft Excel</w:t>
      </w:r>
      <w:r w:rsidR="00DF739B">
        <w:rPr>
          <w:rFonts w:ascii="Calibri" w:hAnsi="Calibri" w:cs="Calibri"/>
          <w:i/>
          <w:iCs/>
        </w:rPr>
        <w:t xml:space="preserve"> </w:t>
      </w:r>
      <w:r w:rsidR="00DF739B" w:rsidRPr="00DF739B">
        <w:rPr>
          <w:rFonts w:ascii="Calibri" w:hAnsi="Calibri" w:cs="Calibri"/>
          <w:iCs/>
        </w:rPr>
        <w:t>[Computer software]</w:t>
      </w:r>
      <w:r w:rsidRPr="00DF739B">
        <w:rPr>
          <w:rFonts w:ascii="Calibri" w:hAnsi="Calibri" w:cs="Calibri"/>
        </w:rPr>
        <w:t>.</w:t>
      </w:r>
      <w:r w:rsidRPr="00297F9F">
        <w:rPr>
          <w:rFonts w:ascii="Calibri" w:hAnsi="Calibri" w:cs="Calibri"/>
        </w:rPr>
        <w:t xml:space="preserve"> </w:t>
      </w:r>
      <w:hyperlink r:id="rId78" w:history="1">
        <w:r w:rsidRPr="00615190">
          <w:rPr>
            <w:rStyle w:val="Hyperlink"/>
            <w:rFonts w:ascii="Calibri" w:hAnsi="Calibri" w:cs="Calibri"/>
          </w:rPr>
          <w:t>https://office.microsoft.com/excel</w:t>
        </w:r>
      </w:hyperlink>
    </w:p>
    <w:p w14:paraId="070A32ED" w14:textId="40B3C5E4" w:rsidR="00511DFB" w:rsidRPr="00297F9F" w:rsidRDefault="00511DFB" w:rsidP="00D42A7B">
      <w:pPr>
        <w:autoSpaceDE w:val="0"/>
        <w:autoSpaceDN w:val="0"/>
        <w:adjustRightInd w:val="0"/>
        <w:spacing w:after="0"/>
        <w:ind w:left="357" w:hanging="357"/>
        <w:rPr>
          <w:rFonts w:ascii="Calibri" w:hAnsi="Calibri" w:cs="Calibri"/>
        </w:rPr>
      </w:pPr>
      <w:r w:rsidRPr="00297F9F">
        <w:rPr>
          <w:rFonts w:ascii="Calibri" w:hAnsi="Calibri" w:cs="Calibri"/>
        </w:rPr>
        <w:t xml:space="preserve">Mongeau-Pérusse, V., Brissette, S., Bruneau, J., Conrod, P., Dubreucq, S., Gazil, G., Stip, E., &amp; Jutras-Aswad, D. (2021). Cannabidiol as a treatment for craving and relapse in individuals with cocaine use disorder: A randomized placebo-controlled trial. </w:t>
      </w:r>
      <w:r w:rsidRPr="00297F9F">
        <w:rPr>
          <w:rFonts w:ascii="Calibri" w:hAnsi="Calibri" w:cs="Calibri"/>
          <w:i/>
          <w:iCs/>
        </w:rPr>
        <w:t>Addiction</w:t>
      </w:r>
      <w:r w:rsidRPr="00297F9F">
        <w:rPr>
          <w:rFonts w:ascii="Calibri" w:hAnsi="Calibri" w:cs="Calibri"/>
        </w:rPr>
        <w:t>,</w:t>
      </w:r>
      <w:r w:rsidRPr="00297F9F">
        <w:rPr>
          <w:rFonts w:ascii="Calibri" w:hAnsi="Calibri" w:cs="Calibri"/>
          <w:i/>
          <w:iCs/>
        </w:rPr>
        <w:t xml:space="preserve"> 116</w:t>
      </w:r>
      <w:r w:rsidRPr="00297F9F">
        <w:rPr>
          <w:rFonts w:ascii="Calibri" w:hAnsi="Calibri" w:cs="Calibri"/>
        </w:rPr>
        <w:t xml:space="preserve">(9), 2431-2442. </w:t>
      </w:r>
      <w:hyperlink r:id="rId79" w:history="1">
        <w:r w:rsidRPr="00615190">
          <w:rPr>
            <w:rStyle w:val="Hyperlink"/>
            <w:rFonts w:ascii="Calibri" w:hAnsi="Calibri" w:cs="Calibri"/>
          </w:rPr>
          <w:t>https://doi.org/10.1111/add.15417</w:t>
        </w:r>
      </w:hyperlink>
    </w:p>
    <w:p w14:paraId="79709AE7" w14:textId="366D9AFD" w:rsidR="00A95696" w:rsidRDefault="00511DFB" w:rsidP="00D42A7B">
      <w:pPr>
        <w:autoSpaceDE w:val="0"/>
        <w:autoSpaceDN w:val="0"/>
        <w:adjustRightInd w:val="0"/>
        <w:spacing w:after="0"/>
        <w:ind w:left="357" w:hanging="357"/>
        <w:rPr>
          <w:rStyle w:val="Hyperlink"/>
          <w:rFonts w:ascii="Calibri" w:hAnsi="Calibri" w:cs="Calibri"/>
        </w:rPr>
      </w:pPr>
      <w:r w:rsidRPr="00297F9F">
        <w:rPr>
          <w:rFonts w:ascii="Calibri" w:hAnsi="Calibri" w:cs="Calibri"/>
        </w:rPr>
        <w:t xml:space="preserve">Murad, M. H., Mustafa, R. A., Schünemann, H. J., Sultan, S., &amp; Santesso, N. (2017). Rating the certainty in evidence in the absence of a single estimate of effect. </w:t>
      </w:r>
      <w:r w:rsidRPr="00297F9F">
        <w:rPr>
          <w:rFonts w:ascii="Calibri" w:hAnsi="Calibri" w:cs="Calibri"/>
          <w:i/>
          <w:iCs/>
        </w:rPr>
        <w:t>Evidence Based Medicine</w:t>
      </w:r>
      <w:r w:rsidRPr="00297F9F">
        <w:rPr>
          <w:rFonts w:ascii="Calibri" w:hAnsi="Calibri" w:cs="Calibri"/>
        </w:rPr>
        <w:t>,</w:t>
      </w:r>
      <w:r w:rsidRPr="00297F9F">
        <w:rPr>
          <w:rFonts w:ascii="Calibri" w:hAnsi="Calibri" w:cs="Calibri"/>
          <w:i/>
          <w:iCs/>
        </w:rPr>
        <w:t xml:space="preserve"> 22</w:t>
      </w:r>
      <w:r w:rsidR="00F1297E">
        <w:rPr>
          <w:rFonts w:ascii="Calibri" w:hAnsi="Calibri" w:cs="Calibri"/>
        </w:rPr>
        <w:t>(3), 85-87</w:t>
      </w:r>
      <w:r w:rsidRPr="00297F9F">
        <w:rPr>
          <w:rFonts w:ascii="Calibri" w:hAnsi="Calibri" w:cs="Calibri"/>
        </w:rPr>
        <w:t xml:space="preserve">. </w:t>
      </w:r>
      <w:hyperlink r:id="rId80" w:history="1">
        <w:r w:rsidRPr="00615190">
          <w:rPr>
            <w:rStyle w:val="Hyperlink"/>
            <w:rFonts w:ascii="Calibri" w:hAnsi="Calibri" w:cs="Calibri"/>
          </w:rPr>
          <w:t>https://doi.org/10.1136/ebmed-2017-110668</w:t>
        </w:r>
      </w:hyperlink>
    </w:p>
    <w:p w14:paraId="16723D50" w14:textId="1A88827D" w:rsidR="00A95696" w:rsidRPr="00F62917" w:rsidRDefault="00A95696" w:rsidP="00D42A7B">
      <w:pPr>
        <w:autoSpaceDE w:val="0"/>
        <w:autoSpaceDN w:val="0"/>
        <w:adjustRightInd w:val="0"/>
        <w:spacing w:after="0"/>
        <w:ind w:left="357" w:hanging="357"/>
        <w:rPr>
          <w:rFonts w:ascii="Calibri" w:hAnsi="Calibri" w:cs="Calibri"/>
          <w:u w:val="single"/>
        </w:rPr>
      </w:pPr>
      <w:r w:rsidRPr="00F62917">
        <w:rPr>
          <w:rFonts w:cstheme="minorHAnsi"/>
          <w:szCs w:val="20"/>
          <w:shd w:val="clear" w:color="auto" w:fill="FFFFFF"/>
        </w:rPr>
        <w:t xml:space="preserve">New Zealand Defence Force. (2018). </w:t>
      </w:r>
      <w:r w:rsidR="00793C73" w:rsidRPr="00F62917">
        <w:rPr>
          <w:rFonts w:cstheme="minorHAnsi"/>
          <w:i/>
          <w:szCs w:val="20"/>
          <w:shd w:val="clear" w:color="auto" w:fill="FFFFFF"/>
        </w:rPr>
        <w:t>The veteran rehabilitation s</w:t>
      </w:r>
      <w:r w:rsidRPr="00F62917">
        <w:rPr>
          <w:rFonts w:cstheme="minorHAnsi"/>
          <w:i/>
          <w:szCs w:val="20"/>
          <w:shd w:val="clear" w:color="auto" w:fill="FFFFFF"/>
        </w:rPr>
        <w:t>trategy</w:t>
      </w:r>
      <w:r w:rsidRPr="00F62917">
        <w:rPr>
          <w:rFonts w:cstheme="minorHAnsi"/>
          <w:szCs w:val="20"/>
          <w:shd w:val="clear" w:color="auto" w:fill="FFFFFF"/>
        </w:rPr>
        <w:t>. Wellington, NZ: Veterans’ Affairs, New Zealand Government.</w:t>
      </w:r>
    </w:p>
    <w:p w14:paraId="7D38330A" w14:textId="291489F7" w:rsidR="00511DFB" w:rsidRDefault="00511DFB" w:rsidP="00D42A7B">
      <w:pPr>
        <w:autoSpaceDE w:val="0"/>
        <w:autoSpaceDN w:val="0"/>
        <w:adjustRightInd w:val="0"/>
        <w:spacing w:after="0"/>
        <w:ind w:left="357" w:hanging="357"/>
        <w:rPr>
          <w:rFonts w:ascii="Calibri" w:hAnsi="Calibri" w:cs="Calibri"/>
        </w:rPr>
      </w:pPr>
      <w:r w:rsidRPr="00297F9F">
        <w:rPr>
          <w:rFonts w:ascii="Calibri" w:hAnsi="Calibri" w:cs="Calibri"/>
        </w:rPr>
        <w:t>National Institu</w:t>
      </w:r>
      <w:r w:rsidR="00793C73">
        <w:rPr>
          <w:rFonts w:ascii="Calibri" w:hAnsi="Calibri" w:cs="Calibri"/>
        </w:rPr>
        <w:t xml:space="preserve">te for Health Research. (n.d.). </w:t>
      </w:r>
      <w:r w:rsidRPr="00297F9F">
        <w:rPr>
          <w:rFonts w:ascii="Calibri" w:hAnsi="Calibri" w:cs="Calibri"/>
          <w:i/>
          <w:iCs/>
        </w:rPr>
        <w:t>PROSPERO: International prospective register of systematic reviews</w:t>
      </w:r>
      <w:r w:rsidRPr="00297F9F">
        <w:rPr>
          <w:rFonts w:ascii="Calibri" w:hAnsi="Calibri" w:cs="Calibri"/>
        </w:rPr>
        <w:t xml:space="preserve">. </w:t>
      </w:r>
      <w:hyperlink r:id="rId81" w:history="1">
        <w:r w:rsidRPr="00615190">
          <w:rPr>
            <w:rStyle w:val="Hyperlink"/>
            <w:rFonts w:ascii="Calibri" w:hAnsi="Calibri" w:cs="Calibri"/>
          </w:rPr>
          <w:t>https://www.crd.york.ac.uk/prospero/</w:t>
        </w:r>
      </w:hyperlink>
    </w:p>
    <w:p w14:paraId="700B08C8" w14:textId="4151837F" w:rsidR="00511DFB" w:rsidRDefault="00511DFB" w:rsidP="00D42A7B">
      <w:pPr>
        <w:autoSpaceDE w:val="0"/>
        <w:autoSpaceDN w:val="0"/>
        <w:adjustRightInd w:val="0"/>
        <w:spacing w:after="0"/>
        <w:ind w:left="357" w:hanging="357"/>
        <w:rPr>
          <w:rFonts w:ascii="Calibri" w:hAnsi="Calibri" w:cs="Calibri"/>
        </w:rPr>
      </w:pPr>
      <w:r w:rsidRPr="00297F9F">
        <w:rPr>
          <w:rFonts w:ascii="Calibri" w:hAnsi="Calibri" w:cs="Calibri"/>
        </w:rPr>
        <w:lastRenderedPageBreak/>
        <w:t xml:space="preserve">NHMRC. (2019). </w:t>
      </w:r>
      <w:r w:rsidRPr="00297F9F">
        <w:rPr>
          <w:rFonts w:ascii="Calibri" w:hAnsi="Calibri" w:cs="Calibri"/>
          <w:i/>
          <w:iCs/>
        </w:rPr>
        <w:t>Guidelines for guidelines: Assessing certainty of evidence</w:t>
      </w:r>
      <w:r w:rsidRPr="00297F9F">
        <w:rPr>
          <w:rFonts w:ascii="Calibri" w:hAnsi="Calibri" w:cs="Calibri"/>
        </w:rPr>
        <w:t xml:space="preserve">. </w:t>
      </w:r>
      <w:hyperlink r:id="rId82" w:history="1">
        <w:r w:rsidRPr="00615190">
          <w:rPr>
            <w:rStyle w:val="Hyperlink"/>
            <w:rFonts w:ascii="Calibri" w:hAnsi="Calibri" w:cs="Calibri"/>
          </w:rPr>
          <w:t>https://www.nhmrc.gov.au/guidelinesforguidelines/develop/assessing-certainty-evidence</w:t>
        </w:r>
      </w:hyperlink>
    </w:p>
    <w:p w14:paraId="7B7178CB" w14:textId="538FD0FA" w:rsidR="00A44DAB" w:rsidRPr="00A44DAB" w:rsidRDefault="00A44DAB" w:rsidP="00D42A7B">
      <w:pPr>
        <w:autoSpaceDE w:val="0"/>
        <w:autoSpaceDN w:val="0"/>
        <w:adjustRightInd w:val="0"/>
        <w:spacing w:after="0"/>
        <w:ind w:left="357" w:hanging="357"/>
        <w:rPr>
          <w:rFonts w:ascii="Calibri" w:hAnsi="Calibri" w:cs="Calibri"/>
        </w:rPr>
      </w:pPr>
      <w:r w:rsidRPr="00A44DAB">
        <w:rPr>
          <w:rFonts w:ascii="Calibri" w:hAnsi="Calibri" w:cs="Calibri"/>
        </w:rPr>
        <w:t>Norberg, M. M., Krystal, J. H., &amp; Tolin, D. F. (2008). A meta-analysis of D-cycloserine and the facilitation of fear extinction and exposure therapy. </w:t>
      </w:r>
      <w:r w:rsidRPr="00A44DAB">
        <w:rPr>
          <w:rFonts w:ascii="Calibri" w:hAnsi="Calibri" w:cs="Calibri"/>
          <w:i/>
          <w:iCs/>
        </w:rPr>
        <w:t>Biological Psychiatry</w:t>
      </w:r>
      <w:r w:rsidRPr="00A44DAB">
        <w:rPr>
          <w:rFonts w:ascii="Calibri" w:hAnsi="Calibri" w:cs="Calibri"/>
        </w:rPr>
        <w:t>, </w:t>
      </w:r>
      <w:r w:rsidRPr="00A44DAB">
        <w:rPr>
          <w:rFonts w:ascii="Calibri" w:hAnsi="Calibri" w:cs="Calibri"/>
          <w:i/>
          <w:iCs/>
        </w:rPr>
        <w:t>63</w:t>
      </w:r>
      <w:r w:rsidR="00793C73">
        <w:rPr>
          <w:rFonts w:ascii="Calibri" w:hAnsi="Calibri" w:cs="Calibri"/>
        </w:rPr>
        <w:t>(12), 1118-</w:t>
      </w:r>
      <w:r w:rsidRPr="00A44DAB">
        <w:rPr>
          <w:rFonts w:ascii="Calibri" w:hAnsi="Calibri" w:cs="Calibri"/>
        </w:rPr>
        <w:t xml:space="preserve">1126. </w:t>
      </w:r>
      <w:hyperlink r:id="rId83" w:history="1">
        <w:r w:rsidRPr="00A44DAB">
          <w:rPr>
            <w:rStyle w:val="Hyperlink"/>
            <w:rFonts w:ascii="Calibri" w:hAnsi="Calibri" w:cs="Calibri"/>
          </w:rPr>
          <w:t>https://doi.org/10.1016/j.biopsych.2008.01.012</w:t>
        </w:r>
      </w:hyperlink>
      <w:r w:rsidRPr="00A44DAB">
        <w:rPr>
          <w:rFonts w:ascii="Calibri" w:hAnsi="Calibri" w:cs="Calibri"/>
        </w:rPr>
        <w:t xml:space="preserve"> </w:t>
      </w:r>
    </w:p>
    <w:p w14:paraId="2654F82B" w14:textId="326252F0" w:rsidR="00D9494E" w:rsidRPr="00D9494E" w:rsidRDefault="00D9494E" w:rsidP="00D42A7B">
      <w:pPr>
        <w:autoSpaceDE w:val="0"/>
        <w:autoSpaceDN w:val="0"/>
        <w:adjustRightInd w:val="0"/>
        <w:spacing w:after="0"/>
        <w:ind w:left="357" w:hanging="357"/>
        <w:rPr>
          <w:rFonts w:ascii="Calibri" w:hAnsi="Calibri" w:cs="Calibri"/>
          <w:u w:val="single"/>
        </w:rPr>
      </w:pPr>
      <w:r w:rsidRPr="00D9494E">
        <w:rPr>
          <w:rFonts w:ascii="Calibri" w:hAnsi="Calibri" w:cs="Calibri"/>
        </w:rPr>
        <w:t xml:space="preserve">Oberman, L., Edwards, D., Eldaief, M., &amp; Pascual-Leone, A. (2011). Safety of theta burst transcranial magnetic stimulation: A systematic review of the literature. </w:t>
      </w:r>
      <w:r w:rsidRPr="00D9494E">
        <w:rPr>
          <w:rFonts w:ascii="Calibri" w:hAnsi="Calibri" w:cs="Calibri"/>
          <w:i/>
        </w:rPr>
        <w:t>Journal of Clinical Neurophysiology, 28</w:t>
      </w:r>
      <w:r w:rsidR="00793C73">
        <w:rPr>
          <w:rFonts w:ascii="Calibri" w:hAnsi="Calibri" w:cs="Calibri"/>
        </w:rPr>
        <w:t>(1), 67-</w:t>
      </w:r>
      <w:r w:rsidRPr="00D9494E">
        <w:rPr>
          <w:rFonts w:ascii="Calibri" w:hAnsi="Calibri" w:cs="Calibri"/>
        </w:rPr>
        <w:t xml:space="preserve">74. </w:t>
      </w:r>
      <w:hyperlink r:id="rId84" w:history="1">
        <w:r w:rsidRPr="57EC6715">
          <w:rPr>
            <w:rStyle w:val="Hyperlink"/>
            <w:rFonts w:ascii="Calibri" w:hAnsi="Calibri" w:cs="Calibri"/>
          </w:rPr>
          <w:t>https://doi.org/10.1097/WNP.0b013e318205135f</w:t>
        </w:r>
      </w:hyperlink>
    </w:p>
    <w:p w14:paraId="423C95D7" w14:textId="5D209B7E" w:rsidR="00891772" w:rsidRPr="00891772" w:rsidRDefault="00891772" w:rsidP="00D42A7B">
      <w:pPr>
        <w:autoSpaceDE w:val="0"/>
        <w:autoSpaceDN w:val="0"/>
        <w:adjustRightInd w:val="0"/>
        <w:spacing w:after="0"/>
        <w:ind w:left="357" w:hanging="357"/>
        <w:rPr>
          <w:rFonts w:ascii="Calibri" w:hAnsi="Calibri" w:cs="Calibri"/>
          <w:u w:val="single"/>
        </w:rPr>
      </w:pPr>
      <w:r w:rsidRPr="00891772">
        <w:rPr>
          <w:rFonts w:ascii="Calibri" w:hAnsi="Calibri" w:cs="Calibri"/>
        </w:rPr>
        <w:t xml:space="preserve">Pilecki, B., Luoma, J. B., Bathje, G. J., Rhea, J., &amp; Narloch, V. F. (2021). Ethical and legal issues in psychedelic harm reduction and integration therapy. </w:t>
      </w:r>
      <w:r w:rsidRPr="00891772">
        <w:rPr>
          <w:rFonts w:ascii="Calibri" w:hAnsi="Calibri" w:cs="Calibri"/>
          <w:i/>
        </w:rPr>
        <w:t>Harm Reduction Journal, 18</w:t>
      </w:r>
      <w:r w:rsidRPr="00891772">
        <w:rPr>
          <w:rFonts w:ascii="Calibri" w:hAnsi="Calibri" w:cs="Calibri"/>
        </w:rPr>
        <w:t xml:space="preserve">, </w:t>
      </w:r>
      <w:r w:rsidR="00793C73">
        <w:rPr>
          <w:rFonts w:ascii="Calibri" w:hAnsi="Calibri" w:cs="Calibri"/>
        </w:rPr>
        <w:t xml:space="preserve">Article </w:t>
      </w:r>
      <w:r w:rsidRPr="00891772">
        <w:rPr>
          <w:rFonts w:ascii="Calibri" w:hAnsi="Calibri" w:cs="Calibri"/>
        </w:rPr>
        <w:t xml:space="preserve">40. </w:t>
      </w:r>
      <w:hyperlink r:id="rId85" w:history="1">
        <w:r w:rsidRPr="7B2E11AD">
          <w:rPr>
            <w:rStyle w:val="Hyperlink"/>
            <w:rFonts w:ascii="Calibri" w:hAnsi="Calibri" w:cs="Calibri"/>
          </w:rPr>
          <w:t>https://doi.org/10.1186/s12954-021-00489-1</w:t>
        </w:r>
      </w:hyperlink>
    </w:p>
    <w:p w14:paraId="47AA405A" w14:textId="600E6CB4" w:rsidR="009803A4" w:rsidRPr="009803A4" w:rsidRDefault="009803A4" w:rsidP="00D42A7B">
      <w:pPr>
        <w:autoSpaceDE w:val="0"/>
        <w:autoSpaceDN w:val="0"/>
        <w:adjustRightInd w:val="0"/>
        <w:spacing w:after="0"/>
        <w:ind w:left="357" w:hanging="357"/>
        <w:rPr>
          <w:rFonts w:ascii="Calibri" w:hAnsi="Calibri" w:cs="Calibri"/>
        </w:rPr>
      </w:pPr>
      <w:r w:rsidRPr="009803A4">
        <w:rPr>
          <w:rFonts w:ascii="Calibri" w:hAnsi="Calibri" w:cs="Calibri"/>
        </w:rPr>
        <w:t xml:space="preserve">Popay, J., Roberts, H., Sowden, A., Petticrew, M., Arai, L., Rodgers, M. Britten, N., Roen, K., &amp; Duffy, S. (2006). </w:t>
      </w:r>
      <w:r w:rsidRPr="009803A4">
        <w:rPr>
          <w:rFonts w:ascii="Calibri" w:hAnsi="Calibri" w:cs="Calibri"/>
          <w:i/>
        </w:rPr>
        <w:t>Guidance on the conduct of narrative synthesis in systematic reviews: A product from the ESRC methods programme</w:t>
      </w:r>
      <w:r w:rsidR="009D5AEE">
        <w:rPr>
          <w:rFonts w:ascii="Calibri" w:hAnsi="Calibri" w:cs="Calibri"/>
        </w:rPr>
        <w:t xml:space="preserve">. </w:t>
      </w:r>
      <w:hyperlink r:id="rId86" w:history="1">
        <w:r w:rsidR="00793C73" w:rsidRPr="006F3F76">
          <w:rPr>
            <w:rStyle w:val="Hyperlink"/>
            <w:rFonts w:ascii="Calibri" w:hAnsi="Calibri" w:cs="Calibri"/>
          </w:rPr>
          <w:t>https://www.lancaster.ac.uk/media/lancaster-university/content-assets/documents/fhm/dhr/chir/NSsynthesisguidanceVersion1-April2006.pdf</w:t>
        </w:r>
      </w:hyperlink>
      <w:r w:rsidRPr="009803A4">
        <w:rPr>
          <w:rFonts w:ascii="Calibri" w:hAnsi="Calibri" w:cs="Calibri"/>
        </w:rPr>
        <w:t xml:space="preserve"> </w:t>
      </w:r>
    </w:p>
    <w:p w14:paraId="2058BB8E" w14:textId="1F7E8980" w:rsidR="7FB62378" w:rsidRDefault="7FB62378" w:rsidP="00D42A7B">
      <w:pPr>
        <w:autoSpaceDE w:val="0"/>
        <w:autoSpaceDN w:val="0"/>
        <w:adjustRightInd w:val="0"/>
        <w:spacing w:after="0"/>
        <w:ind w:left="357" w:hanging="357"/>
        <w:rPr>
          <w:rFonts w:ascii="Calibri" w:eastAsia="Calibri" w:hAnsi="Calibri" w:cs="Calibri"/>
          <w:szCs w:val="20"/>
        </w:rPr>
      </w:pPr>
      <w:r w:rsidRPr="19C6C0B2">
        <w:rPr>
          <w:rFonts w:ascii="Calibri" w:eastAsia="Calibri" w:hAnsi="Calibri" w:cs="Calibri"/>
          <w:color w:val="000000" w:themeColor="text1"/>
          <w:szCs w:val="20"/>
        </w:rPr>
        <w:t xml:space="preserve">Rae Olmsted, K. L., Bartoszek, M., Mulvaney, S., McLean, B., Turabi, A., Young, R., Kim, E., Vandermaas-Peeler, R., Morgan, J. K., Constantinescu, O., Kane, S., Nguyen, C., Hirsch, S., Munoz, B., Wallace, D., Croxford, J., Lynch, J. H., White, R., &amp; Walters, B. B. (2019). Effect of stellate ganglion block treatment on posttraumatic stress disorder symptoms: A randomized clinical trial. </w:t>
      </w:r>
      <w:r w:rsidRPr="19C6C0B2">
        <w:rPr>
          <w:rFonts w:ascii="Calibri" w:eastAsia="Calibri" w:hAnsi="Calibri" w:cs="Calibri"/>
          <w:i/>
          <w:iCs/>
          <w:color w:val="000000" w:themeColor="text1"/>
          <w:szCs w:val="20"/>
        </w:rPr>
        <w:t>JAMA Psychiatry, 77</w:t>
      </w:r>
      <w:r w:rsidRPr="19C6C0B2">
        <w:rPr>
          <w:rFonts w:ascii="Calibri" w:eastAsia="Calibri" w:hAnsi="Calibri" w:cs="Calibri"/>
          <w:color w:val="000000" w:themeColor="text1"/>
          <w:szCs w:val="20"/>
        </w:rPr>
        <w:t xml:space="preserve">(2), 130-138. </w:t>
      </w:r>
      <w:hyperlink r:id="rId87" w:history="1">
        <w:r w:rsidRPr="19C6C0B2">
          <w:rPr>
            <w:rStyle w:val="Hyperlink"/>
            <w:rFonts w:ascii="Calibri" w:eastAsia="Calibri" w:hAnsi="Calibri" w:cs="Calibri"/>
            <w:szCs w:val="20"/>
          </w:rPr>
          <w:t>https://doi.org/10.1001/jamapsychiatry.2019.3474</w:t>
        </w:r>
      </w:hyperlink>
      <w:r w:rsidRPr="19C6C0B2">
        <w:rPr>
          <w:rFonts w:ascii="Calibri" w:eastAsia="Calibri" w:hAnsi="Calibri" w:cs="Calibri"/>
          <w:color w:val="000000" w:themeColor="text1"/>
          <w:szCs w:val="20"/>
        </w:rPr>
        <w:t xml:space="preserve"> </w:t>
      </w:r>
      <w:r w:rsidRPr="19C6C0B2">
        <w:rPr>
          <w:rFonts w:ascii="Calibri" w:eastAsia="Calibri" w:hAnsi="Calibri" w:cs="Calibri"/>
          <w:szCs w:val="20"/>
        </w:rPr>
        <w:t xml:space="preserve"> </w:t>
      </w:r>
    </w:p>
    <w:p w14:paraId="725CCE20" w14:textId="1F820E67" w:rsidR="00511DFB" w:rsidRDefault="00511DFB" w:rsidP="00D42A7B">
      <w:pPr>
        <w:autoSpaceDE w:val="0"/>
        <w:autoSpaceDN w:val="0"/>
        <w:adjustRightInd w:val="0"/>
        <w:spacing w:after="0"/>
        <w:ind w:left="357" w:hanging="357"/>
        <w:rPr>
          <w:rFonts w:ascii="Calibri" w:hAnsi="Calibri" w:cs="Calibri"/>
        </w:rPr>
      </w:pPr>
      <w:r w:rsidRPr="00297F9F">
        <w:rPr>
          <w:rFonts w:ascii="Calibri" w:hAnsi="Calibri" w:cs="Calibri"/>
        </w:rPr>
        <w:t xml:space="preserve">Rethlefsen, M. L., Kirtley, S., Waffenschmidt, S., Ayala, A. P., Moher, D., Page, M. J., Koffel, J. B., &amp; PRISMA-S Group. (2021). PRISMA-S: An extension to the PRISMA Statement for reporting literature searches in systematic reviews. </w:t>
      </w:r>
      <w:r w:rsidRPr="00297F9F">
        <w:rPr>
          <w:rFonts w:ascii="Calibri" w:hAnsi="Calibri" w:cs="Calibri"/>
          <w:i/>
          <w:iCs/>
        </w:rPr>
        <w:t>Systematic Reviews</w:t>
      </w:r>
      <w:r w:rsidRPr="00297F9F">
        <w:rPr>
          <w:rFonts w:ascii="Calibri" w:hAnsi="Calibri" w:cs="Calibri"/>
        </w:rPr>
        <w:t>,</w:t>
      </w:r>
      <w:r w:rsidRPr="00297F9F">
        <w:rPr>
          <w:rFonts w:ascii="Calibri" w:hAnsi="Calibri" w:cs="Calibri"/>
          <w:i/>
          <w:iCs/>
        </w:rPr>
        <w:t xml:space="preserve"> 10</w:t>
      </w:r>
      <w:r w:rsidRPr="00297F9F">
        <w:rPr>
          <w:rFonts w:ascii="Calibri" w:hAnsi="Calibri" w:cs="Calibri"/>
        </w:rPr>
        <w:t xml:space="preserve">(1), </w:t>
      </w:r>
      <w:r w:rsidR="000041A5">
        <w:rPr>
          <w:rFonts w:ascii="Calibri" w:hAnsi="Calibri" w:cs="Calibri"/>
        </w:rPr>
        <w:t xml:space="preserve">Article </w:t>
      </w:r>
      <w:r w:rsidRPr="00297F9F">
        <w:rPr>
          <w:rFonts w:ascii="Calibri" w:hAnsi="Calibri" w:cs="Calibri"/>
        </w:rPr>
        <w:t xml:space="preserve">39. </w:t>
      </w:r>
      <w:hyperlink r:id="rId88" w:history="1">
        <w:r w:rsidRPr="00615190">
          <w:rPr>
            <w:rStyle w:val="Hyperlink"/>
            <w:rFonts w:ascii="Calibri" w:hAnsi="Calibri" w:cs="Calibri"/>
          </w:rPr>
          <w:t>https://doi.org/10.1186/s13643-020-01542-z</w:t>
        </w:r>
      </w:hyperlink>
    </w:p>
    <w:p w14:paraId="71BAD77E" w14:textId="49870324" w:rsidR="00746C9F" w:rsidRPr="00746C9F" w:rsidRDefault="00746C9F" w:rsidP="00D42A7B">
      <w:pPr>
        <w:autoSpaceDE w:val="0"/>
        <w:autoSpaceDN w:val="0"/>
        <w:adjustRightInd w:val="0"/>
        <w:spacing w:after="0"/>
        <w:ind w:left="357" w:hanging="357"/>
        <w:rPr>
          <w:rFonts w:ascii="Calibri" w:hAnsi="Calibri" w:cs="Calibri"/>
        </w:rPr>
      </w:pPr>
      <w:r w:rsidRPr="00746C9F">
        <w:rPr>
          <w:rFonts w:ascii="Calibri" w:hAnsi="Calibri" w:cs="Calibri"/>
        </w:rPr>
        <w:t xml:space="preserve">Rosenbaum, S. B., Gupta, V., &amp; Palacios, J. L. (2022). </w:t>
      </w:r>
      <w:r w:rsidRPr="00252F88">
        <w:rPr>
          <w:rFonts w:ascii="Calibri" w:hAnsi="Calibri" w:cs="Calibri"/>
        </w:rPr>
        <w:t>Ketamine.</w:t>
      </w:r>
      <w:r w:rsidRPr="00746C9F">
        <w:rPr>
          <w:rFonts w:ascii="Calibri" w:hAnsi="Calibri" w:cs="Calibri"/>
        </w:rPr>
        <w:t xml:space="preserve"> </w:t>
      </w:r>
      <w:r w:rsidR="00451E74">
        <w:rPr>
          <w:rFonts w:ascii="Calibri" w:hAnsi="Calibri" w:cs="Calibri"/>
        </w:rPr>
        <w:t xml:space="preserve">In </w:t>
      </w:r>
      <w:r w:rsidR="00252F88" w:rsidRPr="4C15A81F">
        <w:rPr>
          <w:rFonts w:ascii="Calibri" w:hAnsi="Calibri" w:cs="Calibri"/>
          <w:i/>
          <w:iCs/>
        </w:rPr>
        <w:t>StatPearls</w:t>
      </w:r>
      <w:r w:rsidR="00252F88">
        <w:rPr>
          <w:rFonts w:ascii="Calibri" w:hAnsi="Calibri" w:cs="Calibri"/>
          <w:i/>
          <w:iCs/>
        </w:rPr>
        <w:t xml:space="preserve"> </w:t>
      </w:r>
      <w:r w:rsidR="00252F88" w:rsidRPr="00252F88">
        <w:rPr>
          <w:rFonts w:ascii="Calibri" w:hAnsi="Calibri" w:cs="Calibri"/>
          <w:iCs/>
        </w:rPr>
        <w:t>[Internet]</w:t>
      </w:r>
      <w:r w:rsidR="00252F88" w:rsidRPr="4C15A81F">
        <w:rPr>
          <w:rFonts w:ascii="Calibri" w:hAnsi="Calibri" w:cs="Calibri"/>
        </w:rPr>
        <w:t xml:space="preserve">. StatPearls Publishing. </w:t>
      </w:r>
      <w:hyperlink r:id="rId89" w:history="1">
        <w:r w:rsidRPr="00746C9F">
          <w:rPr>
            <w:rStyle w:val="Hyperlink"/>
            <w:rFonts w:ascii="Calibri" w:hAnsi="Calibri" w:cs="Calibri"/>
          </w:rPr>
          <w:t>https://www.ncbi.nlm.nih.gov/books/NBK470357/</w:t>
        </w:r>
      </w:hyperlink>
    </w:p>
    <w:p w14:paraId="4B0FCA8D" w14:textId="77777777" w:rsidR="00252F88" w:rsidRPr="00AD4C56" w:rsidRDefault="00252F88" w:rsidP="00D42A7B">
      <w:pPr>
        <w:autoSpaceDE w:val="0"/>
        <w:autoSpaceDN w:val="0"/>
        <w:adjustRightInd w:val="0"/>
        <w:spacing w:after="0"/>
        <w:ind w:left="357" w:hanging="357"/>
        <w:rPr>
          <w:rFonts w:ascii="Calibri" w:hAnsi="Calibri" w:cs="Calibri"/>
        </w:rPr>
      </w:pPr>
      <w:r w:rsidRPr="00AD4C56">
        <w:rPr>
          <w:rFonts w:ascii="Calibri" w:hAnsi="Calibri" w:cs="Calibri"/>
        </w:rPr>
        <w:t xml:space="preserve">Rossi S., Antal A., Bestmann S., Bikson M., Brewer C., Brockmöller J., Carpenter L. L., Cincotta M., Chen R., Daskalakis J. D., Di Lazzaro V., Fox M. D., George M. S., Gilbert D., Kimiskidis V. K., Koch G., Ilmoniemi R. J., Lefaucheur J. P., Leocani L., </w:t>
      </w:r>
      <w:r>
        <w:rPr>
          <w:rFonts w:ascii="Calibri" w:hAnsi="Calibri" w:cs="Calibri"/>
        </w:rPr>
        <w:t xml:space="preserve">… </w:t>
      </w:r>
      <w:r w:rsidRPr="00AD4C56">
        <w:rPr>
          <w:rFonts w:ascii="Calibri" w:hAnsi="Calibri" w:cs="Calibri"/>
        </w:rPr>
        <w:t xml:space="preserve">Hallett, M. (2021). Safety and recommendations for TMS use in healthy subjects and patient populations, with updates on training, ethical and regulatory issues: Expert </w:t>
      </w:r>
      <w:r>
        <w:rPr>
          <w:rFonts w:ascii="Calibri" w:hAnsi="Calibri" w:cs="Calibri"/>
        </w:rPr>
        <w:t>g</w:t>
      </w:r>
      <w:r w:rsidRPr="00AD4C56">
        <w:rPr>
          <w:rFonts w:ascii="Calibri" w:hAnsi="Calibri" w:cs="Calibri"/>
        </w:rPr>
        <w:t>uidelines. </w:t>
      </w:r>
      <w:r w:rsidRPr="00AD4C56">
        <w:rPr>
          <w:rFonts w:ascii="Calibri" w:hAnsi="Calibri" w:cs="Calibri"/>
          <w:i/>
          <w:iCs/>
        </w:rPr>
        <w:t>Clinical Neurophysiology</w:t>
      </w:r>
      <w:r w:rsidRPr="00AD4C56">
        <w:rPr>
          <w:rFonts w:ascii="Calibri" w:hAnsi="Calibri" w:cs="Calibri"/>
        </w:rPr>
        <w:t>, </w:t>
      </w:r>
      <w:r w:rsidRPr="00AD4C56">
        <w:rPr>
          <w:rFonts w:ascii="Calibri" w:hAnsi="Calibri" w:cs="Calibri"/>
          <w:i/>
          <w:iCs/>
        </w:rPr>
        <w:t>132</w:t>
      </w:r>
      <w:r>
        <w:rPr>
          <w:rFonts w:ascii="Calibri" w:hAnsi="Calibri" w:cs="Calibri"/>
        </w:rPr>
        <w:t>(1), 269-</w:t>
      </w:r>
      <w:r w:rsidRPr="00AD4C56">
        <w:rPr>
          <w:rFonts w:ascii="Calibri" w:hAnsi="Calibri" w:cs="Calibri"/>
        </w:rPr>
        <w:t xml:space="preserve">306. </w:t>
      </w:r>
    </w:p>
    <w:p w14:paraId="28C31DBD" w14:textId="77777777" w:rsidR="00D56FBD" w:rsidRPr="00AD4C56" w:rsidRDefault="00D56FBD" w:rsidP="00D42A7B">
      <w:pPr>
        <w:autoSpaceDE w:val="0"/>
        <w:autoSpaceDN w:val="0"/>
        <w:adjustRightInd w:val="0"/>
        <w:spacing w:after="0"/>
        <w:ind w:left="357" w:hanging="357"/>
        <w:rPr>
          <w:rFonts w:ascii="Calibri" w:hAnsi="Calibri" w:cs="Calibri"/>
          <w:u w:val="single"/>
        </w:rPr>
      </w:pPr>
      <w:r w:rsidRPr="00AD4C56">
        <w:rPr>
          <w:rFonts w:ascii="Calibri" w:hAnsi="Calibri" w:cs="Calibri"/>
        </w:rPr>
        <w:t xml:space="preserve">Rossi, S., Hallett, M., Rossini, P. M., Pascual-Leone, A., &amp; Safety of TMS Consensus Group (2009). Safety, ethical considerations, and application guidelines for the use of transcranial magnetic stimulation in clinical practice and research. </w:t>
      </w:r>
      <w:r w:rsidRPr="00AD4C56">
        <w:rPr>
          <w:rFonts w:ascii="Calibri" w:hAnsi="Calibri" w:cs="Calibri"/>
          <w:i/>
          <w:iCs/>
        </w:rPr>
        <w:t>Clinical Neurophysiology, 120</w:t>
      </w:r>
      <w:r>
        <w:rPr>
          <w:rFonts w:ascii="Calibri" w:hAnsi="Calibri" w:cs="Calibri"/>
        </w:rPr>
        <w:t>(12), 2008-</w:t>
      </w:r>
      <w:r w:rsidRPr="00AD4C56">
        <w:rPr>
          <w:rFonts w:ascii="Calibri" w:hAnsi="Calibri" w:cs="Calibri"/>
        </w:rPr>
        <w:t xml:space="preserve">2039. </w:t>
      </w:r>
      <w:hyperlink r:id="rId90" w:history="1">
        <w:r w:rsidRPr="00AD4C56">
          <w:rPr>
            <w:rStyle w:val="Hyperlink"/>
            <w:rFonts w:ascii="Calibri" w:hAnsi="Calibri" w:cs="Calibri"/>
          </w:rPr>
          <w:t>https://doi.org/10.1016/j.clinph.2009.08.016</w:t>
        </w:r>
      </w:hyperlink>
    </w:p>
    <w:p w14:paraId="238F2063" w14:textId="32CB49D9" w:rsidR="009F29C2" w:rsidRPr="009F29C2" w:rsidRDefault="009F29C2" w:rsidP="00D42A7B">
      <w:pPr>
        <w:autoSpaceDE w:val="0"/>
        <w:autoSpaceDN w:val="0"/>
        <w:adjustRightInd w:val="0"/>
        <w:spacing w:after="0"/>
        <w:ind w:left="357" w:hanging="357"/>
        <w:rPr>
          <w:rFonts w:ascii="Calibri" w:hAnsi="Calibri" w:cs="Calibri"/>
        </w:rPr>
      </w:pPr>
      <w:r w:rsidRPr="009F29C2">
        <w:rPr>
          <w:rFonts w:ascii="Calibri" w:hAnsi="Calibri" w:cs="Calibri"/>
        </w:rPr>
        <w:t xml:space="preserve">Rucker, J. J., &amp; Young, A. H. (2021). Psilocybin: From serendipity to credibility? </w:t>
      </w:r>
      <w:r w:rsidRPr="009F29C2">
        <w:rPr>
          <w:rFonts w:ascii="Calibri" w:hAnsi="Calibri" w:cs="Calibri"/>
          <w:i/>
        </w:rPr>
        <w:t>Frontiers in Psychiatry, 12</w:t>
      </w:r>
      <w:r w:rsidRPr="009F29C2">
        <w:rPr>
          <w:rFonts w:ascii="Calibri" w:hAnsi="Calibri" w:cs="Calibri"/>
        </w:rPr>
        <w:t xml:space="preserve">, </w:t>
      </w:r>
      <w:r w:rsidR="00252F88">
        <w:rPr>
          <w:rFonts w:ascii="Calibri" w:hAnsi="Calibri" w:cs="Calibri"/>
        </w:rPr>
        <w:t xml:space="preserve">Article </w:t>
      </w:r>
      <w:r w:rsidRPr="009F29C2">
        <w:rPr>
          <w:rFonts w:ascii="Calibri" w:hAnsi="Calibri" w:cs="Calibri"/>
        </w:rPr>
        <w:t xml:space="preserve">659044. </w:t>
      </w:r>
      <w:hyperlink r:id="rId91" w:history="1">
        <w:r w:rsidRPr="009F29C2">
          <w:rPr>
            <w:rStyle w:val="Hyperlink"/>
            <w:rFonts w:ascii="Calibri" w:hAnsi="Calibri" w:cs="Calibri"/>
          </w:rPr>
          <w:t>https://doi.org/10.3389/fpsyt.2021.659044</w:t>
        </w:r>
      </w:hyperlink>
      <w:r w:rsidRPr="009F29C2">
        <w:rPr>
          <w:rFonts w:ascii="Calibri" w:hAnsi="Calibri" w:cs="Calibri"/>
        </w:rPr>
        <w:t xml:space="preserve"> </w:t>
      </w:r>
    </w:p>
    <w:p w14:paraId="5FBAC789" w14:textId="77777777" w:rsidR="00E83C71" w:rsidRDefault="00E83C71" w:rsidP="00D42A7B">
      <w:pPr>
        <w:autoSpaceDE w:val="0"/>
        <w:autoSpaceDN w:val="0"/>
        <w:adjustRightInd w:val="0"/>
        <w:spacing w:after="0"/>
        <w:ind w:left="357" w:hanging="357"/>
        <w:rPr>
          <w:rFonts w:ascii="Calibri" w:hAnsi="Calibri" w:cs="Calibri"/>
        </w:rPr>
      </w:pPr>
      <w:r w:rsidRPr="00297F9F">
        <w:rPr>
          <w:rFonts w:ascii="Calibri" w:hAnsi="Calibri" w:cs="Calibri"/>
        </w:rPr>
        <w:t xml:space="preserve">Russo, E. B., &amp; Marcu, J. (2017). Cannabis pharmacology: The usual suspects and a few promising leads. </w:t>
      </w:r>
      <w:r w:rsidRPr="00297F9F">
        <w:rPr>
          <w:rFonts w:ascii="Calibri" w:hAnsi="Calibri" w:cs="Calibri"/>
          <w:i/>
          <w:iCs/>
        </w:rPr>
        <w:t>Advances in Pharmacology</w:t>
      </w:r>
      <w:r w:rsidRPr="00297F9F">
        <w:rPr>
          <w:rFonts w:ascii="Calibri" w:hAnsi="Calibri" w:cs="Calibri"/>
        </w:rPr>
        <w:t>,</w:t>
      </w:r>
      <w:r w:rsidRPr="00297F9F">
        <w:rPr>
          <w:rFonts w:ascii="Calibri" w:hAnsi="Calibri" w:cs="Calibri"/>
          <w:i/>
          <w:iCs/>
        </w:rPr>
        <w:t xml:space="preserve"> 80</w:t>
      </w:r>
      <w:r w:rsidRPr="00297F9F">
        <w:rPr>
          <w:rFonts w:ascii="Calibri" w:hAnsi="Calibri" w:cs="Calibri"/>
        </w:rPr>
        <w:t xml:space="preserve">, 67-134. </w:t>
      </w:r>
      <w:hyperlink r:id="rId92" w:history="1">
        <w:r w:rsidRPr="00615190">
          <w:rPr>
            <w:rStyle w:val="Hyperlink"/>
            <w:rFonts w:ascii="Calibri" w:hAnsi="Calibri" w:cs="Calibri"/>
          </w:rPr>
          <w:t>https://doi.org/10.1016/bs.apha.2017.03.004</w:t>
        </w:r>
      </w:hyperlink>
    </w:p>
    <w:p w14:paraId="0582E8FF" w14:textId="1B42DE1A" w:rsidR="00932471" w:rsidRPr="00932471" w:rsidRDefault="00932471" w:rsidP="00D42A7B">
      <w:pPr>
        <w:autoSpaceDE w:val="0"/>
        <w:autoSpaceDN w:val="0"/>
        <w:adjustRightInd w:val="0"/>
        <w:spacing w:after="0"/>
        <w:ind w:left="357" w:hanging="357"/>
        <w:rPr>
          <w:rFonts w:ascii="Calibri" w:hAnsi="Calibri" w:cs="Calibri"/>
        </w:rPr>
      </w:pPr>
      <w:r w:rsidRPr="00932471">
        <w:rPr>
          <w:rFonts w:ascii="Calibri" w:hAnsi="Calibri" w:cs="Calibri"/>
        </w:rPr>
        <w:t xml:space="preserve">Schade, S., &amp; Paulus, W. (2015). D-cycloserine in neuropsychiatric diseases: A systematic review. </w:t>
      </w:r>
      <w:r w:rsidRPr="00932471">
        <w:rPr>
          <w:rFonts w:ascii="Calibri" w:hAnsi="Calibri" w:cs="Calibri"/>
          <w:i/>
          <w:iCs/>
        </w:rPr>
        <w:t>International Journal of Neuropsychopharmacology</w:t>
      </w:r>
      <w:r w:rsidRPr="00932471">
        <w:rPr>
          <w:rFonts w:ascii="Calibri" w:hAnsi="Calibri" w:cs="Calibri"/>
        </w:rPr>
        <w:t>,</w:t>
      </w:r>
      <w:r w:rsidRPr="00932471">
        <w:rPr>
          <w:rFonts w:ascii="Calibri" w:hAnsi="Calibri" w:cs="Calibri"/>
          <w:i/>
          <w:iCs/>
        </w:rPr>
        <w:t xml:space="preserve"> 19</w:t>
      </w:r>
      <w:r w:rsidRPr="00932471">
        <w:rPr>
          <w:rFonts w:ascii="Calibri" w:hAnsi="Calibri" w:cs="Calibri"/>
        </w:rPr>
        <w:t xml:space="preserve">(4), </w:t>
      </w:r>
      <w:r w:rsidR="00107C67">
        <w:rPr>
          <w:rFonts w:ascii="Calibri" w:hAnsi="Calibri" w:cs="Calibri"/>
        </w:rPr>
        <w:t xml:space="preserve">Article </w:t>
      </w:r>
      <w:r w:rsidRPr="00932471">
        <w:rPr>
          <w:rFonts w:ascii="Calibri" w:hAnsi="Calibri" w:cs="Calibri"/>
        </w:rPr>
        <w:t xml:space="preserve">pyv102. </w:t>
      </w:r>
      <w:hyperlink r:id="rId93" w:history="1">
        <w:r w:rsidRPr="2E4265EC">
          <w:rPr>
            <w:rStyle w:val="Hyperlink"/>
            <w:rFonts w:ascii="Calibri" w:hAnsi="Calibri" w:cs="Calibri"/>
          </w:rPr>
          <w:t>https://doi.org/10.1093/ijnp/pyv102</w:t>
        </w:r>
      </w:hyperlink>
    </w:p>
    <w:p w14:paraId="37FC2152" w14:textId="21A327E3" w:rsidR="00021E80" w:rsidRPr="00021E80" w:rsidRDefault="00021E80" w:rsidP="00D42A7B">
      <w:pPr>
        <w:autoSpaceDE w:val="0"/>
        <w:autoSpaceDN w:val="0"/>
        <w:adjustRightInd w:val="0"/>
        <w:spacing w:after="0"/>
        <w:ind w:left="357" w:hanging="357"/>
        <w:rPr>
          <w:rFonts w:ascii="Calibri" w:hAnsi="Calibri" w:cs="Calibri"/>
        </w:rPr>
      </w:pPr>
      <w:r w:rsidRPr="00021E80">
        <w:rPr>
          <w:rFonts w:ascii="Calibri" w:hAnsi="Calibri" w:cs="Calibri"/>
        </w:rPr>
        <w:t xml:space="preserve">Sessa, B., Higbed, L., &amp; Nutt, D. (2019). A review of 3,4-methylenedioxymethamphetamine (MDMA)-assisted psychotherapy. </w:t>
      </w:r>
      <w:r w:rsidRPr="00021E80">
        <w:rPr>
          <w:rFonts w:ascii="Calibri" w:hAnsi="Calibri" w:cs="Calibri"/>
          <w:i/>
        </w:rPr>
        <w:t>Frontiers in Psychiatry, 10</w:t>
      </w:r>
      <w:r w:rsidR="004E722A">
        <w:rPr>
          <w:rFonts w:ascii="Calibri" w:hAnsi="Calibri" w:cs="Calibri"/>
        </w:rPr>
        <w:t xml:space="preserve">, </w:t>
      </w:r>
      <w:r w:rsidR="00107C67">
        <w:rPr>
          <w:rFonts w:ascii="Calibri" w:hAnsi="Calibri" w:cs="Calibri"/>
        </w:rPr>
        <w:t xml:space="preserve">Article </w:t>
      </w:r>
      <w:r w:rsidRPr="00021E80">
        <w:rPr>
          <w:rFonts w:ascii="Calibri" w:hAnsi="Calibri" w:cs="Calibri"/>
        </w:rPr>
        <w:t xml:space="preserve">138. </w:t>
      </w:r>
      <w:hyperlink r:id="rId94" w:history="1">
        <w:r w:rsidRPr="3DEEC394">
          <w:rPr>
            <w:rStyle w:val="Hyperlink"/>
            <w:rFonts w:ascii="Calibri" w:hAnsi="Calibri" w:cs="Calibri"/>
          </w:rPr>
          <w:t>https://doi.org/10.3389/fpsyt.2019.00138</w:t>
        </w:r>
      </w:hyperlink>
      <w:r w:rsidRPr="3DEEC394">
        <w:rPr>
          <w:rFonts w:ascii="Calibri" w:hAnsi="Calibri" w:cs="Calibri"/>
        </w:rPr>
        <w:t xml:space="preserve"> </w:t>
      </w:r>
    </w:p>
    <w:p w14:paraId="0A8D6593" w14:textId="73ADE78B" w:rsidR="00032605" w:rsidRDefault="00032605" w:rsidP="00D42A7B">
      <w:pPr>
        <w:autoSpaceDE w:val="0"/>
        <w:autoSpaceDN w:val="0"/>
        <w:adjustRightInd w:val="0"/>
        <w:spacing w:after="0"/>
        <w:ind w:left="357" w:hanging="357"/>
        <w:rPr>
          <w:rFonts w:ascii="Calibri" w:hAnsi="Calibri" w:cs="Calibri"/>
        </w:rPr>
      </w:pPr>
      <w:r w:rsidRPr="00032605">
        <w:rPr>
          <w:rFonts w:ascii="Calibri" w:hAnsi="Calibri" w:cs="Calibri"/>
        </w:rPr>
        <w:t xml:space="preserve">Sihota, A., Smith, B. K., Ahmed, S. A., Bell, A., Blain, A., Clarke, H., Cooper, Z. D., Cyr, C., Daeninck, P., Deshpande, A., Ethans, K., Flusk, D., Le Foll, B., Milloy, M. J., Moulin, D. E., Naidoo, V., Ong, M., Perez, J., Rod, K., Sealey, R., … O'Connell, C. (2021). Consensus-based recommendations for titrating cannabinoids and tapering opioids for chronic pain control. </w:t>
      </w:r>
      <w:r w:rsidR="004E722A">
        <w:rPr>
          <w:rFonts w:ascii="Calibri" w:hAnsi="Calibri" w:cs="Calibri"/>
          <w:i/>
          <w:iCs/>
        </w:rPr>
        <w:t>International Journal of Clinical P</w:t>
      </w:r>
      <w:r w:rsidRPr="00180ECE">
        <w:rPr>
          <w:rFonts w:ascii="Calibri" w:hAnsi="Calibri" w:cs="Calibri"/>
          <w:i/>
          <w:iCs/>
        </w:rPr>
        <w:t>rac</w:t>
      </w:r>
      <w:r w:rsidRPr="004E722A">
        <w:rPr>
          <w:rFonts w:ascii="Calibri" w:hAnsi="Calibri" w:cs="Calibri"/>
          <w:i/>
          <w:iCs/>
        </w:rPr>
        <w:t>tice,</w:t>
      </w:r>
      <w:r w:rsidRPr="004E722A">
        <w:rPr>
          <w:rFonts w:ascii="Calibri" w:hAnsi="Calibri" w:cs="Calibri"/>
          <w:i/>
        </w:rPr>
        <w:t xml:space="preserve"> 75</w:t>
      </w:r>
      <w:r w:rsidRPr="00032605">
        <w:rPr>
          <w:rFonts w:ascii="Calibri" w:hAnsi="Calibri" w:cs="Calibri"/>
        </w:rPr>
        <w:t xml:space="preserve">(8), </w:t>
      </w:r>
      <w:r w:rsidR="00107C67">
        <w:rPr>
          <w:rFonts w:ascii="Calibri" w:hAnsi="Calibri" w:cs="Calibri"/>
        </w:rPr>
        <w:t xml:space="preserve">Article </w:t>
      </w:r>
      <w:r w:rsidRPr="00032605">
        <w:rPr>
          <w:rFonts w:ascii="Calibri" w:hAnsi="Calibri" w:cs="Calibri"/>
        </w:rPr>
        <w:t xml:space="preserve">e13871. </w:t>
      </w:r>
      <w:hyperlink r:id="rId95" w:history="1">
        <w:r w:rsidRPr="005716E1">
          <w:rPr>
            <w:rStyle w:val="Hyperlink"/>
            <w:rFonts w:ascii="Calibri" w:hAnsi="Calibri" w:cs="Calibri"/>
          </w:rPr>
          <w:t>https://doi.org/10.1111/ijcp.13871</w:t>
        </w:r>
      </w:hyperlink>
      <w:r>
        <w:rPr>
          <w:rFonts w:ascii="Calibri" w:hAnsi="Calibri" w:cs="Calibri"/>
        </w:rPr>
        <w:t xml:space="preserve"> </w:t>
      </w:r>
    </w:p>
    <w:p w14:paraId="75032988" w14:textId="77777777" w:rsidR="00FA451D" w:rsidRPr="00FA451D" w:rsidRDefault="00FA451D" w:rsidP="00D42A7B">
      <w:pPr>
        <w:autoSpaceDE w:val="0"/>
        <w:autoSpaceDN w:val="0"/>
        <w:adjustRightInd w:val="0"/>
        <w:spacing w:after="0"/>
        <w:ind w:left="357" w:hanging="357"/>
        <w:rPr>
          <w:rFonts w:ascii="Calibri" w:hAnsi="Calibri" w:cs="Calibri"/>
        </w:rPr>
      </w:pPr>
      <w:r w:rsidRPr="00FA451D">
        <w:rPr>
          <w:rFonts w:ascii="Calibri" w:hAnsi="Calibri" w:cs="Calibri"/>
        </w:rPr>
        <w:t>Schenberg E. E. (2018). Psychedelic-assisted psychotherapy: A paradigm shift in psychiatric research and development. </w:t>
      </w:r>
      <w:r w:rsidRPr="00FA451D">
        <w:rPr>
          <w:rFonts w:ascii="Calibri" w:hAnsi="Calibri" w:cs="Calibri"/>
          <w:i/>
          <w:iCs/>
        </w:rPr>
        <w:t>Frontiers in pharmacology</w:t>
      </w:r>
      <w:r w:rsidRPr="00FA451D">
        <w:rPr>
          <w:rFonts w:ascii="Calibri" w:hAnsi="Calibri" w:cs="Calibri"/>
        </w:rPr>
        <w:t>, </w:t>
      </w:r>
      <w:r w:rsidRPr="00FA451D">
        <w:rPr>
          <w:rFonts w:ascii="Calibri" w:hAnsi="Calibri" w:cs="Calibri"/>
          <w:i/>
          <w:iCs/>
        </w:rPr>
        <w:t>9</w:t>
      </w:r>
      <w:r w:rsidRPr="00FA451D">
        <w:rPr>
          <w:rFonts w:ascii="Calibri" w:hAnsi="Calibri" w:cs="Calibri"/>
        </w:rPr>
        <w:t xml:space="preserve">, 733. </w:t>
      </w:r>
      <w:hyperlink r:id="rId96" w:history="1">
        <w:r w:rsidRPr="00FA451D">
          <w:rPr>
            <w:rStyle w:val="Hyperlink"/>
            <w:rFonts w:ascii="Calibri" w:hAnsi="Calibri" w:cs="Calibri"/>
          </w:rPr>
          <w:t>https://doi.org/10.3389/fphar.2018.00733</w:t>
        </w:r>
      </w:hyperlink>
    </w:p>
    <w:p w14:paraId="1226FCE4" w14:textId="4D6082F9" w:rsidR="00511DFB" w:rsidRDefault="00511DFB" w:rsidP="00D42A7B">
      <w:pPr>
        <w:autoSpaceDE w:val="0"/>
        <w:autoSpaceDN w:val="0"/>
        <w:adjustRightInd w:val="0"/>
        <w:spacing w:after="0"/>
        <w:ind w:left="357" w:hanging="357"/>
        <w:rPr>
          <w:rFonts w:ascii="Calibri" w:hAnsi="Calibri" w:cs="Calibri"/>
        </w:rPr>
      </w:pPr>
      <w:r w:rsidRPr="00297F9F">
        <w:rPr>
          <w:rFonts w:ascii="Calibri" w:hAnsi="Calibri" w:cs="Calibri"/>
        </w:rPr>
        <w:t xml:space="preserve">Schlienz, N. J., Lee, D. C., Stitzer, M. L., &amp; Vandrey, R. (2018). The effect of high-dose dronabinol (oral THC) maintenance on cannabis self-administration. </w:t>
      </w:r>
      <w:r w:rsidRPr="00297F9F">
        <w:rPr>
          <w:rFonts w:ascii="Calibri" w:hAnsi="Calibri" w:cs="Calibri"/>
          <w:i/>
          <w:iCs/>
        </w:rPr>
        <w:t>Drug and Alcohol Dependence</w:t>
      </w:r>
      <w:r w:rsidRPr="00297F9F">
        <w:rPr>
          <w:rFonts w:ascii="Calibri" w:hAnsi="Calibri" w:cs="Calibri"/>
        </w:rPr>
        <w:t>,</w:t>
      </w:r>
      <w:r w:rsidRPr="00297F9F">
        <w:rPr>
          <w:rFonts w:ascii="Calibri" w:hAnsi="Calibri" w:cs="Calibri"/>
          <w:i/>
          <w:iCs/>
        </w:rPr>
        <w:t xml:space="preserve"> 187</w:t>
      </w:r>
      <w:r w:rsidRPr="00297F9F">
        <w:rPr>
          <w:rFonts w:ascii="Calibri" w:hAnsi="Calibri" w:cs="Calibri"/>
        </w:rPr>
        <w:t xml:space="preserve">, 254-260. </w:t>
      </w:r>
      <w:hyperlink r:id="rId97" w:history="1">
        <w:r w:rsidRPr="00615190">
          <w:rPr>
            <w:rStyle w:val="Hyperlink"/>
            <w:rFonts w:ascii="Calibri" w:hAnsi="Calibri" w:cs="Calibri"/>
          </w:rPr>
          <w:t>https://doi.org/10.1016/j.drugalcdep.2018.02.022</w:t>
        </w:r>
      </w:hyperlink>
    </w:p>
    <w:p w14:paraId="0E5A7BD5" w14:textId="77777777" w:rsidR="00AC4E27" w:rsidRPr="00AC4E27" w:rsidRDefault="00AC4E27" w:rsidP="00D42A7B">
      <w:pPr>
        <w:autoSpaceDE w:val="0"/>
        <w:autoSpaceDN w:val="0"/>
        <w:adjustRightInd w:val="0"/>
        <w:spacing w:after="0"/>
        <w:ind w:left="357" w:hanging="357"/>
        <w:rPr>
          <w:rFonts w:ascii="Calibri" w:hAnsi="Calibri" w:cs="Calibri"/>
        </w:rPr>
      </w:pPr>
      <w:r w:rsidRPr="4C15A81F">
        <w:rPr>
          <w:rFonts w:ascii="Calibri" w:hAnsi="Calibri" w:cs="Calibri"/>
        </w:rPr>
        <w:lastRenderedPageBreak/>
        <w:t xml:space="preserve">Sounderajah, V., Patel, V., Varatharajan, L., Harling, L., Normahani, P., Symons, J., Barlow, J., Darzi, A., &amp; Ashrafian, H. (2021). Are disruptive innovations recognised in the healthcare literature? A systematic review. </w:t>
      </w:r>
      <w:r w:rsidRPr="4C15A81F">
        <w:rPr>
          <w:rFonts w:ascii="Calibri" w:hAnsi="Calibri" w:cs="Calibri"/>
          <w:i/>
          <w:iCs/>
        </w:rPr>
        <w:t>BMJ Innovations, 7</w:t>
      </w:r>
      <w:r w:rsidRPr="4C15A81F">
        <w:rPr>
          <w:rFonts w:ascii="Calibri" w:hAnsi="Calibri" w:cs="Calibri"/>
        </w:rPr>
        <w:t xml:space="preserve">(1), 208-216. </w:t>
      </w:r>
      <w:hyperlink r:id="rId98" w:history="1">
        <w:r w:rsidRPr="4C15A81F">
          <w:rPr>
            <w:rStyle w:val="Hyperlink"/>
            <w:rFonts w:ascii="Calibri" w:hAnsi="Calibri" w:cs="Calibri"/>
          </w:rPr>
          <w:t>https://doi.org/10.1136/bmjinnov-2020-000424</w:t>
        </w:r>
      </w:hyperlink>
      <w:r w:rsidRPr="4C15A81F">
        <w:rPr>
          <w:rFonts w:ascii="Calibri" w:hAnsi="Calibri" w:cs="Calibri"/>
        </w:rPr>
        <w:t xml:space="preserve"> </w:t>
      </w:r>
    </w:p>
    <w:p w14:paraId="621588FA" w14:textId="77777777" w:rsidR="00F91653" w:rsidRDefault="00F91653" w:rsidP="00D42A7B">
      <w:pPr>
        <w:autoSpaceDE w:val="0"/>
        <w:autoSpaceDN w:val="0"/>
        <w:adjustRightInd w:val="0"/>
        <w:spacing w:after="0"/>
        <w:ind w:left="357" w:hanging="357"/>
        <w:rPr>
          <w:rFonts w:ascii="Calibri" w:hAnsi="Calibri" w:cs="Calibri"/>
        </w:rPr>
      </w:pPr>
      <w:r w:rsidRPr="4C15A81F">
        <w:rPr>
          <w:rFonts w:ascii="Calibri" w:hAnsi="Calibri" w:cs="Calibri"/>
        </w:rPr>
        <w:t xml:space="preserve">Sterne, J. A. C., Savović, J., Page, M. J., Elbers, R. G., Blencowe, N. S., Boutron, I., Cates, C. J., Cheng, H. Y., Corbett, M. S., Eldridge, S. M., Emberson, J. R., Hernán, M. A., Hopewell, S., Hróbjartsson, A., Junqueira, D. R., Jüni, P., Kirkham, J. J., Lasserson, T., Li, T., McAleenan, A., … Higgins, J. P. T. (2019). RoB 2: a revised tool for assessing risk of bias in randomised trials. </w:t>
      </w:r>
      <w:r w:rsidRPr="005A5D4B">
        <w:rPr>
          <w:rFonts w:ascii="Calibri" w:hAnsi="Calibri" w:cs="Calibri"/>
          <w:i/>
          <w:iCs/>
        </w:rPr>
        <w:t>BMJ</w:t>
      </w:r>
      <w:r w:rsidRPr="005A5D4B">
        <w:rPr>
          <w:rFonts w:ascii="Calibri" w:hAnsi="Calibri" w:cs="Calibri"/>
          <w:i/>
        </w:rPr>
        <w:t>, 366</w:t>
      </w:r>
      <w:r w:rsidRPr="4C15A81F">
        <w:rPr>
          <w:rFonts w:ascii="Calibri" w:hAnsi="Calibri" w:cs="Calibri"/>
        </w:rPr>
        <w:t xml:space="preserve">, </w:t>
      </w:r>
      <w:r>
        <w:rPr>
          <w:rFonts w:ascii="Calibri" w:hAnsi="Calibri" w:cs="Calibri"/>
        </w:rPr>
        <w:t xml:space="preserve">Article </w:t>
      </w:r>
      <w:r w:rsidRPr="4C15A81F">
        <w:rPr>
          <w:rFonts w:ascii="Calibri" w:hAnsi="Calibri" w:cs="Calibri"/>
        </w:rPr>
        <w:t xml:space="preserve">l4898. </w:t>
      </w:r>
      <w:hyperlink r:id="rId99" w:history="1">
        <w:r w:rsidRPr="006F3F76">
          <w:rPr>
            <w:rStyle w:val="Hyperlink"/>
            <w:rFonts w:ascii="Calibri" w:hAnsi="Calibri" w:cs="Calibri"/>
          </w:rPr>
          <w:t>https://doi.org/10.1136/bmj.l4898</w:t>
        </w:r>
      </w:hyperlink>
    </w:p>
    <w:p w14:paraId="17705098" w14:textId="21EA9C6E" w:rsidR="003F4BA4" w:rsidRPr="003F4BA4" w:rsidRDefault="003F4BA4" w:rsidP="00D42A7B">
      <w:pPr>
        <w:autoSpaceDE w:val="0"/>
        <w:autoSpaceDN w:val="0"/>
        <w:adjustRightInd w:val="0"/>
        <w:spacing w:after="0"/>
        <w:ind w:left="357" w:hanging="357"/>
        <w:rPr>
          <w:rFonts w:ascii="Calibri" w:hAnsi="Calibri" w:cs="Calibri"/>
        </w:rPr>
      </w:pPr>
      <w:r w:rsidRPr="003F4BA4">
        <w:rPr>
          <w:rFonts w:ascii="Calibri" w:hAnsi="Calibri" w:cs="Calibri"/>
        </w:rPr>
        <w:t xml:space="preserve">Stultz, D. J., Osburn, S., Burns, T., Pawlowska-Wajswol, S., &amp; Walton, R. (2020). Transcranial magnetic stimulation (TMS) safety with respect to seizures: A literature review. </w:t>
      </w:r>
      <w:r w:rsidRPr="003F4BA4">
        <w:rPr>
          <w:rFonts w:ascii="Calibri" w:hAnsi="Calibri" w:cs="Calibri"/>
          <w:i/>
          <w:iCs/>
        </w:rPr>
        <w:t>Neuropsychiatric Disease and Treatment, 16,</w:t>
      </w:r>
      <w:r w:rsidR="00F91653">
        <w:rPr>
          <w:rFonts w:ascii="Calibri" w:hAnsi="Calibri" w:cs="Calibri"/>
        </w:rPr>
        <w:t xml:space="preserve"> 2989-</w:t>
      </w:r>
      <w:r w:rsidRPr="003F4BA4">
        <w:rPr>
          <w:rFonts w:ascii="Calibri" w:hAnsi="Calibri" w:cs="Calibri"/>
        </w:rPr>
        <w:t xml:space="preserve">3000. </w:t>
      </w:r>
      <w:hyperlink r:id="rId100" w:history="1">
        <w:r w:rsidRPr="003F4BA4">
          <w:rPr>
            <w:rStyle w:val="Hyperlink"/>
            <w:rFonts w:ascii="Calibri" w:hAnsi="Calibri" w:cs="Calibri"/>
          </w:rPr>
          <w:t>https://doi.org/10.2147/NDT.S276635</w:t>
        </w:r>
      </w:hyperlink>
      <w:r w:rsidRPr="003F4BA4">
        <w:rPr>
          <w:rFonts w:ascii="Calibri" w:hAnsi="Calibri" w:cs="Calibri"/>
        </w:rPr>
        <w:t xml:space="preserve"> </w:t>
      </w:r>
    </w:p>
    <w:p w14:paraId="78B478D7" w14:textId="77777777" w:rsidR="00632257" w:rsidRPr="00632257" w:rsidRDefault="00632257" w:rsidP="00D42A7B">
      <w:pPr>
        <w:autoSpaceDE w:val="0"/>
        <w:autoSpaceDN w:val="0"/>
        <w:adjustRightInd w:val="0"/>
        <w:spacing w:after="0"/>
        <w:ind w:left="357" w:hanging="357"/>
        <w:rPr>
          <w:rFonts w:ascii="Calibri" w:hAnsi="Calibri" w:cs="Calibri"/>
          <w:u w:val="single"/>
        </w:rPr>
      </w:pPr>
      <w:r w:rsidRPr="00632257">
        <w:rPr>
          <w:rFonts w:ascii="Calibri" w:hAnsi="Calibri" w:cs="Calibri"/>
        </w:rPr>
        <w:t xml:space="preserve">Summers, M. R., &amp; Nevin, R. L. (2017). Stellate ganglion block in the treatment of post-traumatic stress disorder: A review of historical and recent literature. </w:t>
      </w:r>
      <w:r w:rsidRPr="00632257">
        <w:rPr>
          <w:rFonts w:ascii="Calibri" w:hAnsi="Calibri" w:cs="Calibri"/>
          <w:i/>
        </w:rPr>
        <w:t>Pain Practice, 17</w:t>
      </w:r>
      <w:r w:rsidRPr="00632257">
        <w:rPr>
          <w:rFonts w:ascii="Calibri" w:hAnsi="Calibri" w:cs="Calibri"/>
        </w:rPr>
        <w:t xml:space="preserve">(4), 546-553. </w:t>
      </w:r>
      <w:hyperlink r:id="rId101" w:history="1">
        <w:r w:rsidRPr="00632257">
          <w:rPr>
            <w:rStyle w:val="Hyperlink"/>
            <w:rFonts w:ascii="Calibri" w:hAnsi="Calibri" w:cs="Calibri"/>
          </w:rPr>
          <w:t>https://doi.org/10.1111/papr.12503</w:t>
        </w:r>
      </w:hyperlink>
      <w:r w:rsidRPr="00632257">
        <w:rPr>
          <w:rFonts w:ascii="Calibri" w:hAnsi="Calibri" w:cs="Calibri"/>
        </w:rPr>
        <w:t xml:space="preserve"> </w:t>
      </w:r>
    </w:p>
    <w:p w14:paraId="0341C202" w14:textId="48A36DFD" w:rsidR="00C74080" w:rsidRPr="00C74080" w:rsidRDefault="00C74080" w:rsidP="00D42A7B">
      <w:pPr>
        <w:autoSpaceDE w:val="0"/>
        <w:autoSpaceDN w:val="0"/>
        <w:adjustRightInd w:val="0"/>
        <w:spacing w:after="0"/>
        <w:ind w:left="357" w:hanging="357"/>
        <w:rPr>
          <w:rFonts w:ascii="Calibri" w:hAnsi="Calibri" w:cs="Calibri"/>
        </w:rPr>
      </w:pPr>
      <w:r w:rsidRPr="00C74080">
        <w:rPr>
          <w:rFonts w:ascii="Calibri" w:hAnsi="Calibri" w:cs="Calibri"/>
        </w:rPr>
        <w:t>Temesi, J., Gruet, M., Rupp, T., Verges, S., Millet, G. Y. (2014). Resting and active m</w:t>
      </w:r>
      <w:r w:rsidR="004E722A">
        <w:rPr>
          <w:rFonts w:ascii="Calibri" w:hAnsi="Calibri" w:cs="Calibri"/>
        </w:rPr>
        <w:t>otor thresholds versus stimulus-</w:t>
      </w:r>
      <w:r w:rsidRPr="00C74080">
        <w:rPr>
          <w:rFonts w:ascii="Calibri" w:hAnsi="Calibri" w:cs="Calibri"/>
        </w:rPr>
        <w:t xml:space="preserve">response curves to determine transcranial magnetic stimulation intensity in quadriceps femoris. </w:t>
      </w:r>
      <w:r w:rsidRPr="00C74080">
        <w:rPr>
          <w:rFonts w:ascii="Calibri" w:hAnsi="Calibri" w:cs="Calibri"/>
          <w:i/>
          <w:iCs/>
        </w:rPr>
        <w:t>Journal of NeuroEngineering and Rehabiliation, 11</w:t>
      </w:r>
      <w:r w:rsidRPr="00C74080">
        <w:rPr>
          <w:rFonts w:ascii="Calibri" w:hAnsi="Calibri" w:cs="Calibri"/>
        </w:rPr>
        <w:t xml:space="preserve">, </w:t>
      </w:r>
      <w:r w:rsidR="00F91653">
        <w:rPr>
          <w:rFonts w:ascii="Calibri" w:hAnsi="Calibri" w:cs="Calibri"/>
        </w:rPr>
        <w:t xml:space="preserve">Article </w:t>
      </w:r>
      <w:r w:rsidRPr="00C74080">
        <w:rPr>
          <w:rFonts w:ascii="Calibri" w:hAnsi="Calibri" w:cs="Calibri"/>
        </w:rPr>
        <w:t xml:space="preserve">40. </w:t>
      </w:r>
      <w:hyperlink r:id="rId102" w:history="1">
        <w:r w:rsidRPr="00C74080">
          <w:rPr>
            <w:rStyle w:val="Hyperlink"/>
            <w:rFonts w:ascii="Calibri" w:hAnsi="Calibri" w:cs="Calibri"/>
          </w:rPr>
          <w:t>https://doi.org/10.1186/1743-0003-11-40</w:t>
        </w:r>
      </w:hyperlink>
    </w:p>
    <w:p w14:paraId="7CC0770A" w14:textId="4E268426" w:rsidR="00511DFB" w:rsidRDefault="00CB5849" w:rsidP="00D42A7B">
      <w:pPr>
        <w:autoSpaceDE w:val="0"/>
        <w:autoSpaceDN w:val="0"/>
        <w:adjustRightInd w:val="0"/>
        <w:spacing w:after="0"/>
        <w:ind w:left="357" w:hanging="357"/>
        <w:rPr>
          <w:rFonts w:ascii="Calibri" w:hAnsi="Calibri" w:cs="Calibri"/>
        </w:rPr>
      </w:pPr>
      <w:r>
        <w:rPr>
          <w:rFonts w:ascii="Calibri" w:hAnsi="Calibri" w:cs="Calibri"/>
        </w:rPr>
        <w:t>The GRADE Working Group. (</w:t>
      </w:r>
      <w:r w:rsidR="00511DFB" w:rsidRPr="00297F9F">
        <w:rPr>
          <w:rFonts w:ascii="Calibri" w:hAnsi="Calibri" w:cs="Calibri"/>
        </w:rPr>
        <w:t xml:space="preserve">2022). </w:t>
      </w:r>
      <w:r w:rsidR="00511DFB" w:rsidRPr="00297F9F">
        <w:rPr>
          <w:rFonts w:ascii="Calibri" w:hAnsi="Calibri" w:cs="Calibri"/>
          <w:i/>
          <w:iCs/>
        </w:rPr>
        <w:t>GRADE</w:t>
      </w:r>
      <w:r w:rsidR="00511DFB" w:rsidRPr="00297F9F">
        <w:rPr>
          <w:rFonts w:ascii="Calibri" w:hAnsi="Calibri" w:cs="Calibri"/>
        </w:rPr>
        <w:t xml:space="preserve">. </w:t>
      </w:r>
      <w:hyperlink r:id="rId103" w:history="1">
        <w:r w:rsidR="00511DFB" w:rsidRPr="00615190">
          <w:rPr>
            <w:rStyle w:val="Hyperlink"/>
            <w:rFonts w:ascii="Calibri" w:hAnsi="Calibri" w:cs="Calibri"/>
          </w:rPr>
          <w:t>https://www.gradeworkinggroup.org/</w:t>
        </w:r>
      </w:hyperlink>
    </w:p>
    <w:p w14:paraId="4ABB626A" w14:textId="47DD42C0" w:rsidR="008C5092" w:rsidRDefault="008C5092" w:rsidP="00D42A7B">
      <w:pPr>
        <w:autoSpaceDE w:val="0"/>
        <w:autoSpaceDN w:val="0"/>
        <w:adjustRightInd w:val="0"/>
        <w:spacing w:after="0"/>
        <w:ind w:left="357" w:hanging="357"/>
        <w:rPr>
          <w:rFonts w:ascii="Calibri" w:hAnsi="Calibri" w:cs="Calibri"/>
        </w:rPr>
      </w:pPr>
      <w:r>
        <w:rPr>
          <w:rFonts w:ascii="Calibri" w:hAnsi="Calibri" w:cs="Calibri"/>
        </w:rPr>
        <w:t>Therapeutic Goods Administration (</w:t>
      </w:r>
      <w:r w:rsidRPr="00AC26C3">
        <w:rPr>
          <w:rFonts w:ascii="Calibri" w:hAnsi="Calibri" w:cs="Calibri"/>
        </w:rPr>
        <w:t>2022)</w:t>
      </w:r>
      <w:r>
        <w:rPr>
          <w:rFonts w:ascii="Calibri" w:hAnsi="Calibri" w:cs="Calibri"/>
        </w:rPr>
        <w:t xml:space="preserve">. </w:t>
      </w:r>
      <w:r w:rsidRPr="008C5092">
        <w:rPr>
          <w:rFonts w:ascii="Calibri" w:hAnsi="Calibri" w:cs="Calibri"/>
          <w:i/>
        </w:rPr>
        <w:t>Medicinal cannabis products by active ingredients.</w:t>
      </w:r>
      <w:r>
        <w:rPr>
          <w:rFonts w:ascii="Calibri" w:hAnsi="Calibri" w:cs="Calibri"/>
        </w:rPr>
        <w:t xml:space="preserve"> </w:t>
      </w:r>
      <w:r w:rsidR="009D6CE5" w:rsidRPr="00D164CE">
        <w:rPr>
          <w:rFonts w:ascii="Calibri" w:hAnsi="Calibri" w:cs="Calibri"/>
        </w:rPr>
        <w:t>Department of Health and Aged Care</w:t>
      </w:r>
      <w:r w:rsidR="009D6CE5">
        <w:rPr>
          <w:rFonts w:ascii="Calibri" w:hAnsi="Calibri" w:cs="Calibri"/>
        </w:rPr>
        <w:t>,</w:t>
      </w:r>
      <w:r w:rsidR="009D6CE5" w:rsidRPr="008C5092">
        <w:rPr>
          <w:rFonts w:ascii="Calibri" w:hAnsi="Calibri" w:cs="Calibri"/>
        </w:rPr>
        <w:t xml:space="preserve"> </w:t>
      </w:r>
      <w:r w:rsidR="009D6CE5" w:rsidRPr="00D164CE">
        <w:rPr>
          <w:rFonts w:ascii="Calibri" w:hAnsi="Calibri" w:cs="Calibri"/>
        </w:rPr>
        <w:t>Australian Government</w:t>
      </w:r>
      <w:r w:rsidR="009D6CE5">
        <w:rPr>
          <w:rFonts w:ascii="Calibri" w:hAnsi="Calibri" w:cs="Calibri"/>
        </w:rPr>
        <w:t xml:space="preserve">. </w:t>
      </w:r>
      <w:hyperlink r:id="rId104" w:history="1">
        <w:r w:rsidRPr="005716E1">
          <w:rPr>
            <w:rStyle w:val="Hyperlink"/>
            <w:rFonts w:ascii="Calibri" w:hAnsi="Calibri" w:cs="Calibri"/>
          </w:rPr>
          <w:t>https://www.tga.gov.au/medicinal-cannabis-products-active-ingredients</w:t>
        </w:r>
      </w:hyperlink>
      <w:r>
        <w:rPr>
          <w:rFonts w:ascii="Calibri" w:hAnsi="Calibri" w:cs="Calibri"/>
        </w:rPr>
        <w:t xml:space="preserve"> </w:t>
      </w:r>
    </w:p>
    <w:p w14:paraId="274A7259" w14:textId="77777777" w:rsidR="009D6CE5" w:rsidRDefault="009D6CE5" w:rsidP="00D42A7B">
      <w:pPr>
        <w:autoSpaceDE w:val="0"/>
        <w:autoSpaceDN w:val="0"/>
        <w:adjustRightInd w:val="0"/>
        <w:spacing w:after="0"/>
        <w:ind w:left="357" w:hanging="357"/>
        <w:rPr>
          <w:rFonts w:ascii="Calibri" w:hAnsi="Calibri" w:cs="Calibri"/>
        </w:rPr>
      </w:pPr>
      <w:r w:rsidRPr="00DD2A11">
        <w:rPr>
          <w:rFonts w:ascii="Calibri" w:hAnsi="Calibri" w:cs="Calibri"/>
        </w:rPr>
        <w:t>Therapeutic Goods Administration</w:t>
      </w:r>
      <w:r>
        <w:rPr>
          <w:rFonts w:ascii="Calibri" w:hAnsi="Calibri" w:cs="Calibri"/>
        </w:rPr>
        <w:t xml:space="preserve">. </w:t>
      </w:r>
      <w:r w:rsidRPr="00DD2A11">
        <w:rPr>
          <w:rFonts w:ascii="Calibri" w:hAnsi="Calibri" w:cs="Calibri"/>
        </w:rPr>
        <w:t xml:space="preserve">(2021). </w:t>
      </w:r>
      <w:r w:rsidRPr="004E722A">
        <w:rPr>
          <w:rFonts w:ascii="Calibri" w:hAnsi="Calibri" w:cs="Calibri"/>
          <w:i/>
        </w:rPr>
        <w:t xml:space="preserve">Notice of final decision to not amend the current Poisons Standard </w:t>
      </w:r>
      <w:r>
        <w:rPr>
          <w:rFonts w:ascii="Calibri" w:hAnsi="Calibri" w:cs="Calibri"/>
          <w:i/>
        </w:rPr>
        <w:t>–</w:t>
      </w:r>
      <w:r w:rsidRPr="004E722A">
        <w:rPr>
          <w:rFonts w:ascii="Calibri" w:hAnsi="Calibri" w:cs="Calibri"/>
          <w:i/>
        </w:rPr>
        <w:t xml:space="preserve"> Psilocybin</w:t>
      </w:r>
      <w:r>
        <w:rPr>
          <w:rFonts w:ascii="Calibri" w:hAnsi="Calibri" w:cs="Calibri"/>
          <w:i/>
        </w:rPr>
        <w:t xml:space="preserve"> </w:t>
      </w:r>
      <w:r w:rsidRPr="004E722A">
        <w:rPr>
          <w:rFonts w:ascii="Calibri" w:hAnsi="Calibri" w:cs="Calibri"/>
          <w:i/>
        </w:rPr>
        <w:t>and MDMA: 15 December 2021</w:t>
      </w:r>
      <w:r>
        <w:rPr>
          <w:rFonts w:ascii="Calibri" w:hAnsi="Calibri" w:cs="Calibri"/>
        </w:rPr>
        <w:t xml:space="preserve">. </w:t>
      </w:r>
      <w:r w:rsidRPr="00DD2A11">
        <w:rPr>
          <w:rFonts w:ascii="Calibri" w:hAnsi="Calibri" w:cs="Calibri"/>
        </w:rPr>
        <w:t>Department o</w:t>
      </w:r>
      <w:r>
        <w:rPr>
          <w:rFonts w:ascii="Calibri" w:hAnsi="Calibri" w:cs="Calibri"/>
        </w:rPr>
        <w:t>f Health, Australian Government</w:t>
      </w:r>
      <w:r w:rsidRPr="00DD2A11">
        <w:rPr>
          <w:rFonts w:ascii="Calibri" w:hAnsi="Calibri" w:cs="Calibri"/>
        </w:rPr>
        <w:t>.</w:t>
      </w:r>
      <w:r>
        <w:rPr>
          <w:rFonts w:ascii="Calibri" w:hAnsi="Calibri" w:cs="Calibri"/>
        </w:rPr>
        <w:t xml:space="preserve"> </w:t>
      </w:r>
      <w:hyperlink r:id="rId105" w:history="1">
        <w:r w:rsidRPr="00DD2A11">
          <w:rPr>
            <w:rStyle w:val="Hyperlink"/>
            <w:rFonts w:ascii="Calibri" w:hAnsi="Calibri" w:cs="Calibri"/>
          </w:rPr>
          <w:t>https://www.tga.gov.au/sites/default/files/notice-final-decisions-amend-or-not-amend-current-poisons-standard-relation-psilocybin-and-mdma.pdf</w:t>
        </w:r>
      </w:hyperlink>
      <w:r w:rsidRPr="00DD2A11">
        <w:rPr>
          <w:rFonts w:ascii="Calibri" w:hAnsi="Calibri" w:cs="Calibri"/>
        </w:rPr>
        <w:t xml:space="preserve"> </w:t>
      </w:r>
    </w:p>
    <w:p w14:paraId="11BB6363" w14:textId="6F8684B7" w:rsidR="008C5092" w:rsidRDefault="008C5092" w:rsidP="00D42A7B">
      <w:pPr>
        <w:autoSpaceDE w:val="0"/>
        <w:autoSpaceDN w:val="0"/>
        <w:adjustRightInd w:val="0"/>
        <w:spacing w:after="0"/>
        <w:ind w:left="357" w:hanging="357"/>
        <w:rPr>
          <w:rFonts w:ascii="Calibri" w:hAnsi="Calibri" w:cs="Calibri"/>
        </w:rPr>
      </w:pPr>
      <w:r>
        <w:rPr>
          <w:rFonts w:ascii="Calibri" w:hAnsi="Calibri" w:cs="Calibri"/>
        </w:rPr>
        <w:t>Therapeutic Goods Administration</w:t>
      </w:r>
      <w:r w:rsidRPr="00D164CE">
        <w:rPr>
          <w:rFonts w:ascii="Calibri" w:hAnsi="Calibri" w:cs="Calibri"/>
        </w:rPr>
        <w:t xml:space="preserve"> (20</w:t>
      </w:r>
      <w:r>
        <w:rPr>
          <w:rFonts w:ascii="Calibri" w:hAnsi="Calibri" w:cs="Calibri"/>
        </w:rPr>
        <w:t>17</w:t>
      </w:r>
      <w:r w:rsidRPr="00D164CE">
        <w:rPr>
          <w:rFonts w:ascii="Calibri" w:hAnsi="Calibri" w:cs="Calibri"/>
        </w:rPr>
        <w:t>).</w:t>
      </w:r>
      <w:r>
        <w:rPr>
          <w:rFonts w:ascii="Calibri" w:hAnsi="Calibri" w:cs="Calibri"/>
        </w:rPr>
        <w:t xml:space="preserve"> </w:t>
      </w:r>
      <w:r w:rsidRPr="008C5092">
        <w:rPr>
          <w:rFonts w:ascii="Calibri" w:hAnsi="Calibri" w:cs="Calibri"/>
          <w:i/>
        </w:rPr>
        <w:t>Guidance for the use of medicinal cannabis in Australia: Patient information.</w:t>
      </w:r>
      <w:r w:rsidR="009D6CE5">
        <w:rPr>
          <w:rFonts w:ascii="Calibri" w:hAnsi="Calibri" w:cs="Calibri"/>
        </w:rPr>
        <w:t xml:space="preserve"> </w:t>
      </w:r>
      <w:r w:rsidR="009D6CE5" w:rsidRPr="00D164CE">
        <w:rPr>
          <w:rFonts w:ascii="Calibri" w:hAnsi="Calibri" w:cs="Calibri"/>
        </w:rPr>
        <w:t>Department of Health and Aged Care</w:t>
      </w:r>
      <w:r w:rsidR="009D6CE5">
        <w:rPr>
          <w:rFonts w:ascii="Calibri" w:hAnsi="Calibri" w:cs="Calibri"/>
        </w:rPr>
        <w:t>,</w:t>
      </w:r>
      <w:r w:rsidR="009D6CE5" w:rsidRPr="008C5092">
        <w:rPr>
          <w:rFonts w:ascii="Calibri" w:hAnsi="Calibri" w:cs="Calibri"/>
        </w:rPr>
        <w:t xml:space="preserve"> </w:t>
      </w:r>
      <w:r w:rsidR="009D6CE5" w:rsidRPr="00D164CE">
        <w:rPr>
          <w:rFonts w:ascii="Calibri" w:hAnsi="Calibri" w:cs="Calibri"/>
        </w:rPr>
        <w:t>Australian Government</w:t>
      </w:r>
      <w:r w:rsidR="009D6CE5">
        <w:rPr>
          <w:rFonts w:ascii="Calibri" w:hAnsi="Calibri" w:cs="Calibri"/>
        </w:rPr>
        <w:t>.</w:t>
      </w:r>
      <w:r w:rsidR="009D6CE5" w:rsidRPr="00D164CE">
        <w:rPr>
          <w:rFonts w:ascii="Calibri" w:hAnsi="Calibri" w:cs="Calibri"/>
        </w:rPr>
        <w:t xml:space="preserve"> </w:t>
      </w:r>
      <w:r>
        <w:rPr>
          <w:rFonts w:ascii="Calibri" w:hAnsi="Calibri" w:cs="Calibri"/>
        </w:rPr>
        <w:t xml:space="preserve"> </w:t>
      </w:r>
      <w:hyperlink r:id="rId106" w:history="1">
        <w:r w:rsidRPr="005716E1">
          <w:rPr>
            <w:rStyle w:val="Hyperlink"/>
            <w:rFonts w:ascii="Calibri" w:hAnsi="Calibri" w:cs="Calibri"/>
          </w:rPr>
          <w:t>https://www.tga.gov.au/resources/publication/publications/guidance-use-medicinal-cannabis-australia-patient-information</w:t>
        </w:r>
      </w:hyperlink>
      <w:r>
        <w:rPr>
          <w:rFonts w:ascii="Calibri" w:hAnsi="Calibri" w:cs="Calibri"/>
        </w:rPr>
        <w:t xml:space="preserve"> </w:t>
      </w:r>
    </w:p>
    <w:p w14:paraId="7EA3AE05" w14:textId="1F270410" w:rsidR="00511DFB" w:rsidRDefault="00511DFB" w:rsidP="00D42A7B">
      <w:pPr>
        <w:autoSpaceDE w:val="0"/>
        <w:autoSpaceDN w:val="0"/>
        <w:adjustRightInd w:val="0"/>
        <w:spacing w:after="0"/>
        <w:ind w:left="357" w:hanging="357"/>
        <w:rPr>
          <w:rFonts w:ascii="Calibri" w:hAnsi="Calibri" w:cs="Calibri"/>
        </w:rPr>
      </w:pPr>
      <w:r w:rsidRPr="00297F9F">
        <w:rPr>
          <w:rFonts w:ascii="Calibri" w:hAnsi="Calibri" w:cs="Calibri"/>
        </w:rPr>
        <w:t xml:space="preserve">Thompson, E. (2015). Hamilton Rating Scale for Anxiety (HAM-A). </w:t>
      </w:r>
      <w:r w:rsidRPr="00297F9F">
        <w:rPr>
          <w:rFonts w:ascii="Calibri" w:hAnsi="Calibri" w:cs="Calibri"/>
          <w:i/>
          <w:iCs/>
        </w:rPr>
        <w:t>Occupational Medicine</w:t>
      </w:r>
      <w:r w:rsidRPr="00297F9F">
        <w:rPr>
          <w:rFonts w:ascii="Calibri" w:hAnsi="Calibri" w:cs="Calibri"/>
        </w:rPr>
        <w:t>,</w:t>
      </w:r>
      <w:r w:rsidRPr="00297F9F">
        <w:rPr>
          <w:rFonts w:ascii="Calibri" w:hAnsi="Calibri" w:cs="Calibri"/>
          <w:i/>
          <w:iCs/>
        </w:rPr>
        <w:t xml:space="preserve"> 65</w:t>
      </w:r>
      <w:r w:rsidRPr="00297F9F">
        <w:rPr>
          <w:rFonts w:ascii="Calibri" w:hAnsi="Calibri" w:cs="Calibri"/>
        </w:rPr>
        <w:t xml:space="preserve">(7), 601. </w:t>
      </w:r>
      <w:hyperlink r:id="rId107" w:history="1">
        <w:r w:rsidRPr="00615190">
          <w:rPr>
            <w:rStyle w:val="Hyperlink"/>
            <w:rFonts w:ascii="Calibri" w:hAnsi="Calibri" w:cs="Calibri"/>
          </w:rPr>
          <w:t>https://doi.org/10.1093/occmed/kqv054</w:t>
        </w:r>
      </w:hyperlink>
    </w:p>
    <w:p w14:paraId="6857EB87" w14:textId="4BB5B830" w:rsidR="00511DFB" w:rsidRDefault="00511DFB" w:rsidP="00D42A7B">
      <w:pPr>
        <w:autoSpaceDE w:val="0"/>
        <w:autoSpaceDN w:val="0"/>
        <w:adjustRightInd w:val="0"/>
        <w:spacing w:after="0"/>
        <w:ind w:left="357" w:hanging="357"/>
        <w:rPr>
          <w:rFonts w:ascii="Calibri" w:hAnsi="Calibri" w:cs="Calibri"/>
        </w:rPr>
      </w:pPr>
      <w:r w:rsidRPr="4C15A81F">
        <w:rPr>
          <w:rFonts w:ascii="Calibri" w:hAnsi="Calibri" w:cs="Calibri"/>
        </w:rPr>
        <w:t xml:space="preserve">Trigo, J. M., Soliman, A., Quilty, L. C., Fischer, B., Rehm, J., Selby, P., Barnes, A. J., Huestis, M. A., George, T. P., Streiner, D. L., Staios, G., &amp; Le Foll, B. (2018). Nabiximols combined with motivational enhancement/cognitive behavioral therapy for the treatment of cannabis dependence: A pilot randomized clinical trial. </w:t>
      </w:r>
      <w:r w:rsidR="004E722A">
        <w:rPr>
          <w:rFonts w:ascii="Calibri" w:hAnsi="Calibri" w:cs="Calibri"/>
          <w:i/>
          <w:iCs/>
        </w:rPr>
        <w:t>PLOS ONE</w:t>
      </w:r>
      <w:r w:rsidRPr="4C15A81F">
        <w:rPr>
          <w:rFonts w:ascii="Calibri" w:hAnsi="Calibri" w:cs="Calibri"/>
        </w:rPr>
        <w:t>,</w:t>
      </w:r>
      <w:r w:rsidRPr="4C15A81F">
        <w:rPr>
          <w:rFonts w:ascii="Calibri" w:hAnsi="Calibri" w:cs="Calibri"/>
          <w:i/>
          <w:iCs/>
        </w:rPr>
        <w:t xml:space="preserve"> 13</w:t>
      </w:r>
      <w:r w:rsidRPr="4C15A81F">
        <w:rPr>
          <w:rFonts w:ascii="Calibri" w:hAnsi="Calibri" w:cs="Calibri"/>
        </w:rPr>
        <w:t xml:space="preserve">(1), </w:t>
      </w:r>
      <w:r w:rsidR="00F91653">
        <w:rPr>
          <w:rFonts w:ascii="Calibri" w:hAnsi="Calibri" w:cs="Calibri"/>
        </w:rPr>
        <w:t xml:space="preserve">Article </w:t>
      </w:r>
      <w:r w:rsidRPr="4C15A81F">
        <w:rPr>
          <w:rFonts w:ascii="Calibri" w:hAnsi="Calibri" w:cs="Calibri"/>
        </w:rPr>
        <w:t xml:space="preserve">e0190768. </w:t>
      </w:r>
      <w:hyperlink r:id="rId108">
        <w:r w:rsidRPr="4C15A81F">
          <w:rPr>
            <w:rStyle w:val="Hyperlink"/>
            <w:rFonts w:ascii="Calibri" w:hAnsi="Calibri" w:cs="Calibri"/>
          </w:rPr>
          <w:t>https://doi.org/10.1371/journal.pone.0190768</w:t>
        </w:r>
      </w:hyperlink>
    </w:p>
    <w:p w14:paraId="162D08FB" w14:textId="56BA68B7" w:rsidR="78970C91" w:rsidRDefault="78970C91" w:rsidP="00D42A7B">
      <w:pPr>
        <w:spacing w:after="0"/>
        <w:ind w:left="357" w:hanging="357"/>
        <w:rPr>
          <w:rFonts w:ascii="Calibri" w:eastAsia="Calibri" w:hAnsi="Calibri" w:cs="Calibri"/>
          <w:szCs w:val="20"/>
        </w:rPr>
      </w:pPr>
      <w:r w:rsidRPr="4C15A81F">
        <w:rPr>
          <w:rFonts w:ascii="Calibri" w:eastAsia="Calibri" w:hAnsi="Calibri" w:cs="Calibri"/>
          <w:color w:val="000000" w:themeColor="text1"/>
          <w:szCs w:val="20"/>
        </w:rPr>
        <w:t xml:space="preserve">UK Office for Veterans’ Affairs. (2020). </w:t>
      </w:r>
      <w:r w:rsidRPr="4C15A81F">
        <w:rPr>
          <w:rFonts w:ascii="Calibri" w:eastAsia="Calibri" w:hAnsi="Calibri" w:cs="Calibri"/>
          <w:i/>
          <w:iCs/>
          <w:color w:val="000000" w:themeColor="text1"/>
          <w:szCs w:val="20"/>
        </w:rPr>
        <w:t>Veterans factsheet 2020</w:t>
      </w:r>
      <w:r w:rsidRPr="4C15A81F">
        <w:rPr>
          <w:rFonts w:ascii="Calibri" w:eastAsia="Calibri" w:hAnsi="Calibri" w:cs="Calibri"/>
          <w:color w:val="000000" w:themeColor="text1"/>
          <w:szCs w:val="20"/>
        </w:rPr>
        <w:t xml:space="preserve">. </w:t>
      </w:r>
      <w:hyperlink r:id="rId109" w:history="1">
        <w:r w:rsidRPr="4C15A81F">
          <w:rPr>
            <w:rStyle w:val="Hyperlink"/>
            <w:rFonts w:ascii="Calibri" w:eastAsia="Calibri" w:hAnsi="Calibri" w:cs="Calibri"/>
            <w:szCs w:val="20"/>
          </w:rPr>
          <w:t>https://assets.publishing.service.gov.uk/government/uploads/system/uploads/attachment_data/file/874821/6.6409_CO_Armed-Forces_Veterans-Factsheet_v9_web.pdf</w:t>
        </w:r>
      </w:hyperlink>
      <w:r w:rsidRPr="4C15A81F">
        <w:rPr>
          <w:rFonts w:ascii="Calibri" w:eastAsia="Calibri" w:hAnsi="Calibri" w:cs="Calibri"/>
          <w:color w:val="000000" w:themeColor="text1"/>
          <w:szCs w:val="20"/>
        </w:rPr>
        <w:t xml:space="preserve"> </w:t>
      </w:r>
      <w:r w:rsidRPr="4C15A81F">
        <w:rPr>
          <w:rFonts w:ascii="Calibri" w:eastAsia="Calibri" w:hAnsi="Calibri" w:cs="Calibri"/>
          <w:szCs w:val="20"/>
        </w:rPr>
        <w:t xml:space="preserve"> </w:t>
      </w:r>
    </w:p>
    <w:p w14:paraId="7DF0A589" w14:textId="534842EC" w:rsidR="078F3419" w:rsidRDefault="078F3419" w:rsidP="00D42A7B">
      <w:pPr>
        <w:spacing w:after="0"/>
        <w:ind w:left="357" w:hanging="357"/>
        <w:rPr>
          <w:rFonts w:ascii="Calibri" w:eastAsia="Calibri" w:hAnsi="Calibri" w:cs="Calibri"/>
          <w:szCs w:val="20"/>
        </w:rPr>
      </w:pPr>
      <w:r w:rsidRPr="4C15A81F">
        <w:rPr>
          <w:rFonts w:ascii="Calibri" w:eastAsia="Calibri" w:hAnsi="Calibri" w:cs="Calibri"/>
          <w:color w:val="000000" w:themeColor="text1"/>
          <w:szCs w:val="20"/>
        </w:rPr>
        <w:t xml:space="preserve">US Department of Veterans Affairs. (2019). </w:t>
      </w:r>
      <w:r w:rsidRPr="4C15A81F">
        <w:rPr>
          <w:rFonts w:ascii="Calibri" w:eastAsia="Calibri" w:hAnsi="Calibri" w:cs="Calibri"/>
          <w:i/>
          <w:iCs/>
          <w:color w:val="000000" w:themeColor="text1"/>
          <w:szCs w:val="20"/>
        </w:rPr>
        <w:t>Verification assistance brief: Determining veteran status.</w:t>
      </w:r>
      <w:r w:rsidRPr="4C15A81F">
        <w:rPr>
          <w:rFonts w:ascii="Calibri" w:eastAsia="Calibri" w:hAnsi="Calibri" w:cs="Calibri"/>
          <w:color w:val="000000" w:themeColor="text1"/>
          <w:szCs w:val="20"/>
        </w:rPr>
        <w:t xml:space="preserve"> </w:t>
      </w:r>
      <w:hyperlink r:id="rId110" w:history="1">
        <w:r w:rsidRPr="4C15A81F">
          <w:rPr>
            <w:rStyle w:val="Hyperlink"/>
            <w:rFonts w:ascii="Calibri" w:eastAsia="Calibri" w:hAnsi="Calibri" w:cs="Calibri"/>
            <w:szCs w:val="20"/>
          </w:rPr>
          <w:t>https://www.va.gov/OSDBU/docs/Determining-Veteran-Status.pdf</w:t>
        </w:r>
      </w:hyperlink>
      <w:r w:rsidRPr="4C15A81F">
        <w:rPr>
          <w:rFonts w:ascii="Calibri" w:eastAsia="Calibri" w:hAnsi="Calibri" w:cs="Calibri"/>
          <w:color w:val="000000" w:themeColor="text1"/>
          <w:szCs w:val="20"/>
        </w:rPr>
        <w:t xml:space="preserve"> </w:t>
      </w:r>
      <w:r w:rsidRPr="4C15A81F">
        <w:rPr>
          <w:rFonts w:ascii="Calibri" w:eastAsia="Calibri" w:hAnsi="Calibri" w:cs="Calibri"/>
          <w:szCs w:val="20"/>
        </w:rPr>
        <w:t xml:space="preserve"> </w:t>
      </w:r>
    </w:p>
    <w:p w14:paraId="0FF381AC" w14:textId="3E4DE2DA" w:rsidR="00511DFB" w:rsidRDefault="00511DFB" w:rsidP="00D42A7B">
      <w:pPr>
        <w:autoSpaceDE w:val="0"/>
        <w:autoSpaceDN w:val="0"/>
        <w:adjustRightInd w:val="0"/>
        <w:spacing w:after="0"/>
        <w:ind w:left="357" w:hanging="357"/>
        <w:rPr>
          <w:rFonts w:ascii="Calibri" w:hAnsi="Calibri" w:cs="Calibri"/>
        </w:rPr>
      </w:pPr>
      <w:r w:rsidRPr="00297F9F">
        <w:rPr>
          <w:rFonts w:ascii="Calibri" w:hAnsi="Calibri" w:cs="Calibri"/>
        </w:rPr>
        <w:t xml:space="preserve">Van Hooff, M., Lawrence-Wood, E., Hodson, S., Sadler, N., Benassi, H., Hansen, C., Grace, B., Avery, J., Searle, A., Iannos, M., Abraham, M., Baur, J., &amp; McFarlane, A. (2018). </w:t>
      </w:r>
      <w:r w:rsidRPr="00297F9F">
        <w:rPr>
          <w:rFonts w:ascii="Calibri" w:hAnsi="Calibri" w:cs="Calibri"/>
          <w:i/>
          <w:iCs/>
        </w:rPr>
        <w:t xml:space="preserve">Mental </w:t>
      </w:r>
      <w:r w:rsidR="00AC5B15">
        <w:rPr>
          <w:rFonts w:ascii="Calibri" w:hAnsi="Calibri" w:cs="Calibri"/>
          <w:i/>
          <w:iCs/>
        </w:rPr>
        <w:t>h</w:t>
      </w:r>
      <w:r w:rsidR="002D286A">
        <w:rPr>
          <w:rFonts w:ascii="Calibri" w:hAnsi="Calibri" w:cs="Calibri"/>
          <w:i/>
          <w:iCs/>
        </w:rPr>
        <w:t xml:space="preserve">ealth </w:t>
      </w:r>
      <w:r w:rsidR="00AC5B15">
        <w:rPr>
          <w:rFonts w:ascii="Calibri" w:hAnsi="Calibri" w:cs="Calibri"/>
          <w:i/>
          <w:iCs/>
        </w:rPr>
        <w:t>p</w:t>
      </w:r>
      <w:r w:rsidR="002D286A">
        <w:rPr>
          <w:rFonts w:ascii="Calibri" w:hAnsi="Calibri" w:cs="Calibri"/>
          <w:i/>
          <w:iCs/>
        </w:rPr>
        <w:t xml:space="preserve">revalence </w:t>
      </w:r>
      <w:r w:rsidR="00AC5B15">
        <w:rPr>
          <w:rFonts w:ascii="Calibri" w:hAnsi="Calibri" w:cs="Calibri"/>
          <w:i/>
          <w:iCs/>
        </w:rPr>
        <w:t>r</w:t>
      </w:r>
      <w:r w:rsidRPr="00297F9F">
        <w:rPr>
          <w:rFonts w:ascii="Calibri" w:hAnsi="Calibri" w:cs="Calibri"/>
          <w:i/>
          <w:iCs/>
        </w:rPr>
        <w:t>eport</w:t>
      </w:r>
      <w:r w:rsidRPr="00297F9F">
        <w:rPr>
          <w:rFonts w:ascii="Calibri" w:hAnsi="Calibri" w:cs="Calibri"/>
        </w:rPr>
        <w:t xml:space="preserve">. Department of Veterans’ Affairs. </w:t>
      </w:r>
      <w:hyperlink r:id="rId111" w:history="1">
        <w:r w:rsidRPr="00615190">
          <w:rPr>
            <w:rStyle w:val="Hyperlink"/>
            <w:rFonts w:ascii="Calibri" w:hAnsi="Calibri" w:cs="Calibri"/>
          </w:rPr>
          <w:t>https://www.dva.gov.au/documents-and-publications/mental-health-prevalence-report</w:t>
        </w:r>
      </w:hyperlink>
    </w:p>
    <w:p w14:paraId="0BC25EFB" w14:textId="6400B41B" w:rsidR="00511DFB" w:rsidRDefault="00511DFB" w:rsidP="00D42A7B">
      <w:pPr>
        <w:autoSpaceDE w:val="0"/>
        <w:autoSpaceDN w:val="0"/>
        <w:adjustRightInd w:val="0"/>
        <w:spacing w:after="0"/>
        <w:ind w:left="357" w:hanging="357"/>
        <w:rPr>
          <w:rFonts w:ascii="Calibri" w:hAnsi="Calibri" w:cs="Calibri"/>
        </w:rPr>
      </w:pPr>
      <w:r w:rsidRPr="00297F9F">
        <w:rPr>
          <w:rFonts w:ascii="Calibri" w:hAnsi="Calibri" w:cs="Calibri"/>
        </w:rPr>
        <w:t xml:space="preserve">Varker, T., Forbes, D., Dell, L., Weston, A., Merlin, T., Hodson, S., &amp; O’Donnell, M. A. (2014). </w:t>
      </w:r>
      <w:r w:rsidRPr="00297F9F">
        <w:rPr>
          <w:rFonts w:ascii="Calibri" w:hAnsi="Calibri" w:cs="Calibri"/>
          <w:i/>
          <w:iCs/>
        </w:rPr>
        <w:t xml:space="preserve">A developer’s guide to undertaking Rapid Evidence Assessments (REAs). </w:t>
      </w:r>
      <w:r w:rsidRPr="00297F9F">
        <w:rPr>
          <w:rFonts w:ascii="Calibri" w:hAnsi="Calibri" w:cs="Calibri"/>
        </w:rPr>
        <w:t xml:space="preserve">Guide prepared for the Department of Veterans’ Affairs. Australian Centre for Posttraumatic Mental Health. </w:t>
      </w:r>
    </w:p>
    <w:p w14:paraId="26AB2202" w14:textId="653293D9" w:rsidR="00C44D69" w:rsidRDefault="00DD48A6" w:rsidP="00D42A7B">
      <w:pPr>
        <w:autoSpaceDE w:val="0"/>
        <w:autoSpaceDN w:val="0"/>
        <w:adjustRightInd w:val="0"/>
        <w:spacing w:after="0"/>
        <w:ind w:left="357" w:hanging="357"/>
        <w:rPr>
          <w:rFonts w:ascii="Calibri" w:hAnsi="Calibri" w:cs="Calibri"/>
        </w:rPr>
      </w:pPr>
      <w:r>
        <w:rPr>
          <w:rFonts w:ascii="Calibri" w:hAnsi="Calibri" w:cs="Calibri"/>
        </w:rPr>
        <w:t xml:space="preserve">Veritas Health Innovation. </w:t>
      </w:r>
      <w:r w:rsidR="00C44D69" w:rsidRPr="00297F9F">
        <w:rPr>
          <w:rFonts w:ascii="Calibri" w:hAnsi="Calibri" w:cs="Calibri"/>
        </w:rPr>
        <w:t xml:space="preserve">(n.d.). </w:t>
      </w:r>
      <w:r w:rsidR="00C44D69" w:rsidRPr="00DF739B">
        <w:rPr>
          <w:rFonts w:ascii="Calibri" w:hAnsi="Calibri" w:cs="Calibri"/>
          <w:i/>
        </w:rPr>
        <w:t>Covidence</w:t>
      </w:r>
      <w:r w:rsidR="00C44D69">
        <w:rPr>
          <w:rFonts w:ascii="Calibri" w:hAnsi="Calibri" w:cs="Calibri"/>
        </w:rPr>
        <w:t xml:space="preserve"> [Computer software]. </w:t>
      </w:r>
      <w:hyperlink r:id="rId112" w:history="1">
        <w:r w:rsidR="00C44D69" w:rsidRPr="00615190">
          <w:rPr>
            <w:rStyle w:val="Hyperlink"/>
            <w:rFonts w:ascii="Calibri" w:hAnsi="Calibri" w:cs="Calibri"/>
          </w:rPr>
          <w:t>https://www.covidence.org/</w:t>
        </w:r>
      </w:hyperlink>
    </w:p>
    <w:p w14:paraId="5D823A26" w14:textId="5530118E" w:rsidR="00150845" w:rsidRPr="00150845" w:rsidRDefault="00150845" w:rsidP="00D42A7B">
      <w:pPr>
        <w:autoSpaceDE w:val="0"/>
        <w:autoSpaceDN w:val="0"/>
        <w:adjustRightInd w:val="0"/>
        <w:spacing w:after="0"/>
        <w:ind w:left="357" w:hanging="357"/>
        <w:rPr>
          <w:rFonts w:ascii="Calibri" w:hAnsi="Calibri" w:cs="Calibri"/>
        </w:rPr>
      </w:pPr>
      <w:r w:rsidRPr="00150845">
        <w:rPr>
          <w:rFonts w:ascii="Calibri" w:hAnsi="Calibri" w:cs="Calibri"/>
        </w:rPr>
        <w:t>Vollenweider, F. X. (2001). Brain mechanisms of hallucinogens and entactogens. </w:t>
      </w:r>
      <w:r w:rsidRPr="00150845">
        <w:rPr>
          <w:rFonts w:ascii="Calibri" w:hAnsi="Calibri" w:cs="Calibri"/>
          <w:i/>
          <w:iCs/>
        </w:rPr>
        <w:t>Dialogues in Clinical Neuroscience</w:t>
      </w:r>
      <w:r w:rsidRPr="00150845">
        <w:rPr>
          <w:rFonts w:ascii="Calibri" w:hAnsi="Calibri" w:cs="Calibri"/>
        </w:rPr>
        <w:t>, </w:t>
      </w:r>
      <w:r w:rsidRPr="00150845">
        <w:rPr>
          <w:rFonts w:ascii="Calibri" w:hAnsi="Calibri" w:cs="Calibri"/>
          <w:i/>
          <w:iCs/>
        </w:rPr>
        <w:t>3</w:t>
      </w:r>
      <w:r w:rsidRPr="00150845">
        <w:rPr>
          <w:rFonts w:ascii="Calibri" w:hAnsi="Calibri" w:cs="Calibri"/>
        </w:rPr>
        <w:t>(4), 265</w:t>
      </w:r>
      <w:r w:rsidR="00785626">
        <w:rPr>
          <w:rFonts w:ascii="Calibri" w:hAnsi="Calibri" w:cs="Calibri"/>
        </w:rPr>
        <w:t>-</w:t>
      </w:r>
      <w:r w:rsidRPr="00150845">
        <w:rPr>
          <w:rFonts w:ascii="Calibri" w:hAnsi="Calibri" w:cs="Calibri"/>
        </w:rPr>
        <w:t xml:space="preserve">279. </w:t>
      </w:r>
      <w:hyperlink r:id="rId113" w:history="1">
        <w:r w:rsidRPr="00150845">
          <w:rPr>
            <w:rStyle w:val="Hyperlink"/>
            <w:rFonts w:ascii="Calibri" w:hAnsi="Calibri" w:cs="Calibri"/>
          </w:rPr>
          <w:t>https://doi.org/10.31887/dcns.2001.3.4/fxvollenweider</w:t>
        </w:r>
      </w:hyperlink>
    </w:p>
    <w:p w14:paraId="62AF221D" w14:textId="6896A030" w:rsidR="79663D29" w:rsidRDefault="79663D29" w:rsidP="00D42A7B">
      <w:pPr>
        <w:autoSpaceDE w:val="0"/>
        <w:autoSpaceDN w:val="0"/>
        <w:adjustRightInd w:val="0"/>
        <w:spacing w:after="0"/>
        <w:ind w:left="357" w:hanging="357"/>
        <w:rPr>
          <w:rFonts w:ascii="Calibri" w:eastAsia="Calibri" w:hAnsi="Calibri" w:cs="Calibri"/>
          <w:szCs w:val="20"/>
        </w:rPr>
      </w:pPr>
      <w:r w:rsidRPr="4C15A81F">
        <w:rPr>
          <w:rFonts w:ascii="Calibri" w:eastAsia="Calibri" w:hAnsi="Calibri" w:cs="Calibri"/>
          <w:color w:val="000000" w:themeColor="text1"/>
          <w:szCs w:val="20"/>
        </w:rPr>
        <w:t xml:space="preserve">Williams E. (2017). </w:t>
      </w:r>
      <w:r w:rsidR="00785626" w:rsidRPr="00785626">
        <w:rPr>
          <w:rFonts w:ascii="Calibri" w:eastAsia="Calibri" w:hAnsi="Calibri" w:cs="Calibri"/>
          <w:iCs/>
          <w:color w:val="000000" w:themeColor="text1"/>
          <w:szCs w:val="20"/>
        </w:rPr>
        <w:t>Towards b</w:t>
      </w:r>
      <w:r w:rsidRPr="00785626">
        <w:rPr>
          <w:rFonts w:ascii="Calibri" w:eastAsia="Calibri" w:hAnsi="Calibri" w:cs="Calibri"/>
          <w:iCs/>
          <w:color w:val="000000" w:themeColor="text1"/>
          <w:szCs w:val="20"/>
        </w:rPr>
        <w:t>reakth</w:t>
      </w:r>
      <w:r w:rsidR="00785626" w:rsidRPr="00785626">
        <w:rPr>
          <w:rFonts w:ascii="Calibri" w:eastAsia="Calibri" w:hAnsi="Calibri" w:cs="Calibri"/>
          <w:iCs/>
          <w:color w:val="000000" w:themeColor="text1"/>
          <w:szCs w:val="20"/>
        </w:rPr>
        <w:t>rough healing: A history and overview of clinical MDMA r</w:t>
      </w:r>
      <w:r w:rsidRPr="00785626">
        <w:rPr>
          <w:rFonts w:ascii="Calibri" w:eastAsia="Calibri" w:hAnsi="Calibri" w:cs="Calibri"/>
          <w:iCs/>
          <w:color w:val="000000" w:themeColor="text1"/>
          <w:szCs w:val="20"/>
        </w:rPr>
        <w:t>esearch</w:t>
      </w:r>
      <w:r w:rsidRPr="00785626">
        <w:rPr>
          <w:rFonts w:ascii="Calibri" w:eastAsia="Calibri" w:hAnsi="Calibri" w:cs="Calibri"/>
          <w:color w:val="000000" w:themeColor="text1"/>
          <w:szCs w:val="20"/>
        </w:rPr>
        <w:t>.</w:t>
      </w:r>
      <w:r w:rsidRPr="4C15A81F">
        <w:rPr>
          <w:rFonts w:ascii="Calibri" w:eastAsia="Calibri" w:hAnsi="Calibri" w:cs="Calibri"/>
          <w:color w:val="000000" w:themeColor="text1"/>
          <w:szCs w:val="20"/>
        </w:rPr>
        <w:t xml:space="preserve"> </w:t>
      </w:r>
      <w:r w:rsidRPr="00785626">
        <w:rPr>
          <w:rFonts w:ascii="Calibri" w:eastAsia="Calibri" w:hAnsi="Calibri" w:cs="Calibri"/>
          <w:i/>
          <w:color w:val="000000" w:themeColor="text1"/>
          <w:szCs w:val="20"/>
        </w:rPr>
        <w:t>MAPS Bulletin Spring</w:t>
      </w:r>
      <w:r w:rsidRPr="4C15A81F">
        <w:rPr>
          <w:rFonts w:ascii="Calibri" w:eastAsia="Calibri" w:hAnsi="Calibri" w:cs="Calibri"/>
          <w:color w:val="000000" w:themeColor="text1"/>
          <w:szCs w:val="20"/>
        </w:rPr>
        <w:t xml:space="preserve">. </w:t>
      </w:r>
      <w:hyperlink r:id="rId114" w:history="1">
        <w:r w:rsidRPr="4C15A81F">
          <w:rPr>
            <w:rStyle w:val="Hyperlink"/>
            <w:rFonts w:ascii="Calibri" w:eastAsia="Calibri" w:hAnsi="Calibri" w:cs="Calibri"/>
            <w:szCs w:val="20"/>
          </w:rPr>
          <w:t>https://maps.org/news/bulletin/towards-breakthrough-healing-a-history-and-overview-of-clinical-mdma-research-3/</w:t>
        </w:r>
      </w:hyperlink>
      <w:r w:rsidRPr="4C15A81F">
        <w:rPr>
          <w:rFonts w:ascii="Calibri" w:eastAsia="Calibri" w:hAnsi="Calibri" w:cs="Calibri"/>
          <w:color w:val="000000" w:themeColor="text1"/>
          <w:szCs w:val="20"/>
        </w:rPr>
        <w:t xml:space="preserve"> </w:t>
      </w:r>
      <w:r w:rsidRPr="4C15A81F">
        <w:rPr>
          <w:rFonts w:ascii="Calibri" w:eastAsia="Calibri" w:hAnsi="Calibri" w:cs="Calibri"/>
          <w:szCs w:val="20"/>
        </w:rPr>
        <w:t xml:space="preserve"> </w:t>
      </w:r>
    </w:p>
    <w:p w14:paraId="47D61555" w14:textId="1F123AF9" w:rsidR="00D52878" w:rsidRDefault="00511DFB" w:rsidP="00D42A7B">
      <w:pPr>
        <w:autoSpaceDE w:val="0"/>
        <w:autoSpaceDN w:val="0"/>
        <w:adjustRightInd w:val="0"/>
        <w:spacing w:after="0"/>
        <w:ind w:left="357" w:hanging="357"/>
        <w:rPr>
          <w:rStyle w:val="Hyperlink"/>
          <w:rFonts w:ascii="Calibri" w:hAnsi="Calibri" w:cs="Calibri"/>
        </w:rPr>
      </w:pPr>
      <w:r w:rsidRPr="00297F9F">
        <w:rPr>
          <w:rFonts w:ascii="Calibri" w:hAnsi="Calibri" w:cs="Calibri"/>
        </w:rPr>
        <w:lastRenderedPageBreak/>
        <w:t xml:space="preserve">World Health </w:t>
      </w:r>
      <w:r w:rsidR="003B66C6">
        <w:rPr>
          <w:rFonts w:ascii="Calibri" w:hAnsi="Calibri" w:cs="Calibri"/>
        </w:rPr>
        <w:t>Organization. (</w:t>
      </w:r>
      <w:r w:rsidRPr="00297F9F">
        <w:rPr>
          <w:rFonts w:ascii="Calibri" w:hAnsi="Calibri" w:cs="Calibri"/>
        </w:rPr>
        <w:t xml:space="preserve">2022). </w:t>
      </w:r>
      <w:r w:rsidR="00785626">
        <w:rPr>
          <w:rFonts w:ascii="Calibri" w:hAnsi="Calibri" w:cs="Calibri"/>
          <w:i/>
          <w:iCs/>
        </w:rPr>
        <w:t>International statistical classification of diseases and related health p</w:t>
      </w:r>
      <w:r w:rsidRPr="00297F9F">
        <w:rPr>
          <w:rFonts w:ascii="Calibri" w:hAnsi="Calibri" w:cs="Calibri"/>
          <w:i/>
          <w:iCs/>
        </w:rPr>
        <w:t>roblems (ICD)</w:t>
      </w:r>
      <w:r w:rsidRPr="00297F9F">
        <w:rPr>
          <w:rFonts w:ascii="Calibri" w:hAnsi="Calibri" w:cs="Calibri"/>
        </w:rPr>
        <w:t xml:space="preserve">. </w:t>
      </w:r>
      <w:hyperlink r:id="rId115" w:history="1">
        <w:r w:rsidRPr="00615190">
          <w:rPr>
            <w:rStyle w:val="Hyperlink"/>
            <w:rFonts w:ascii="Calibri" w:hAnsi="Calibri" w:cs="Calibri"/>
          </w:rPr>
          <w:t>https://www.who.int/classifications/classification-of-diseases</w:t>
        </w:r>
      </w:hyperlink>
    </w:p>
    <w:p w14:paraId="51717089" w14:textId="77777777" w:rsidR="00D52878" w:rsidRPr="00D52878" w:rsidRDefault="00D52878" w:rsidP="00D42A7B">
      <w:pPr>
        <w:autoSpaceDE w:val="0"/>
        <w:autoSpaceDN w:val="0"/>
        <w:adjustRightInd w:val="0"/>
        <w:spacing w:after="0"/>
        <w:ind w:left="357" w:hanging="357"/>
      </w:pPr>
      <w:r w:rsidRPr="00D52878">
        <w:t>Zıblak, A., Tumkaya, S., &amp; Kashyap, H. (2021). Transcrani̇al magneti̇c sti̇mulati̇on over orbi̇tofrontal cortex in obsessi̇ve compulsi̇ve di̇sorder: A double-blind placebo-controlled tri̇al</w:t>
      </w:r>
      <w:r w:rsidRPr="00D52878">
        <w:rPr>
          <w:i/>
          <w:iCs/>
        </w:rPr>
        <w:t>. Journal of Obsessive-Compulsive and Related Disorders, 31</w:t>
      </w:r>
      <w:r w:rsidR="002D286A">
        <w:t xml:space="preserve">, </w:t>
      </w:r>
      <w:r w:rsidR="004E722A">
        <w:t xml:space="preserve">Article </w:t>
      </w:r>
      <w:r w:rsidRPr="00D52878">
        <w:t xml:space="preserve">100687. </w:t>
      </w:r>
      <w:hyperlink r:id="rId116" w:history="1">
        <w:r w:rsidRPr="00D52878">
          <w:rPr>
            <w:rStyle w:val="Hyperlink"/>
          </w:rPr>
          <w:t>https://doi.org/10.1016/J.JOCRD.2021.100687</w:t>
        </w:r>
      </w:hyperlink>
    </w:p>
    <w:p w14:paraId="4ECE2433" w14:textId="752E0B2E" w:rsidR="00374ED7" w:rsidRDefault="00D52878" w:rsidP="00374ED7">
      <w:pPr>
        <w:pStyle w:val="Heading1"/>
      </w:pPr>
      <w:r>
        <w:br w:type="page"/>
      </w:r>
      <w:bookmarkStart w:id="256" w:name="_Toc121689341"/>
      <w:bookmarkStart w:id="257" w:name="_Toc151690841"/>
      <w:bookmarkStart w:id="258" w:name="_Toc165018222"/>
      <w:r w:rsidR="00374ED7">
        <w:lastRenderedPageBreak/>
        <w:t>Appendix 1: Best-Practice Guidelines for Rapid Reviews</w:t>
      </w:r>
      <w:bookmarkEnd w:id="256"/>
      <w:bookmarkEnd w:id="257"/>
      <w:bookmarkEnd w:id="258"/>
    </w:p>
    <w:tbl>
      <w:tblPr>
        <w:tblStyle w:val="GridTable4-Accent5"/>
        <w:tblW w:w="5000" w:type="pct"/>
        <w:tblLook w:val="04A0" w:firstRow="1" w:lastRow="0" w:firstColumn="1" w:lastColumn="0" w:noHBand="0" w:noVBand="1"/>
      </w:tblPr>
      <w:tblGrid>
        <w:gridCol w:w="9016"/>
      </w:tblGrid>
      <w:tr w:rsidR="00374ED7" w:rsidRPr="000A1891" w14:paraId="688F533E" w14:textId="77777777" w:rsidTr="00BC27CB">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Pr>
          <w:p w14:paraId="554F918B" w14:textId="77777777" w:rsidR="00374ED7" w:rsidRPr="000A1891" w:rsidRDefault="00374ED7" w:rsidP="004361E5">
            <w:pPr>
              <w:autoSpaceDE w:val="0"/>
              <w:autoSpaceDN w:val="0"/>
              <w:adjustRightInd w:val="0"/>
              <w:spacing w:after="0"/>
              <w:rPr>
                <w:rFonts w:cstheme="minorHAnsi"/>
                <w:szCs w:val="20"/>
              </w:rPr>
            </w:pPr>
            <w:r>
              <w:rPr>
                <w:rFonts w:cstheme="minorHAnsi"/>
                <w:szCs w:val="20"/>
              </w:rPr>
              <w:t>Cochrane Rapid Reviews Methods Group (RRMG) Recommendations (Garritty et al., 2021)</w:t>
            </w:r>
          </w:p>
        </w:tc>
      </w:tr>
      <w:tr w:rsidR="00374ED7" w:rsidRPr="000A1891" w14:paraId="12471535" w14:textId="77777777" w:rsidTr="004361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Pr>
          <w:p w14:paraId="5D7951E1" w14:textId="77777777" w:rsidR="00374ED7" w:rsidRPr="000A1891" w:rsidRDefault="00374ED7" w:rsidP="004361E5">
            <w:pPr>
              <w:autoSpaceDE w:val="0"/>
              <w:autoSpaceDN w:val="0"/>
              <w:adjustRightInd w:val="0"/>
              <w:spacing w:after="0"/>
              <w:rPr>
                <w:rFonts w:cstheme="minorHAnsi"/>
                <w:szCs w:val="20"/>
              </w:rPr>
            </w:pPr>
            <w:r w:rsidRPr="000A1891">
              <w:rPr>
                <w:rFonts w:cstheme="minorHAnsi"/>
                <w:szCs w:val="20"/>
              </w:rPr>
              <w:t>Setting the research question – topic refinement</w:t>
            </w:r>
          </w:p>
        </w:tc>
      </w:tr>
      <w:tr w:rsidR="00374ED7" w:rsidRPr="000A1891" w14:paraId="507671BA" w14:textId="77777777" w:rsidTr="004361E5">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4C055E61" w14:textId="77777777" w:rsidR="00374ED7" w:rsidRPr="000A1891" w:rsidRDefault="00374ED7" w:rsidP="00374ED7">
            <w:pPr>
              <w:pStyle w:val="ListParagraph"/>
              <w:numPr>
                <w:ilvl w:val="0"/>
                <w:numId w:val="16"/>
              </w:numPr>
              <w:jc w:val="both"/>
              <w:rPr>
                <w:rFonts w:cstheme="minorHAnsi"/>
                <w:b w:val="0"/>
                <w:szCs w:val="20"/>
              </w:rPr>
            </w:pPr>
            <w:r w:rsidRPr="000A1891">
              <w:rPr>
                <w:rFonts w:cstheme="minorHAnsi"/>
                <w:b w:val="0"/>
                <w:szCs w:val="20"/>
              </w:rPr>
              <w:t>Involve key stakeholders (e.g., review users such as consumers, health professionals, policymakers, decision-makers) to set and refine the review question, eligibility criteria, and the outcomes of interest. Consult with stakeholders throughout the process to ensure the research question is fit for purpose, and regarding any ad-hoc changes that may occur as the review progresses. (R1)</w:t>
            </w:r>
          </w:p>
          <w:p w14:paraId="05029E10" w14:textId="77777777" w:rsidR="00374ED7" w:rsidRPr="000A1891" w:rsidRDefault="00374ED7" w:rsidP="00374ED7">
            <w:pPr>
              <w:pStyle w:val="ListParagraph"/>
              <w:numPr>
                <w:ilvl w:val="0"/>
                <w:numId w:val="16"/>
              </w:numPr>
              <w:jc w:val="both"/>
              <w:rPr>
                <w:rFonts w:cstheme="minorHAnsi"/>
                <w:szCs w:val="20"/>
              </w:rPr>
            </w:pPr>
            <w:r w:rsidRPr="000A1891">
              <w:rPr>
                <w:rFonts w:cstheme="minorHAnsi"/>
                <w:b w:val="0"/>
                <w:szCs w:val="20"/>
              </w:rPr>
              <w:t>Develop a protocol that includes review questions, PICOS, and inclusion and exclusion criteria.</w:t>
            </w:r>
          </w:p>
        </w:tc>
      </w:tr>
      <w:tr w:rsidR="00374ED7" w:rsidRPr="000A1891" w14:paraId="714541C3" w14:textId="77777777" w:rsidTr="004361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Pr>
          <w:p w14:paraId="6AF5C2F6" w14:textId="77777777" w:rsidR="00374ED7" w:rsidRPr="000A1891" w:rsidRDefault="00374ED7" w:rsidP="004361E5">
            <w:pPr>
              <w:spacing w:after="0"/>
              <w:rPr>
                <w:rFonts w:cstheme="minorHAnsi"/>
                <w:szCs w:val="20"/>
              </w:rPr>
            </w:pPr>
            <w:r w:rsidRPr="000A1891">
              <w:rPr>
                <w:rFonts w:cstheme="minorHAnsi"/>
                <w:szCs w:val="20"/>
              </w:rPr>
              <w:t>Setting eligibility criteria</w:t>
            </w:r>
          </w:p>
        </w:tc>
      </w:tr>
      <w:tr w:rsidR="00374ED7" w:rsidRPr="000A1891" w14:paraId="5248C7A3" w14:textId="77777777" w:rsidTr="004361E5">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08F8D359" w14:textId="77777777" w:rsidR="00374ED7" w:rsidRPr="000A1891" w:rsidRDefault="00374ED7" w:rsidP="004361E5">
            <w:pPr>
              <w:spacing w:after="0"/>
              <w:jc w:val="both"/>
              <w:rPr>
                <w:rFonts w:cstheme="minorHAnsi"/>
                <w:b w:val="0"/>
                <w:szCs w:val="20"/>
              </w:rPr>
            </w:pPr>
            <w:r w:rsidRPr="000A1891">
              <w:rPr>
                <w:rFonts w:cstheme="minorHAnsi"/>
                <w:b w:val="0"/>
                <w:szCs w:val="20"/>
              </w:rPr>
              <w:t>Together with key stakeholders:</w:t>
            </w:r>
          </w:p>
          <w:p w14:paraId="4CD0BA66" w14:textId="77777777" w:rsidR="00374ED7" w:rsidRPr="000A1891" w:rsidRDefault="00374ED7" w:rsidP="00374ED7">
            <w:pPr>
              <w:pStyle w:val="ListParagraph"/>
              <w:numPr>
                <w:ilvl w:val="0"/>
                <w:numId w:val="16"/>
              </w:numPr>
              <w:jc w:val="both"/>
              <w:rPr>
                <w:rFonts w:cstheme="minorHAnsi"/>
                <w:b w:val="0"/>
                <w:szCs w:val="20"/>
              </w:rPr>
            </w:pPr>
            <w:r w:rsidRPr="000A1891">
              <w:rPr>
                <w:rFonts w:cstheme="minorHAnsi"/>
                <w:b w:val="0"/>
                <w:szCs w:val="20"/>
              </w:rPr>
              <w:t>Clearly define the population, intervention, comparator</w:t>
            </w:r>
            <w:r>
              <w:rPr>
                <w:rFonts w:cstheme="minorHAnsi"/>
                <w:b w:val="0"/>
                <w:szCs w:val="20"/>
              </w:rPr>
              <w:t>,</w:t>
            </w:r>
            <w:r w:rsidRPr="000A1891">
              <w:rPr>
                <w:rFonts w:cstheme="minorHAnsi"/>
                <w:b w:val="0"/>
                <w:szCs w:val="20"/>
              </w:rPr>
              <w:t xml:space="preserve"> and outcomes.</w:t>
            </w:r>
          </w:p>
          <w:p w14:paraId="7E8BB650" w14:textId="77777777" w:rsidR="00374ED7" w:rsidRPr="000A1891" w:rsidRDefault="00374ED7" w:rsidP="00374ED7">
            <w:pPr>
              <w:pStyle w:val="ListParagraph"/>
              <w:numPr>
                <w:ilvl w:val="1"/>
                <w:numId w:val="84"/>
              </w:numPr>
              <w:ind w:left="714" w:hanging="357"/>
              <w:jc w:val="both"/>
              <w:rPr>
                <w:rFonts w:cstheme="minorHAnsi"/>
                <w:b w:val="0"/>
                <w:szCs w:val="20"/>
              </w:rPr>
            </w:pPr>
            <w:r w:rsidRPr="000A1891">
              <w:rPr>
                <w:rFonts w:cstheme="minorHAnsi"/>
                <w:b w:val="0"/>
                <w:szCs w:val="20"/>
              </w:rPr>
              <w:t>Limit the number of interventions (R2) and comparators (R3).</w:t>
            </w:r>
          </w:p>
          <w:p w14:paraId="50DE2468" w14:textId="77777777" w:rsidR="00374ED7" w:rsidRPr="000A1891" w:rsidRDefault="00374ED7" w:rsidP="00374ED7">
            <w:pPr>
              <w:pStyle w:val="ListParagraph"/>
              <w:numPr>
                <w:ilvl w:val="1"/>
                <w:numId w:val="84"/>
              </w:numPr>
              <w:ind w:left="714" w:hanging="357"/>
              <w:jc w:val="both"/>
              <w:rPr>
                <w:rFonts w:cstheme="minorHAnsi"/>
                <w:b w:val="0"/>
                <w:szCs w:val="20"/>
              </w:rPr>
            </w:pPr>
            <w:r w:rsidRPr="000A1891">
              <w:rPr>
                <w:rFonts w:cstheme="minorHAnsi"/>
                <w:b w:val="0"/>
                <w:szCs w:val="20"/>
              </w:rPr>
              <w:t>Limit the number of outcomes, with a focus on those most important for decision-making. (R4)</w:t>
            </w:r>
          </w:p>
          <w:p w14:paraId="752781AB" w14:textId="77777777" w:rsidR="00374ED7" w:rsidRPr="000A1891" w:rsidRDefault="00374ED7" w:rsidP="00374ED7">
            <w:pPr>
              <w:pStyle w:val="ListParagraph"/>
              <w:numPr>
                <w:ilvl w:val="0"/>
                <w:numId w:val="16"/>
              </w:numPr>
              <w:jc w:val="both"/>
              <w:rPr>
                <w:rFonts w:cstheme="minorHAnsi"/>
                <w:b w:val="0"/>
                <w:szCs w:val="20"/>
              </w:rPr>
            </w:pPr>
            <w:r w:rsidRPr="000A1891">
              <w:rPr>
                <w:rFonts w:cstheme="minorHAnsi"/>
                <w:b w:val="0"/>
                <w:szCs w:val="20"/>
              </w:rPr>
              <w:t>Consider date restrictions with a clinical or methodological justification. (R5)</w:t>
            </w:r>
          </w:p>
          <w:p w14:paraId="07A67FCD" w14:textId="77777777" w:rsidR="00374ED7" w:rsidRPr="000A1891" w:rsidRDefault="00374ED7" w:rsidP="00374ED7">
            <w:pPr>
              <w:pStyle w:val="ListParagraph"/>
              <w:numPr>
                <w:ilvl w:val="0"/>
                <w:numId w:val="16"/>
              </w:numPr>
              <w:jc w:val="both"/>
              <w:rPr>
                <w:rFonts w:cstheme="minorHAnsi"/>
                <w:b w:val="0"/>
                <w:szCs w:val="20"/>
              </w:rPr>
            </w:pPr>
            <w:r w:rsidRPr="000A1891">
              <w:rPr>
                <w:rFonts w:cstheme="minorHAnsi"/>
                <w:b w:val="0"/>
                <w:szCs w:val="20"/>
              </w:rPr>
              <w:t>Setting restrictions are appropriate with justification provided. (R6)</w:t>
            </w:r>
          </w:p>
          <w:p w14:paraId="1981868F" w14:textId="77777777" w:rsidR="00374ED7" w:rsidRPr="000A1891" w:rsidRDefault="00374ED7" w:rsidP="00374ED7">
            <w:pPr>
              <w:pStyle w:val="ListParagraph"/>
              <w:numPr>
                <w:ilvl w:val="0"/>
                <w:numId w:val="16"/>
              </w:numPr>
              <w:jc w:val="both"/>
              <w:rPr>
                <w:rFonts w:cstheme="minorHAnsi"/>
                <w:b w:val="0"/>
                <w:szCs w:val="20"/>
              </w:rPr>
            </w:pPr>
            <w:r w:rsidRPr="000A1891">
              <w:rPr>
                <w:rFonts w:cstheme="minorHAnsi"/>
                <w:b w:val="0"/>
                <w:szCs w:val="20"/>
              </w:rPr>
              <w:t>Limit the publication language to English; add other languages only if justified. (R7)</w:t>
            </w:r>
          </w:p>
          <w:p w14:paraId="1913E070" w14:textId="77777777" w:rsidR="00374ED7" w:rsidRPr="000A1891" w:rsidRDefault="00374ED7" w:rsidP="00374ED7">
            <w:pPr>
              <w:pStyle w:val="ListParagraph"/>
              <w:numPr>
                <w:ilvl w:val="0"/>
                <w:numId w:val="16"/>
              </w:numPr>
              <w:jc w:val="both"/>
              <w:rPr>
                <w:rFonts w:cstheme="minorHAnsi"/>
                <w:b w:val="0"/>
                <w:szCs w:val="20"/>
              </w:rPr>
            </w:pPr>
            <w:r w:rsidRPr="000A1891">
              <w:rPr>
                <w:rFonts w:cstheme="minorHAnsi"/>
                <w:b w:val="0"/>
                <w:szCs w:val="20"/>
              </w:rPr>
              <w:t>Systematic reviews (SRs)</w:t>
            </w:r>
            <w:r w:rsidRPr="0076521F">
              <w:rPr>
                <w:rFonts w:cstheme="minorHAnsi"/>
                <w:b w:val="0"/>
                <w:szCs w:val="20"/>
                <w:vertAlign w:val="superscript"/>
              </w:rPr>
              <w:t xml:space="preserve">1 </w:t>
            </w:r>
            <w:r w:rsidRPr="000A1891">
              <w:rPr>
                <w:rFonts w:cstheme="minorHAnsi"/>
                <w:b w:val="0"/>
                <w:szCs w:val="20"/>
              </w:rPr>
              <w:t>should be considered a relevant study design for inclusion. (R8)</w:t>
            </w:r>
          </w:p>
          <w:p w14:paraId="2A95DCEA" w14:textId="77777777" w:rsidR="00374ED7" w:rsidRPr="000A1891" w:rsidRDefault="00374ED7" w:rsidP="00374ED7">
            <w:pPr>
              <w:pStyle w:val="ListParagraph"/>
              <w:numPr>
                <w:ilvl w:val="0"/>
                <w:numId w:val="16"/>
              </w:numPr>
              <w:jc w:val="both"/>
              <w:rPr>
                <w:rFonts w:cstheme="minorHAnsi"/>
                <w:szCs w:val="20"/>
              </w:rPr>
            </w:pPr>
            <w:r w:rsidRPr="000A1891">
              <w:rPr>
                <w:rFonts w:cstheme="minorHAnsi"/>
                <w:b w:val="0"/>
                <w:szCs w:val="20"/>
              </w:rPr>
              <w:t>Place emphasis on higher quality study designs (e.g., SRs or RCTs); consider a stepwise approach to study design inclusion. (R9)</w:t>
            </w:r>
          </w:p>
        </w:tc>
      </w:tr>
      <w:tr w:rsidR="00374ED7" w:rsidRPr="000A1891" w14:paraId="4EB47A73" w14:textId="77777777" w:rsidTr="004361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Pr>
          <w:p w14:paraId="4D1F8EC2" w14:textId="77777777" w:rsidR="00374ED7" w:rsidRPr="000A1891" w:rsidRDefault="00374ED7" w:rsidP="004361E5">
            <w:pPr>
              <w:autoSpaceDE w:val="0"/>
              <w:autoSpaceDN w:val="0"/>
              <w:adjustRightInd w:val="0"/>
              <w:spacing w:after="0"/>
              <w:rPr>
                <w:rFonts w:cstheme="minorHAnsi"/>
                <w:szCs w:val="20"/>
              </w:rPr>
            </w:pPr>
            <w:r w:rsidRPr="000A1891">
              <w:rPr>
                <w:rFonts w:cstheme="minorHAnsi"/>
                <w:szCs w:val="20"/>
              </w:rPr>
              <w:t>Searching</w:t>
            </w:r>
          </w:p>
        </w:tc>
      </w:tr>
      <w:tr w:rsidR="00374ED7" w:rsidRPr="000A1891" w14:paraId="382E2BD4" w14:textId="77777777" w:rsidTr="004361E5">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7CCA5CAC" w14:textId="77777777" w:rsidR="00374ED7" w:rsidRPr="000A1891" w:rsidRDefault="00374ED7" w:rsidP="00374ED7">
            <w:pPr>
              <w:pStyle w:val="ListParagraph"/>
              <w:numPr>
                <w:ilvl w:val="0"/>
                <w:numId w:val="16"/>
              </w:numPr>
              <w:jc w:val="both"/>
              <w:rPr>
                <w:rFonts w:cstheme="minorHAnsi"/>
                <w:b w:val="0"/>
                <w:szCs w:val="20"/>
              </w:rPr>
            </w:pPr>
            <w:r w:rsidRPr="000A1891">
              <w:rPr>
                <w:rFonts w:cstheme="minorHAnsi"/>
                <w:b w:val="0"/>
                <w:szCs w:val="20"/>
              </w:rPr>
              <w:t>Involve an information specialist.</w:t>
            </w:r>
          </w:p>
          <w:p w14:paraId="7A523CF3" w14:textId="77777777" w:rsidR="00374ED7" w:rsidRPr="000A1891" w:rsidRDefault="00374ED7" w:rsidP="00374ED7">
            <w:pPr>
              <w:pStyle w:val="ListParagraph"/>
              <w:numPr>
                <w:ilvl w:val="0"/>
                <w:numId w:val="16"/>
              </w:numPr>
              <w:jc w:val="both"/>
              <w:rPr>
                <w:rFonts w:cstheme="minorHAnsi"/>
                <w:b w:val="0"/>
                <w:szCs w:val="20"/>
              </w:rPr>
            </w:pPr>
            <w:r w:rsidRPr="000A1891">
              <w:rPr>
                <w:rFonts w:cstheme="minorHAnsi"/>
                <w:b w:val="0"/>
                <w:szCs w:val="20"/>
              </w:rPr>
              <w:t>Limit main database searching to CENTRAL, MEDLINE (e.g., via PubMed), and Embase (if available access). (R10)</w:t>
            </w:r>
          </w:p>
          <w:p w14:paraId="3FF929E4" w14:textId="77777777" w:rsidR="00374ED7" w:rsidRPr="000A1891" w:rsidRDefault="00374ED7" w:rsidP="00374ED7">
            <w:pPr>
              <w:pStyle w:val="ListParagraph"/>
              <w:numPr>
                <w:ilvl w:val="0"/>
                <w:numId w:val="16"/>
              </w:numPr>
              <w:jc w:val="both"/>
              <w:rPr>
                <w:rFonts w:cstheme="minorHAnsi"/>
                <w:b w:val="0"/>
                <w:szCs w:val="20"/>
              </w:rPr>
            </w:pPr>
            <w:r w:rsidRPr="000A1891">
              <w:rPr>
                <w:rFonts w:cstheme="minorHAnsi"/>
                <w:b w:val="0"/>
                <w:szCs w:val="20"/>
              </w:rPr>
              <w:t>Searching of specialized databases (e</w:t>
            </w:r>
            <w:r>
              <w:rPr>
                <w:rFonts w:cstheme="minorHAnsi"/>
                <w:b w:val="0"/>
                <w:szCs w:val="20"/>
              </w:rPr>
              <w:t>.g., PsycINFO</w:t>
            </w:r>
            <w:r w:rsidRPr="000A1891">
              <w:rPr>
                <w:rFonts w:cstheme="minorHAnsi"/>
                <w:b w:val="0"/>
                <w:szCs w:val="20"/>
              </w:rPr>
              <w:t xml:space="preserve"> and CINAHL) is recommended for certain topics but should be restricted to 1–2 additional sources or omitted if time and resources are limited. (R11)</w:t>
            </w:r>
          </w:p>
          <w:p w14:paraId="54C8F428" w14:textId="77777777" w:rsidR="00374ED7" w:rsidRPr="000A1891" w:rsidRDefault="00374ED7" w:rsidP="00374ED7">
            <w:pPr>
              <w:pStyle w:val="ListParagraph"/>
              <w:numPr>
                <w:ilvl w:val="0"/>
                <w:numId w:val="16"/>
              </w:numPr>
              <w:jc w:val="both"/>
              <w:rPr>
                <w:rFonts w:cstheme="minorHAnsi"/>
                <w:b w:val="0"/>
                <w:szCs w:val="20"/>
              </w:rPr>
            </w:pPr>
            <w:r w:rsidRPr="000A1891">
              <w:rPr>
                <w:rFonts w:cstheme="minorHAnsi"/>
                <w:b w:val="0"/>
                <w:szCs w:val="20"/>
              </w:rPr>
              <w:t>Consider peer review of at least one search strategy (e.g., MEDLINE). (R12)</w:t>
            </w:r>
          </w:p>
          <w:p w14:paraId="3C4B84B0" w14:textId="77777777" w:rsidR="00374ED7" w:rsidRPr="000A1891" w:rsidRDefault="00374ED7" w:rsidP="00374ED7">
            <w:pPr>
              <w:pStyle w:val="ListParagraph"/>
              <w:numPr>
                <w:ilvl w:val="0"/>
                <w:numId w:val="16"/>
              </w:numPr>
              <w:jc w:val="both"/>
              <w:rPr>
                <w:rFonts w:cstheme="minorHAnsi"/>
                <w:szCs w:val="20"/>
              </w:rPr>
            </w:pPr>
            <w:r>
              <w:rPr>
                <w:rFonts w:cstheme="minorHAnsi"/>
                <w:b w:val="0"/>
                <w:szCs w:val="20"/>
              </w:rPr>
              <w:t>Limit gre</w:t>
            </w:r>
            <w:r w:rsidRPr="000A1891">
              <w:rPr>
                <w:rFonts w:cstheme="minorHAnsi"/>
                <w:b w:val="0"/>
                <w:szCs w:val="20"/>
              </w:rPr>
              <w:t>y literature and supplemental searching (R13). If justified, search study registries and scan the reference lists of other SRs or included studies after screening of the abstracts and full</w:t>
            </w:r>
            <w:r>
              <w:rPr>
                <w:rFonts w:cstheme="minorHAnsi"/>
                <w:b w:val="0"/>
                <w:szCs w:val="20"/>
              </w:rPr>
              <w:t xml:space="preserve"> </w:t>
            </w:r>
            <w:r w:rsidRPr="000A1891">
              <w:rPr>
                <w:rFonts w:cstheme="minorHAnsi"/>
                <w:b w:val="0"/>
                <w:szCs w:val="20"/>
              </w:rPr>
              <w:t>texts.</w:t>
            </w:r>
          </w:p>
        </w:tc>
      </w:tr>
      <w:tr w:rsidR="00374ED7" w:rsidRPr="000A1891" w14:paraId="6134A7F6" w14:textId="77777777" w:rsidTr="004361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Pr>
          <w:p w14:paraId="5E544053" w14:textId="77777777" w:rsidR="00374ED7" w:rsidRPr="000A1891" w:rsidRDefault="00374ED7" w:rsidP="004361E5">
            <w:pPr>
              <w:autoSpaceDE w:val="0"/>
              <w:autoSpaceDN w:val="0"/>
              <w:adjustRightInd w:val="0"/>
              <w:spacing w:after="0"/>
              <w:rPr>
                <w:rFonts w:cstheme="minorHAnsi"/>
                <w:szCs w:val="20"/>
              </w:rPr>
            </w:pPr>
            <w:r w:rsidRPr="000A1891">
              <w:rPr>
                <w:rFonts w:cstheme="minorHAnsi"/>
                <w:szCs w:val="20"/>
              </w:rPr>
              <w:t>Study selection</w:t>
            </w:r>
          </w:p>
        </w:tc>
      </w:tr>
      <w:tr w:rsidR="00374ED7" w:rsidRPr="000A1891" w14:paraId="30F8EC4D" w14:textId="77777777" w:rsidTr="004361E5">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3C1C7337" w14:textId="77777777" w:rsidR="00374ED7" w:rsidRPr="000A1891" w:rsidRDefault="00374ED7" w:rsidP="00374ED7">
            <w:pPr>
              <w:pStyle w:val="ListParagraph"/>
              <w:numPr>
                <w:ilvl w:val="0"/>
                <w:numId w:val="16"/>
              </w:numPr>
              <w:jc w:val="both"/>
              <w:rPr>
                <w:rFonts w:cstheme="minorHAnsi"/>
                <w:b w:val="0"/>
                <w:szCs w:val="20"/>
              </w:rPr>
            </w:pPr>
            <w:r w:rsidRPr="000A1891">
              <w:rPr>
                <w:rFonts w:cstheme="minorHAnsi"/>
                <w:b w:val="0"/>
                <w:szCs w:val="20"/>
              </w:rPr>
              <w:t>Title and abstract screening</w:t>
            </w:r>
          </w:p>
          <w:p w14:paraId="2A7CDF92" w14:textId="77777777" w:rsidR="00374ED7" w:rsidRPr="000A1891" w:rsidRDefault="00374ED7" w:rsidP="00374ED7">
            <w:pPr>
              <w:pStyle w:val="ListParagraph"/>
              <w:numPr>
                <w:ilvl w:val="1"/>
                <w:numId w:val="85"/>
              </w:numPr>
              <w:ind w:left="714" w:hanging="357"/>
              <w:jc w:val="both"/>
              <w:rPr>
                <w:rFonts w:cstheme="minorHAnsi"/>
                <w:b w:val="0"/>
                <w:szCs w:val="20"/>
              </w:rPr>
            </w:pPr>
            <w:r w:rsidRPr="000A1891">
              <w:rPr>
                <w:rFonts w:cstheme="minorHAnsi"/>
                <w:b w:val="0"/>
                <w:szCs w:val="20"/>
              </w:rPr>
              <w:t>Using a standardized title and abstract form, conduct a p</w:t>
            </w:r>
            <w:r>
              <w:rPr>
                <w:rFonts w:cstheme="minorHAnsi"/>
                <w:b w:val="0"/>
                <w:szCs w:val="20"/>
              </w:rPr>
              <w:t>ilot exercise using the same 30-</w:t>
            </w:r>
            <w:r w:rsidRPr="000A1891">
              <w:rPr>
                <w:rFonts w:cstheme="minorHAnsi"/>
                <w:b w:val="0"/>
                <w:szCs w:val="20"/>
              </w:rPr>
              <w:t>50 abstracts for the entire screening team to calibrate and test the review form.</w:t>
            </w:r>
          </w:p>
          <w:p w14:paraId="1399AEAC" w14:textId="77777777" w:rsidR="00374ED7" w:rsidRPr="000A1891" w:rsidRDefault="00374ED7" w:rsidP="00374ED7">
            <w:pPr>
              <w:pStyle w:val="ListParagraph"/>
              <w:numPr>
                <w:ilvl w:val="1"/>
                <w:numId w:val="85"/>
              </w:numPr>
              <w:ind w:left="714" w:hanging="357"/>
              <w:jc w:val="both"/>
              <w:rPr>
                <w:rFonts w:cstheme="minorHAnsi"/>
                <w:b w:val="0"/>
                <w:szCs w:val="20"/>
              </w:rPr>
            </w:pPr>
            <w:r w:rsidRPr="000A1891">
              <w:rPr>
                <w:rFonts w:cstheme="minorHAnsi"/>
                <w:b w:val="0"/>
                <w:szCs w:val="20"/>
              </w:rPr>
              <w:t>Use two reviewers for dual screen of at least 20% (ideally more) of abstracts, with conflict resolution.</w:t>
            </w:r>
          </w:p>
          <w:p w14:paraId="09CEACAB" w14:textId="77777777" w:rsidR="00374ED7" w:rsidRPr="000A1891" w:rsidRDefault="00374ED7" w:rsidP="00374ED7">
            <w:pPr>
              <w:pStyle w:val="ListParagraph"/>
              <w:numPr>
                <w:ilvl w:val="1"/>
                <w:numId w:val="85"/>
              </w:numPr>
              <w:ind w:left="714" w:hanging="357"/>
              <w:jc w:val="both"/>
              <w:rPr>
                <w:rFonts w:cstheme="minorHAnsi"/>
                <w:b w:val="0"/>
                <w:szCs w:val="20"/>
              </w:rPr>
            </w:pPr>
            <w:r w:rsidRPr="000A1891">
              <w:rPr>
                <w:rFonts w:cstheme="minorHAnsi"/>
                <w:b w:val="0"/>
                <w:szCs w:val="20"/>
              </w:rPr>
              <w:t>Use one reviewer to screen the remaining abstracts and a second reviewer to screen all excluded abstracts, and if needed resolve conflicts. (R14)</w:t>
            </w:r>
          </w:p>
          <w:p w14:paraId="58C2C7BA" w14:textId="77777777" w:rsidR="00374ED7" w:rsidRPr="000A1891" w:rsidRDefault="00374ED7" w:rsidP="00374ED7">
            <w:pPr>
              <w:pStyle w:val="ListParagraph"/>
              <w:numPr>
                <w:ilvl w:val="0"/>
                <w:numId w:val="16"/>
              </w:numPr>
              <w:jc w:val="both"/>
              <w:rPr>
                <w:rFonts w:cstheme="minorHAnsi"/>
                <w:b w:val="0"/>
                <w:szCs w:val="20"/>
              </w:rPr>
            </w:pPr>
            <w:r w:rsidRPr="000A1891">
              <w:rPr>
                <w:rFonts w:cstheme="minorHAnsi"/>
                <w:b w:val="0"/>
                <w:szCs w:val="20"/>
              </w:rPr>
              <w:t>Full-text screening</w:t>
            </w:r>
          </w:p>
          <w:p w14:paraId="43751FD5" w14:textId="77777777" w:rsidR="00374ED7" w:rsidRPr="000A1891" w:rsidRDefault="00374ED7" w:rsidP="00374ED7">
            <w:pPr>
              <w:pStyle w:val="ListParagraph"/>
              <w:numPr>
                <w:ilvl w:val="1"/>
                <w:numId w:val="86"/>
              </w:numPr>
              <w:ind w:left="714" w:hanging="357"/>
              <w:jc w:val="both"/>
              <w:rPr>
                <w:rFonts w:cstheme="minorHAnsi"/>
                <w:b w:val="0"/>
                <w:szCs w:val="20"/>
              </w:rPr>
            </w:pPr>
            <w:r w:rsidRPr="000A1891">
              <w:rPr>
                <w:rFonts w:cstheme="minorHAnsi"/>
                <w:b w:val="0"/>
                <w:szCs w:val="20"/>
              </w:rPr>
              <w:t xml:space="preserve">Using a standardized full-text form, conduct a </w:t>
            </w:r>
            <w:r>
              <w:rPr>
                <w:rFonts w:cstheme="minorHAnsi"/>
                <w:b w:val="0"/>
                <w:szCs w:val="20"/>
              </w:rPr>
              <w:t>pilot exercise using the same 5-</w:t>
            </w:r>
            <w:r w:rsidRPr="000A1891">
              <w:rPr>
                <w:rFonts w:cstheme="minorHAnsi"/>
                <w:b w:val="0"/>
                <w:szCs w:val="20"/>
              </w:rPr>
              <w:t>10 full-text articles for the entire screening team to calibrate, and test the review form.</w:t>
            </w:r>
          </w:p>
          <w:p w14:paraId="7F53127B" w14:textId="77777777" w:rsidR="00374ED7" w:rsidRPr="000A1891" w:rsidRDefault="00374ED7" w:rsidP="00374ED7">
            <w:pPr>
              <w:pStyle w:val="ListParagraph"/>
              <w:numPr>
                <w:ilvl w:val="1"/>
                <w:numId w:val="86"/>
              </w:numPr>
              <w:ind w:left="714" w:hanging="357"/>
              <w:jc w:val="both"/>
              <w:rPr>
                <w:rFonts w:cstheme="minorHAnsi"/>
                <w:szCs w:val="20"/>
              </w:rPr>
            </w:pPr>
            <w:r w:rsidRPr="000A1891">
              <w:rPr>
                <w:rFonts w:cstheme="minorHAnsi"/>
                <w:b w:val="0"/>
                <w:szCs w:val="20"/>
              </w:rPr>
              <w:t>Use one reviewer to screen all included full-text articles and a second reviewer to screen all excluded full-text articles. (R15)</w:t>
            </w:r>
          </w:p>
        </w:tc>
      </w:tr>
      <w:tr w:rsidR="00374ED7" w:rsidRPr="000A1891" w14:paraId="5B39F058" w14:textId="77777777" w:rsidTr="004361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Pr>
          <w:p w14:paraId="588E03F0" w14:textId="77777777" w:rsidR="00374ED7" w:rsidRPr="000A1891" w:rsidRDefault="00374ED7" w:rsidP="004361E5">
            <w:pPr>
              <w:autoSpaceDE w:val="0"/>
              <w:autoSpaceDN w:val="0"/>
              <w:adjustRightInd w:val="0"/>
              <w:spacing w:after="0"/>
              <w:rPr>
                <w:rFonts w:cstheme="minorHAnsi"/>
                <w:szCs w:val="20"/>
              </w:rPr>
            </w:pPr>
            <w:r w:rsidRPr="000A1891">
              <w:rPr>
                <w:rFonts w:cstheme="minorHAnsi"/>
                <w:szCs w:val="20"/>
              </w:rPr>
              <w:t xml:space="preserve">Data extraction </w:t>
            </w:r>
          </w:p>
        </w:tc>
      </w:tr>
      <w:tr w:rsidR="00374ED7" w:rsidRPr="000A1891" w14:paraId="7312EF5E" w14:textId="77777777" w:rsidTr="004361E5">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58C637DC" w14:textId="77777777" w:rsidR="00374ED7" w:rsidRPr="000A1891" w:rsidRDefault="00374ED7" w:rsidP="00374ED7">
            <w:pPr>
              <w:pStyle w:val="ListParagraph"/>
              <w:numPr>
                <w:ilvl w:val="0"/>
                <w:numId w:val="16"/>
              </w:numPr>
              <w:jc w:val="both"/>
              <w:rPr>
                <w:rFonts w:cstheme="minorHAnsi"/>
                <w:b w:val="0"/>
                <w:szCs w:val="20"/>
              </w:rPr>
            </w:pPr>
            <w:r w:rsidRPr="000A1891">
              <w:rPr>
                <w:rFonts w:cstheme="minorHAnsi"/>
                <w:b w:val="0"/>
                <w:szCs w:val="20"/>
              </w:rPr>
              <w:t>Use a single reviewer to extract data using a piloted form. Use a second reviewer to check for correctness and completeness of extracted data. (R16)</w:t>
            </w:r>
          </w:p>
          <w:p w14:paraId="4759CF3C" w14:textId="77777777" w:rsidR="00374ED7" w:rsidRPr="000A1891" w:rsidRDefault="00374ED7" w:rsidP="00374ED7">
            <w:pPr>
              <w:pStyle w:val="ListParagraph"/>
              <w:numPr>
                <w:ilvl w:val="0"/>
                <w:numId w:val="16"/>
              </w:numPr>
              <w:jc w:val="both"/>
              <w:rPr>
                <w:rFonts w:cstheme="minorHAnsi"/>
                <w:b w:val="0"/>
                <w:szCs w:val="20"/>
              </w:rPr>
            </w:pPr>
            <w:r w:rsidRPr="000A1891">
              <w:rPr>
                <w:rFonts w:cstheme="minorHAnsi"/>
                <w:b w:val="0"/>
                <w:szCs w:val="20"/>
              </w:rPr>
              <w:t>Limit data extraction to a minimal set of required data items. (R17)</w:t>
            </w:r>
          </w:p>
          <w:p w14:paraId="5B70023E" w14:textId="77777777" w:rsidR="00374ED7" w:rsidRPr="000A1891" w:rsidRDefault="00374ED7" w:rsidP="00374ED7">
            <w:pPr>
              <w:pStyle w:val="ListParagraph"/>
              <w:numPr>
                <w:ilvl w:val="0"/>
                <w:numId w:val="16"/>
              </w:numPr>
              <w:jc w:val="both"/>
              <w:rPr>
                <w:rFonts w:cstheme="minorHAnsi"/>
                <w:b w:val="0"/>
                <w:szCs w:val="20"/>
              </w:rPr>
            </w:pPr>
            <w:r w:rsidRPr="000A1891">
              <w:rPr>
                <w:rFonts w:cstheme="minorHAnsi"/>
                <w:b w:val="0"/>
                <w:szCs w:val="20"/>
              </w:rPr>
              <w:t>Consider using data from existing SRs to reduce time spent on data extraction. (R18)</w:t>
            </w:r>
          </w:p>
        </w:tc>
      </w:tr>
      <w:tr w:rsidR="00374ED7" w:rsidRPr="000A1891" w14:paraId="1EA2B227" w14:textId="77777777" w:rsidTr="004361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Pr>
          <w:p w14:paraId="3875EA1A" w14:textId="77777777" w:rsidR="00374ED7" w:rsidRPr="000A1891" w:rsidRDefault="00374ED7" w:rsidP="004361E5">
            <w:pPr>
              <w:autoSpaceDE w:val="0"/>
              <w:autoSpaceDN w:val="0"/>
              <w:adjustRightInd w:val="0"/>
              <w:spacing w:after="0"/>
              <w:rPr>
                <w:rFonts w:cstheme="minorHAnsi"/>
                <w:szCs w:val="20"/>
              </w:rPr>
            </w:pPr>
            <w:r w:rsidRPr="000A1891">
              <w:rPr>
                <w:rFonts w:cstheme="minorHAnsi"/>
                <w:szCs w:val="20"/>
              </w:rPr>
              <w:t>Risk of bias assessment</w:t>
            </w:r>
          </w:p>
        </w:tc>
      </w:tr>
      <w:tr w:rsidR="00374ED7" w:rsidRPr="000A1891" w14:paraId="09AE89C3" w14:textId="77777777" w:rsidTr="004361E5">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62993950" w14:textId="77777777" w:rsidR="00374ED7" w:rsidRPr="000A1891" w:rsidRDefault="00374ED7" w:rsidP="00374ED7">
            <w:pPr>
              <w:pStyle w:val="ListParagraph"/>
              <w:numPr>
                <w:ilvl w:val="0"/>
                <w:numId w:val="16"/>
              </w:numPr>
              <w:jc w:val="both"/>
              <w:rPr>
                <w:rFonts w:cstheme="minorHAnsi"/>
                <w:b w:val="0"/>
                <w:szCs w:val="20"/>
              </w:rPr>
            </w:pPr>
            <w:r w:rsidRPr="000A1891">
              <w:rPr>
                <w:rFonts w:cstheme="minorHAnsi"/>
                <w:b w:val="0"/>
                <w:szCs w:val="20"/>
              </w:rPr>
              <w:t>Use a valid risk of bias tool, if available for the included study designs.</w:t>
            </w:r>
          </w:p>
          <w:p w14:paraId="2B38A647" w14:textId="77777777" w:rsidR="00374ED7" w:rsidRPr="000A1891" w:rsidRDefault="00374ED7" w:rsidP="00374ED7">
            <w:pPr>
              <w:pStyle w:val="ListParagraph"/>
              <w:numPr>
                <w:ilvl w:val="0"/>
                <w:numId w:val="16"/>
              </w:numPr>
              <w:jc w:val="both"/>
              <w:rPr>
                <w:rFonts w:cstheme="minorHAnsi"/>
                <w:b w:val="0"/>
                <w:szCs w:val="20"/>
              </w:rPr>
            </w:pPr>
            <w:r w:rsidRPr="000A1891">
              <w:rPr>
                <w:rFonts w:cstheme="minorHAnsi"/>
                <w:b w:val="0"/>
                <w:szCs w:val="20"/>
              </w:rPr>
              <w:t>Use a single reviewer to rate risk of bias, with full verification of all judgments (and support statements) by a second reviewer. (R19)</w:t>
            </w:r>
          </w:p>
          <w:p w14:paraId="374FC111" w14:textId="77777777" w:rsidR="00374ED7" w:rsidRPr="000A1891" w:rsidRDefault="00374ED7" w:rsidP="00374ED7">
            <w:pPr>
              <w:pStyle w:val="ListParagraph"/>
              <w:numPr>
                <w:ilvl w:val="0"/>
                <w:numId w:val="16"/>
              </w:numPr>
              <w:jc w:val="both"/>
              <w:rPr>
                <w:rFonts w:cstheme="minorHAnsi"/>
                <w:szCs w:val="20"/>
              </w:rPr>
            </w:pPr>
            <w:r w:rsidRPr="000A1891">
              <w:rPr>
                <w:rFonts w:cstheme="minorHAnsi"/>
                <w:b w:val="0"/>
                <w:szCs w:val="20"/>
              </w:rPr>
              <w:lastRenderedPageBreak/>
              <w:t>Limit risk of bias ratings to the most important outcomes, with a focus on those most important for decision-making. (R20)</w:t>
            </w:r>
          </w:p>
        </w:tc>
      </w:tr>
      <w:tr w:rsidR="00374ED7" w:rsidRPr="000A1891" w14:paraId="5F50992C" w14:textId="77777777" w:rsidTr="004361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Pr>
          <w:p w14:paraId="07E7B67D" w14:textId="77777777" w:rsidR="00374ED7" w:rsidRPr="000A1891" w:rsidRDefault="00374ED7" w:rsidP="004361E5">
            <w:pPr>
              <w:autoSpaceDE w:val="0"/>
              <w:autoSpaceDN w:val="0"/>
              <w:adjustRightInd w:val="0"/>
              <w:spacing w:after="0"/>
              <w:rPr>
                <w:rFonts w:cstheme="minorHAnsi"/>
                <w:szCs w:val="20"/>
              </w:rPr>
            </w:pPr>
            <w:r w:rsidRPr="000A1891">
              <w:rPr>
                <w:rFonts w:cstheme="minorHAnsi"/>
                <w:szCs w:val="20"/>
              </w:rPr>
              <w:lastRenderedPageBreak/>
              <w:t>Synthesis</w:t>
            </w:r>
          </w:p>
        </w:tc>
      </w:tr>
      <w:tr w:rsidR="00374ED7" w:rsidRPr="000A1891" w14:paraId="6EB0A189" w14:textId="77777777" w:rsidTr="004361E5">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32111CEE" w14:textId="77777777" w:rsidR="00374ED7" w:rsidRPr="000A1891" w:rsidRDefault="00374ED7" w:rsidP="00374ED7">
            <w:pPr>
              <w:pStyle w:val="ListParagraph"/>
              <w:numPr>
                <w:ilvl w:val="0"/>
                <w:numId w:val="16"/>
              </w:numPr>
              <w:jc w:val="both"/>
              <w:rPr>
                <w:rFonts w:cstheme="minorHAnsi"/>
                <w:b w:val="0"/>
                <w:szCs w:val="20"/>
              </w:rPr>
            </w:pPr>
            <w:r w:rsidRPr="000A1891">
              <w:rPr>
                <w:rFonts w:cstheme="minorHAnsi"/>
                <w:b w:val="0"/>
                <w:szCs w:val="20"/>
              </w:rPr>
              <w:t>Synthesize evidence narratively.</w:t>
            </w:r>
          </w:p>
          <w:p w14:paraId="558F982C" w14:textId="77777777" w:rsidR="00374ED7" w:rsidRPr="000A1891" w:rsidRDefault="00374ED7" w:rsidP="00374ED7">
            <w:pPr>
              <w:pStyle w:val="ListParagraph"/>
              <w:numPr>
                <w:ilvl w:val="0"/>
                <w:numId w:val="16"/>
              </w:numPr>
              <w:jc w:val="both"/>
              <w:rPr>
                <w:rFonts w:cstheme="minorHAnsi"/>
                <w:b w:val="0"/>
                <w:szCs w:val="20"/>
              </w:rPr>
            </w:pPr>
            <w:r w:rsidRPr="000A1891">
              <w:rPr>
                <w:rFonts w:cstheme="minorHAnsi"/>
                <w:b w:val="0"/>
                <w:szCs w:val="20"/>
              </w:rPr>
              <w:t>Consider a meta-analysis only if appropriate (i.e., studies are similar enough to pool). (R21) Standards for conducting a meta-analysis for an SR equally apply to an RR.</w:t>
            </w:r>
          </w:p>
          <w:p w14:paraId="00CDB54B" w14:textId="77777777" w:rsidR="00374ED7" w:rsidRPr="000A1891" w:rsidRDefault="00374ED7" w:rsidP="00374ED7">
            <w:pPr>
              <w:pStyle w:val="ListParagraph"/>
              <w:numPr>
                <w:ilvl w:val="0"/>
                <w:numId w:val="16"/>
              </w:numPr>
              <w:jc w:val="both"/>
              <w:rPr>
                <w:rFonts w:cstheme="minorHAnsi"/>
                <w:szCs w:val="20"/>
              </w:rPr>
            </w:pPr>
            <w:r w:rsidRPr="000A1891">
              <w:rPr>
                <w:rFonts w:cstheme="minorHAnsi"/>
                <w:b w:val="0"/>
                <w:szCs w:val="20"/>
              </w:rPr>
              <w:t>Use a single reviewer to grade the certainty of evidence, with verification of all judgments (and footnoted rationales) by a second reviewer. (R22)</w:t>
            </w:r>
          </w:p>
        </w:tc>
      </w:tr>
      <w:tr w:rsidR="00374ED7" w:rsidRPr="000A1891" w14:paraId="5C635F48" w14:textId="77777777" w:rsidTr="004361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Pr>
          <w:p w14:paraId="0931F3D1" w14:textId="77777777" w:rsidR="00374ED7" w:rsidRPr="000A1891" w:rsidRDefault="00374ED7" w:rsidP="004361E5">
            <w:pPr>
              <w:autoSpaceDE w:val="0"/>
              <w:autoSpaceDN w:val="0"/>
              <w:adjustRightInd w:val="0"/>
              <w:spacing w:after="0"/>
              <w:rPr>
                <w:rFonts w:cstheme="minorHAnsi"/>
                <w:szCs w:val="20"/>
              </w:rPr>
            </w:pPr>
            <w:r w:rsidRPr="000A1891">
              <w:rPr>
                <w:rFonts w:cstheme="minorHAnsi"/>
                <w:szCs w:val="20"/>
              </w:rPr>
              <w:t>Other considerations for Cochrane RRs</w:t>
            </w:r>
          </w:p>
        </w:tc>
      </w:tr>
      <w:tr w:rsidR="00374ED7" w:rsidRPr="000A1891" w14:paraId="19579AAD" w14:textId="77777777" w:rsidTr="004361E5">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6B4B3C7F" w14:textId="77777777" w:rsidR="00374ED7" w:rsidRPr="00836FF0" w:rsidRDefault="00374ED7" w:rsidP="00374ED7">
            <w:pPr>
              <w:pStyle w:val="ListParagraph"/>
              <w:numPr>
                <w:ilvl w:val="0"/>
                <w:numId w:val="16"/>
              </w:numPr>
              <w:rPr>
                <w:rFonts w:cstheme="minorHAnsi"/>
                <w:b w:val="0"/>
                <w:szCs w:val="20"/>
              </w:rPr>
            </w:pPr>
            <w:r w:rsidRPr="000A1891">
              <w:rPr>
                <w:rFonts w:cstheme="minorHAnsi"/>
                <w:b w:val="0"/>
                <w:szCs w:val="20"/>
              </w:rPr>
              <w:t>RRs should be preceded by a protocol submitted to and approved by Cochrane (R23)</w:t>
            </w:r>
            <w:r>
              <w:rPr>
                <w:rFonts w:cstheme="minorHAnsi"/>
                <w:b w:val="0"/>
                <w:szCs w:val="20"/>
              </w:rPr>
              <w:t>.</w:t>
            </w:r>
            <w:r w:rsidRPr="000A1891">
              <w:rPr>
                <w:rFonts w:cstheme="minorHAnsi"/>
                <w:b w:val="0"/>
                <w:szCs w:val="20"/>
              </w:rPr>
              <w:t xml:space="preserve"> </w:t>
            </w:r>
          </w:p>
          <w:p w14:paraId="405CD131" w14:textId="77777777" w:rsidR="00374ED7" w:rsidRPr="00836FF0" w:rsidRDefault="00374ED7" w:rsidP="00374ED7">
            <w:pPr>
              <w:pStyle w:val="ListParagraph"/>
              <w:numPr>
                <w:ilvl w:val="0"/>
                <w:numId w:val="16"/>
              </w:numPr>
              <w:rPr>
                <w:rFonts w:cstheme="minorHAnsi"/>
                <w:b w:val="0"/>
                <w:szCs w:val="20"/>
              </w:rPr>
            </w:pPr>
            <w:r>
              <w:rPr>
                <w:rFonts w:cstheme="minorHAnsi"/>
                <w:b w:val="0"/>
                <w:szCs w:val="20"/>
              </w:rPr>
              <w:t>T</w:t>
            </w:r>
            <w:r w:rsidRPr="000A1891">
              <w:rPr>
                <w:rFonts w:cstheme="minorHAnsi"/>
                <w:b w:val="0"/>
                <w:szCs w:val="20"/>
              </w:rPr>
              <w:t>he protocol should be published (e.g., PROSPERO or Open Science Framework) (R24)</w:t>
            </w:r>
            <w:r>
              <w:rPr>
                <w:rFonts w:cstheme="minorHAnsi"/>
                <w:b w:val="0"/>
                <w:szCs w:val="20"/>
              </w:rPr>
              <w:t>.</w:t>
            </w:r>
          </w:p>
          <w:p w14:paraId="43D224C9" w14:textId="77777777" w:rsidR="00374ED7" w:rsidRPr="00836FF0" w:rsidRDefault="00374ED7" w:rsidP="00374ED7">
            <w:pPr>
              <w:pStyle w:val="ListParagraph"/>
              <w:numPr>
                <w:ilvl w:val="0"/>
                <w:numId w:val="16"/>
              </w:numPr>
              <w:rPr>
                <w:rFonts w:cstheme="minorHAnsi"/>
                <w:b w:val="0"/>
                <w:szCs w:val="20"/>
              </w:rPr>
            </w:pPr>
            <w:r>
              <w:rPr>
                <w:rFonts w:cstheme="minorHAnsi"/>
                <w:b w:val="0"/>
                <w:szCs w:val="20"/>
              </w:rPr>
              <w:t>A</w:t>
            </w:r>
            <w:r w:rsidRPr="000A1891">
              <w:rPr>
                <w:rFonts w:cstheme="minorHAnsi"/>
                <w:b w:val="0"/>
                <w:szCs w:val="20"/>
              </w:rPr>
              <w:t>llow for post hoc changes to the protocol (eligibility criteria etc.) as part of an efficient and iterative process (R25)</w:t>
            </w:r>
            <w:r>
              <w:rPr>
                <w:rFonts w:cstheme="minorHAnsi"/>
                <w:b w:val="0"/>
                <w:szCs w:val="20"/>
              </w:rPr>
              <w:t>.</w:t>
            </w:r>
          </w:p>
          <w:p w14:paraId="6FDA00A5" w14:textId="77777777" w:rsidR="00374ED7" w:rsidRPr="000A1891" w:rsidRDefault="00374ED7" w:rsidP="00374ED7">
            <w:pPr>
              <w:pStyle w:val="ListParagraph"/>
              <w:numPr>
                <w:ilvl w:val="0"/>
                <w:numId w:val="16"/>
              </w:numPr>
              <w:rPr>
                <w:rFonts w:cstheme="minorHAnsi"/>
                <w:b w:val="0"/>
                <w:szCs w:val="20"/>
              </w:rPr>
            </w:pPr>
            <w:r>
              <w:rPr>
                <w:rFonts w:cstheme="minorHAnsi"/>
                <w:b w:val="0"/>
                <w:szCs w:val="20"/>
              </w:rPr>
              <w:t>D</w:t>
            </w:r>
            <w:r w:rsidRPr="000A1891">
              <w:rPr>
                <w:rFonts w:cstheme="minorHAnsi"/>
                <w:b w:val="0"/>
                <w:szCs w:val="20"/>
              </w:rPr>
              <w:t>ocument all post hoc changes; and incorporate use of online SR software (e.g., Covidence, DistillerSR, and EPPI-Reviewer) to streamline the process (R26).</w:t>
            </w:r>
          </w:p>
        </w:tc>
      </w:tr>
    </w:tbl>
    <w:p w14:paraId="50D5A581" w14:textId="77777777" w:rsidR="00374ED7" w:rsidRPr="00E04238" w:rsidRDefault="00374ED7" w:rsidP="00374ED7">
      <w:pPr>
        <w:spacing w:after="160"/>
        <w:rPr>
          <w:szCs w:val="20"/>
        </w:rPr>
        <w:sectPr w:rsidR="00374ED7" w:rsidRPr="00E04238" w:rsidSect="00AA7189">
          <w:pgSz w:w="11906" w:h="16838"/>
          <w:pgMar w:top="1440" w:right="1440" w:bottom="1440" w:left="1440" w:header="708" w:footer="708" w:gutter="0"/>
          <w:cols w:space="708"/>
          <w:docGrid w:linePitch="360"/>
        </w:sectPr>
      </w:pPr>
      <w:r w:rsidRPr="0076521F">
        <w:rPr>
          <w:szCs w:val="20"/>
        </w:rPr>
        <w:t>Source: Garritty et al. (2021</w:t>
      </w:r>
      <w:r>
        <w:rPr>
          <w:szCs w:val="20"/>
        </w:rPr>
        <w:t>, p. 17; Table 1)</w:t>
      </w:r>
      <w:r w:rsidRPr="0076521F">
        <w:rPr>
          <w:szCs w:val="20"/>
        </w:rPr>
        <w:t xml:space="preserve">. </w:t>
      </w:r>
      <w:r>
        <w:rPr>
          <w:rFonts w:cstheme="minorHAnsi"/>
          <w:szCs w:val="20"/>
        </w:rPr>
        <w:t>Notes:</w:t>
      </w:r>
      <w:r w:rsidRPr="0076521F">
        <w:rPr>
          <w:rFonts w:cstheme="minorHAnsi"/>
          <w:szCs w:val="20"/>
        </w:rPr>
        <w:t xml:space="preserve"> </w:t>
      </w:r>
      <w:r>
        <w:rPr>
          <w:rFonts w:cstheme="minorHAnsi"/>
          <w:szCs w:val="20"/>
        </w:rPr>
        <w:t xml:space="preserve">1. </w:t>
      </w:r>
      <w:r w:rsidRPr="0076521F">
        <w:rPr>
          <w:rFonts w:cstheme="minorHAnsi"/>
          <w:color w:val="000000"/>
          <w:szCs w:val="20"/>
        </w:rPr>
        <w:t>To be considered a systematic review (SR) for screening purposes, studies need to</w:t>
      </w:r>
      <w:r>
        <w:rPr>
          <w:rFonts w:cstheme="minorHAnsi"/>
          <w:color w:val="000000"/>
          <w:szCs w:val="20"/>
        </w:rPr>
        <w:t>:</w:t>
      </w:r>
      <w:r w:rsidRPr="0076521F">
        <w:rPr>
          <w:rFonts w:cstheme="minorHAnsi"/>
          <w:color w:val="000000"/>
          <w:szCs w:val="20"/>
        </w:rPr>
        <w:t xml:space="preserve"> clearly report inclusion/exclusion criteria; search at least two databases; conduct </w:t>
      </w:r>
      <w:r>
        <w:rPr>
          <w:rFonts w:cstheme="minorHAnsi"/>
          <w:color w:val="000000"/>
          <w:szCs w:val="20"/>
        </w:rPr>
        <w:t xml:space="preserve">a </w:t>
      </w:r>
      <w:r w:rsidRPr="0076521F">
        <w:rPr>
          <w:rFonts w:cstheme="minorHAnsi"/>
          <w:color w:val="000000"/>
          <w:szCs w:val="20"/>
        </w:rPr>
        <w:t>risk of bias assessment; and provide a list and synthesis of included studies.</w:t>
      </w:r>
    </w:p>
    <w:p w14:paraId="4DE4ADD5" w14:textId="77777777" w:rsidR="004B5CD8" w:rsidRDefault="004B5CD8" w:rsidP="004B5CD8">
      <w:pPr>
        <w:pStyle w:val="Heading1"/>
      </w:pPr>
      <w:bookmarkStart w:id="259" w:name="_Toc99653100"/>
      <w:bookmarkStart w:id="260" w:name="_Toc151690842"/>
      <w:bookmarkStart w:id="261" w:name="_Toc165018223"/>
      <w:bookmarkEnd w:id="255"/>
      <w:r w:rsidRPr="00E04238">
        <w:lastRenderedPageBreak/>
        <w:t>Appendix 2: Population, Intervention, Comparator, Outcome (PICO) Framework</w:t>
      </w:r>
      <w:bookmarkEnd w:id="259"/>
      <w:bookmarkEnd w:id="260"/>
      <w:bookmarkEnd w:id="261"/>
      <w:r w:rsidRPr="00E04238">
        <w:t xml:space="preserve"> </w:t>
      </w:r>
    </w:p>
    <w:tbl>
      <w:tblPr>
        <w:tblStyle w:val="GridTable5Dark-Accent5"/>
        <w:tblW w:w="0" w:type="auto"/>
        <w:tblLook w:val="04A0" w:firstRow="1" w:lastRow="0" w:firstColumn="1" w:lastColumn="0" w:noHBand="0" w:noVBand="1"/>
      </w:tblPr>
      <w:tblGrid>
        <w:gridCol w:w="1683"/>
        <w:gridCol w:w="7333"/>
      </w:tblGrid>
      <w:tr w:rsidR="004B5CD8" w:rsidRPr="009B4D43" w14:paraId="063ACC28" w14:textId="77777777" w:rsidTr="00290E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3" w:type="dxa"/>
          </w:tcPr>
          <w:p w14:paraId="58EDB49F" w14:textId="77777777" w:rsidR="004B5CD8" w:rsidRPr="009B4D43" w:rsidRDefault="004B5CD8" w:rsidP="004361E5">
            <w:pPr>
              <w:spacing w:after="60"/>
            </w:pPr>
            <w:r>
              <w:t>Review Question</w:t>
            </w:r>
          </w:p>
        </w:tc>
        <w:tc>
          <w:tcPr>
            <w:tcW w:w="7333" w:type="dxa"/>
          </w:tcPr>
          <w:p w14:paraId="32371559" w14:textId="77777777" w:rsidR="004B5CD8" w:rsidRPr="008A7F09" w:rsidRDefault="004B5CD8" w:rsidP="004361E5">
            <w:pPr>
              <w:spacing w:after="60"/>
              <w:cnfStyle w:val="100000000000" w:firstRow="1" w:lastRow="0" w:firstColumn="0" w:lastColumn="0" w:oddVBand="0" w:evenVBand="0" w:oddHBand="0" w:evenHBand="0" w:firstRowFirstColumn="0" w:firstRowLastColumn="0" w:lastRowFirstColumn="0" w:lastRowLastColumn="0"/>
              <w:rPr>
                <w:b w:val="0"/>
                <w:bCs w:val="0"/>
              </w:rPr>
            </w:pPr>
            <w:r w:rsidRPr="009B4D43">
              <w:t>What is the current evidence for emerging treatments for Posttraumatic Stress Disorder (PTSD) and common mental health conditions affecting veterans, including adjunct treatments?</w:t>
            </w:r>
          </w:p>
        </w:tc>
      </w:tr>
      <w:tr w:rsidR="004B5CD8" w:rsidRPr="009B4D43" w14:paraId="15E1D4C2" w14:textId="77777777" w:rsidTr="00436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dxa"/>
          </w:tcPr>
          <w:p w14:paraId="18B6BF53" w14:textId="77777777" w:rsidR="004B5CD8" w:rsidRPr="009B4D43" w:rsidRDefault="004B5CD8" w:rsidP="004361E5">
            <w:pPr>
              <w:spacing w:after="60"/>
            </w:pPr>
            <w:r w:rsidRPr="009B4D43">
              <w:t>Population (P)</w:t>
            </w:r>
          </w:p>
        </w:tc>
        <w:tc>
          <w:tcPr>
            <w:tcW w:w="7333" w:type="dxa"/>
          </w:tcPr>
          <w:p w14:paraId="35D68DBF" w14:textId="77777777" w:rsidR="004B5CD8" w:rsidRPr="008A7F09" w:rsidRDefault="004B5CD8" w:rsidP="004361E5">
            <w:pPr>
              <w:spacing w:after="60"/>
              <w:cnfStyle w:val="000000100000" w:firstRow="0" w:lastRow="0" w:firstColumn="0" w:lastColumn="0" w:oddVBand="0" w:evenVBand="0" w:oddHBand="1" w:evenHBand="0" w:firstRowFirstColumn="0" w:firstRowLastColumn="0" w:lastRowFirstColumn="0" w:lastRowLastColumn="0"/>
              <w:rPr>
                <w:b/>
                <w:bCs/>
              </w:rPr>
            </w:pPr>
            <w:r w:rsidRPr="00561860">
              <w:t>INCLUSION CRITERIA</w:t>
            </w:r>
            <w:r>
              <w:t>:</w:t>
            </w:r>
          </w:p>
          <w:p w14:paraId="0308B3E1" w14:textId="77777777" w:rsidR="004B5CD8" w:rsidRPr="009B4D43" w:rsidRDefault="004B5CD8" w:rsidP="004361E5">
            <w:pPr>
              <w:spacing w:after="60"/>
              <w:cnfStyle w:val="000000100000" w:firstRow="0" w:lastRow="0" w:firstColumn="0" w:lastColumn="0" w:oddVBand="0" w:evenVBand="0" w:oddHBand="1" w:evenHBand="0" w:firstRowFirstColumn="0" w:firstRowLastColumn="0" w:lastRowFirstColumn="0" w:lastRowLastColumn="0"/>
            </w:pPr>
            <w:r w:rsidRPr="009B4D43">
              <w:t>(i) Human studies.</w:t>
            </w:r>
          </w:p>
          <w:p w14:paraId="7FE969E5" w14:textId="77777777" w:rsidR="004B5CD8" w:rsidRPr="009B4D43" w:rsidRDefault="004B5CD8" w:rsidP="004361E5">
            <w:pPr>
              <w:spacing w:after="60"/>
              <w:cnfStyle w:val="000000100000" w:firstRow="0" w:lastRow="0" w:firstColumn="0" w:lastColumn="0" w:oddVBand="0" w:evenVBand="0" w:oddHBand="1" w:evenHBand="0" w:firstRowFirstColumn="0" w:firstRowLastColumn="0" w:lastRowFirstColumn="0" w:lastRowLastColumn="0"/>
            </w:pPr>
            <w:r w:rsidRPr="009B4D43">
              <w:t>(ii) Adults (18 years of age and o</w:t>
            </w:r>
            <w:r>
              <w:t>ver</w:t>
            </w:r>
            <w:r w:rsidRPr="009B4D43">
              <w:t>).</w:t>
            </w:r>
          </w:p>
          <w:p w14:paraId="38906803" w14:textId="77777777" w:rsidR="004B5CD8" w:rsidRPr="009B4D43" w:rsidRDefault="004B5CD8" w:rsidP="004361E5">
            <w:pPr>
              <w:spacing w:after="60"/>
              <w:cnfStyle w:val="000000100000" w:firstRow="0" w:lastRow="0" w:firstColumn="0" w:lastColumn="0" w:oddVBand="0" w:evenVBand="0" w:oddHBand="1" w:evenHBand="0" w:firstRowFirstColumn="0" w:firstRowLastColumn="0" w:lastRowFirstColumn="0" w:lastRowLastColumn="0"/>
            </w:pPr>
            <w:r w:rsidRPr="009B4D43">
              <w:t xml:space="preserve">(iii) Diagnosed with: </w:t>
            </w:r>
            <w:r>
              <w:t>a</w:t>
            </w:r>
            <w:r w:rsidRPr="009B4D43">
              <w:t xml:space="preserve">nxiety </w:t>
            </w:r>
            <w:r>
              <w:t>d</w:t>
            </w:r>
            <w:r w:rsidRPr="009B4D43">
              <w:t xml:space="preserve">isorder/s; </w:t>
            </w:r>
            <w:r>
              <w:t>m</w:t>
            </w:r>
            <w:r w:rsidRPr="009B4D43">
              <w:t xml:space="preserve">ood or </w:t>
            </w:r>
            <w:r>
              <w:t>d</w:t>
            </w:r>
            <w:r w:rsidRPr="009B4D43">
              <w:t xml:space="preserve">epressive </w:t>
            </w:r>
            <w:r>
              <w:t>d</w:t>
            </w:r>
            <w:r w:rsidRPr="009B4D43">
              <w:t xml:space="preserve">isorder/s; </w:t>
            </w:r>
            <w:r>
              <w:t>s</w:t>
            </w:r>
            <w:r w:rsidRPr="009B4D43">
              <w:t>ubstance-</w:t>
            </w:r>
            <w:r>
              <w:t>r</w:t>
            </w:r>
            <w:r w:rsidRPr="009B4D43">
              <w:t xml:space="preserve">elated and </w:t>
            </w:r>
            <w:r>
              <w:t>a</w:t>
            </w:r>
            <w:r w:rsidRPr="009B4D43">
              <w:t xml:space="preserve">ddictive </w:t>
            </w:r>
            <w:r>
              <w:t>d</w:t>
            </w:r>
            <w:r w:rsidRPr="009B4D43">
              <w:t xml:space="preserve">isorder/s; or </w:t>
            </w:r>
            <w:r>
              <w:t>t</w:t>
            </w:r>
            <w:r w:rsidRPr="009B4D43">
              <w:t xml:space="preserve">rauma- and </w:t>
            </w:r>
            <w:r>
              <w:t>s</w:t>
            </w:r>
            <w:r w:rsidRPr="009B4D43">
              <w:t>tressor-</w:t>
            </w:r>
            <w:r>
              <w:t>r</w:t>
            </w:r>
            <w:r w:rsidRPr="009B4D43">
              <w:t xml:space="preserve">elated </w:t>
            </w:r>
            <w:r>
              <w:t>d</w:t>
            </w:r>
            <w:r w:rsidRPr="009B4D43">
              <w:t>isorder/s.</w:t>
            </w:r>
          </w:p>
          <w:p w14:paraId="16F30233" w14:textId="77777777" w:rsidR="004B5CD8" w:rsidRPr="009B4D43" w:rsidRDefault="004B5CD8" w:rsidP="004361E5">
            <w:pPr>
              <w:spacing w:after="60"/>
              <w:cnfStyle w:val="000000100000" w:firstRow="0" w:lastRow="0" w:firstColumn="0" w:lastColumn="0" w:oddVBand="0" w:evenVBand="0" w:oddHBand="1" w:evenHBand="0" w:firstRowFirstColumn="0" w:firstRowLastColumn="0" w:lastRowFirstColumn="0" w:lastRowLastColumn="0"/>
            </w:pPr>
            <w:r w:rsidRPr="009B4D43">
              <w:t>(iv) Majority of the intervention sample has been diagnosed using the following classification systems: Diagnostic and Statistical Manual of Mental Disorders, Fourth Edition (DSM-IV), or Fifth Edition (DSM-5); or the International Classification of Diseases, 10th Revision (ICD-10), or 11th Revision (ICD-11).</w:t>
            </w:r>
          </w:p>
          <w:p w14:paraId="03A82078" w14:textId="77777777" w:rsidR="004B5CD8" w:rsidRPr="00561860" w:rsidRDefault="004B5CD8" w:rsidP="004361E5">
            <w:pPr>
              <w:spacing w:after="60"/>
              <w:cnfStyle w:val="000000100000" w:firstRow="0" w:lastRow="0" w:firstColumn="0" w:lastColumn="0" w:oddVBand="0" w:evenVBand="0" w:oddHBand="1" w:evenHBand="0" w:firstRowFirstColumn="0" w:firstRowLastColumn="0" w:lastRowFirstColumn="0" w:lastRowLastColumn="0"/>
            </w:pPr>
            <w:r w:rsidRPr="00561860">
              <w:t>EXCLUSION CRITERIA:</w:t>
            </w:r>
          </w:p>
          <w:p w14:paraId="63F24913" w14:textId="77777777" w:rsidR="004B5CD8" w:rsidRDefault="004B5CD8" w:rsidP="004361E5">
            <w:pPr>
              <w:spacing w:after="60"/>
              <w:jc w:val="both"/>
              <w:cnfStyle w:val="000000100000" w:firstRow="0" w:lastRow="0" w:firstColumn="0" w:lastColumn="0" w:oddVBand="0" w:evenVBand="0" w:oddHBand="1" w:evenHBand="0" w:firstRowFirstColumn="0" w:firstRowLastColumn="0" w:lastRowFirstColumn="0" w:lastRowLastColumn="0"/>
            </w:pPr>
            <w:r w:rsidRPr="009B4D43">
              <w:t xml:space="preserve">(i) </w:t>
            </w:r>
            <w:r>
              <w:t>Studies of human participants under 18 years of age.</w:t>
            </w:r>
          </w:p>
          <w:p w14:paraId="60EA418E" w14:textId="77777777" w:rsidR="004B5CD8" w:rsidRPr="009B4D43" w:rsidRDefault="004B5CD8" w:rsidP="004361E5">
            <w:pPr>
              <w:spacing w:after="60"/>
              <w:jc w:val="both"/>
              <w:cnfStyle w:val="000000100000" w:firstRow="0" w:lastRow="0" w:firstColumn="0" w:lastColumn="0" w:oddVBand="0" w:evenVBand="0" w:oddHBand="1" w:evenHBand="0" w:firstRowFirstColumn="0" w:firstRowLastColumn="0" w:lastRowFirstColumn="0" w:lastRowLastColumn="0"/>
            </w:pPr>
            <w:r w:rsidRPr="009B4D43">
              <w:t>(i</w:t>
            </w:r>
            <w:r>
              <w:t>i</w:t>
            </w:r>
            <w:r w:rsidRPr="009B4D43">
              <w:t>) Animal studies.</w:t>
            </w:r>
          </w:p>
        </w:tc>
      </w:tr>
      <w:tr w:rsidR="004B5CD8" w:rsidRPr="009B4D43" w14:paraId="5AF7BA6E" w14:textId="77777777" w:rsidTr="004361E5">
        <w:tc>
          <w:tcPr>
            <w:cnfStyle w:val="001000000000" w:firstRow="0" w:lastRow="0" w:firstColumn="1" w:lastColumn="0" w:oddVBand="0" w:evenVBand="0" w:oddHBand="0" w:evenHBand="0" w:firstRowFirstColumn="0" w:firstRowLastColumn="0" w:lastRowFirstColumn="0" w:lastRowLastColumn="0"/>
            <w:tcW w:w="1683" w:type="dxa"/>
          </w:tcPr>
          <w:p w14:paraId="13ABC6BC" w14:textId="77777777" w:rsidR="004B5CD8" w:rsidRPr="009B4D43" w:rsidRDefault="004B5CD8" w:rsidP="004361E5">
            <w:pPr>
              <w:spacing w:after="60"/>
            </w:pPr>
            <w:r w:rsidRPr="009B4D43">
              <w:t>Intervention/s (I)</w:t>
            </w:r>
          </w:p>
        </w:tc>
        <w:tc>
          <w:tcPr>
            <w:tcW w:w="7333" w:type="dxa"/>
          </w:tcPr>
          <w:p w14:paraId="3FF3CCE0" w14:textId="77777777" w:rsidR="004B5CD8" w:rsidRPr="009B4D43" w:rsidRDefault="004B5CD8" w:rsidP="004361E5">
            <w:pPr>
              <w:spacing w:after="60"/>
              <w:cnfStyle w:val="000000000000" w:firstRow="0" w:lastRow="0" w:firstColumn="0" w:lastColumn="0" w:oddVBand="0" w:evenVBand="0" w:oddHBand="0" w:evenHBand="0" w:firstRowFirstColumn="0" w:firstRowLastColumn="0" w:lastRowFirstColumn="0" w:lastRowLastColumn="0"/>
            </w:pPr>
            <w:r w:rsidRPr="009B4D43">
              <w:t xml:space="preserve">1. Stellate </w:t>
            </w:r>
            <w:r>
              <w:t>g</w:t>
            </w:r>
            <w:r w:rsidRPr="009B4D43">
              <w:t xml:space="preserve">anglion </w:t>
            </w:r>
            <w:r>
              <w:t>b</w:t>
            </w:r>
            <w:r w:rsidRPr="009B4D43">
              <w:t>lock</w:t>
            </w:r>
            <w:r>
              <w:t xml:space="preserve"> (SGB)</w:t>
            </w:r>
            <w:r w:rsidRPr="009B4D43">
              <w:t>.</w:t>
            </w:r>
          </w:p>
          <w:p w14:paraId="07077828" w14:textId="77777777" w:rsidR="004B5CD8" w:rsidRPr="009B4D43" w:rsidRDefault="004B5CD8" w:rsidP="004361E5">
            <w:pPr>
              <w:spacing w:after="60"/>
              <w:cnfStyle w:val="000000000000" w:firstRow="0" w:lastRow="0" w:firstColumn="0" w:lastColumn="0" w:oddVBand="0" w:evenVBand="0" w:oddHBand="0" w:evenHBand="0" w:firstRowFirstColumn="0" w:firstRowLastColumn="0" w:lastRowFirstColumn="0" w:lastRowLastColumn="0"/>
            </w:pPr>
            <w:r w:rsidRPr="009B4D43">
              <w:t xml:space="preserve">2. Psychedelic-assisted therapies; specifically: (i) </w:t>
            </w:r>
            <w:r>
              <w:t>k</w:t>
            </w:r>
            <w:r w:rsidRPr="009B4D43">
              <w:t xml:space="preserve">etamine; (ii) </w:t>
            </w:r>
            <w:r>
              <w:t>m</w:t>
            </w:r>
            <w:r w:rsidRPr="009B4D43">
              <w:t xml:space="preserve">ethylenedioxymethamphetamine (MDMA); (iii) </w:t>
            </w:r>
            <w:r>
              <w:t>l</w:t>
            </w:r>
            <w:r w:rsidRPr="009B4D43">
              <w:t xml:space="preserve">ysergic </w:t>
            </w:r>
            <w:r>
              <w:t>a</w:t>
            </w:r>
            <w:r w:rsidRPr="009B4D43">
              <w:t xml:space="preserve">cid </w:t>
            </w:r>
            <w:r>
              <w:t>d</w:t>
            </w:r>
            <w:r w:rsidRPr="009B4D43">
              <w:t xml:space="preserve">iethylamide (LSD); (iv) </w:t>
            </w:r>
            <w:r>
              <w:t>p</w:t>
            </w:r>
            <w:r w:rsidRPr="009B4D43">
              <w:t xml:space="preserve">silocybin; (v) </w:t>
            </w:r>
            <w:r>
              <w:t>d</w:t>
            </w:r>
            <w:r w:rsidRPr="009B4D43">
              <w:t>imethyltryptamine (DMT).</w:t>
            </w:r>
          </w:p>
          <w:p w14:paraId="449954A6" w14:textId="77777777" w:rsidR="004B5CD8" w:rsidRPr="009B4D43" w:rsidRDefault="004B5CD8" w:rsidP="004361E5">
            <w:pPr>
              <w:spacing w:after="60"/>
              <w:cnfStyle w:val="000000000000" w:firstRow="0" w:lastRow="0" w:firstColumn="0" w:lastColumn="0" w:oddVBand="0" w:evenVBand="0" w:oddHBand="0" w:evenHBand="0" w:firstRowFirstColumn="0" w:firstRowLastColumn="0" w:lastRowFirstColumn="0" w:lastRowLastColumn="0"/>
            </w:pPr>
            <w:r w:rsidRPr="009B4D43">
              <w:t xml:space="preserve">3. Medicinal cannabis; specifically: (i) </w:t>
            </w:r>
            <w:r>
              <w:t>c</w:t>
            </w:r>
            <w:r w:rsidRPr="009B4D43">
              <w:t xml:space="preserve">annabidiol (CBD); (ii) </w:t>
            </w:r>
            <w:r>
              <w:t>c</w:t>
            </w:r>
            <w:r w:rsidRPr="009B4D43">
              <w:t xml:space="preserve">annabinol (CBN); (iii) </w:t>
            </w:r>
            <w:r>
              <w:t>t</w:t>
            </w:r>
            <w:r w:rsidRPr="009B4D43">
              <w:t>etrahydrocannabinol (THC).</w:t>
            </w:r>
          </w:p>
          <w:p w14:paraId="49512E09" w14:textId="77777777" w:rsidR="004B5CD8" w:rsidRPr="009B4D43" w:rsidRDefault="004B5CD8" w:rsidP="004361E5">
            <w:pPr>
              <w:spacing w:after="60"/>
              <w:cnfStyle w:val="000000000000" w:firstRow="0" w:lastRow="0" w:firstColumn="0" w:lastColumn="0" w:oddVBand="0" w:evenVBand="0" w:oddHBand="0" w:evenHBand="0" w:firstRowFirstColumn="0" w:firstRowLastColumn="0" w:lastRowFirstColumn="0" w:lastRowLastColumn="0"/>
            </w:pPr>
            <w:r w:rsidRPr="009B4D43">
              <w:t>4. D-cycloserine</w:t>
            </w:r>
            <w:r>
              <w:t xml:space="preserve"> (DCS)</w:t>
            </w:r>
            <w:r w:rsidRPr="009B4D43">
              <w:t>.</w:t>
            </w:r>
          </w:p>
          <w:p w14:paraId="4A5FDEEB" w14:textId="77777777" w:rsidR="004B5CD8" w:rsidRPr="009B4D43" w:rsidRDefault="004B5CD8" w:rsidP="004361E5">
            <w:pPr>
              <w:spacing w:after="60"/>
              <w:cnfStyle w:val="000000000000" w:firstRow="0" w:lastRow="0" w:firstColumn="0" w:lastColumn="0" w:oddVBand="0" w:evenVBand="0" w:oddHBand="0" w:evenHBand="0" w:firstRowFirstColumn="0" w:firstRowLastColumn="0" w:lastRowFirstColumn="0" w:lastRowLastColumn="0"/>
            </w:pPr>
            <w:r w:rsidRPr="009B4D43">
              <w:t>5. Repeated transcranial magnetic stimulation (rTMS); including</w:t>
            </w:r>
            <w:r>
              <w:t xml:space="preserve"> t</w:t>
            </w:r>
            <w:r w:rsidRPr="009B4D43">
              <w:t>heta-burst stimulation (TBS).</w:t>
            </w:r>
          </w:p>
        </w:tc>
      </w:tr>
      <w:tr w:rsidR="004B5CD8" w:rsidRPr="009B4D43" w14:paraId="3B797860" w14:textId="77777777" w:rsidTr="00436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dxa"/>
          </w:tcPr>
          <w:p w14:paraId="6CB7FEBA" w14:textId="77777777" w:rsidR="004B5CD8" w:rsidRPr="009B4D43" w:rsidRDefault="004B5CD8" w:rsidP="004361E5">
            <w:pPr>
              <w:spacing w:after="60"/>
            </w:pPr>
            <w:r w:rsidRPr="009B4D43">
              <w:t>Comparator/s (C)</w:t>
            </w:r>
          </w:p>
        </w:tc>
        <w:tc>
          <w:tcPr>
            <w:tcW w:w="7333" w:type="dxa"/>
          </w:tcPr>
          <w:p w14:paraId="69B40D92" w14:textId="77777777" w:rsidR="004B5CD8" w:rsidRPr="009B4D43" w:rsidRDefault="004B5CD8" w:rsidP="004361E5">
            <w:pPr>
              <w:spacing w:after="60"/>
              <w:cnfStyle w:val="000000100000" w:firstRow="0" w:lastRow="0" w:firstColumn="0" w:lastColumn="0" w:oddVBand="0" w:evenVBand="0" w:oddHBand="1" w:evenHBand="0" w:firstRowFirstColumn="0" w:firstRowLastColumn="0" w:lastRowFirstColumn="0" w:lastRowLastColumn="0"/>
            </w:pPr>
            <w:r w:rsidRPr="009B4D43">
              <w:t>Interventions considered to be the most effective in treating the mental health condition/s of interest; including those listed as having Level I and Level II evidence (National Health and Medical Research Council, Australian Government) in extant clinical guidelines (e.g., the Australian Psychological Society, 2018).</w:t>
            </w:r>
          </w:p>
        </w:tc>
      </w:tr>
      <w:tr w:rsidR="004B5CD8" w:rsidRPr="009B4D43" w14:paraId="3A6BB796" w14:textId="77777777" w:rsidTr="004361E5">
        <w:tc>
          <w:tcPr>
            <w:cnfStyle w:val="001000000000" w:firstRow="0" w:lastRow="0" w:firstColumn="1" w:lastColumn="0" w:oddVBand="0" w:evenVBand="0" w:oddHBand="0" w:evenHBand="0" w:firstRowFirstColumn="0" w:firstRowLastColumn="0" w:lastRowFirstColumn="0" w:lastRowLastColumn="0"/>
            <w:tcW w:w="1683" w:type="dxa"/>
          </w:tcPr>
          <w:p w14:paraId="3E0BC8A7" w14:textId="77777777" w:rsidR="004B5CD8" w:rsidRPr="009B4D43" w:rsidRDefault="004B5CD8" w:rsidP="004361E5">
            <w:pPr>
              <w:spacing w:after="60"/>
            </w:pPr>
            <w:r w:rsidRPr="009B4D43">
              <w:t>Outcome/s</w:t>
            </w:r>
            <w:r>
              <w:t xml:space="preserve"> (O)</w:t>
            </w:r>
          </w:p>
        </w:tc>
        <w:tc>
          <w:tcPr>
            <w:tcW w:w="7333" w:type="dxa"/>
          </w:tcPr>
          <w:p w14:paraId="651D76F9" w14:textId="77777777" w:rsidR="004B5CD8" w:rsidRPr="00BB70AC" w:rsidRDefault="004B5CD8" w:rsidP="004361E5">
            <w:pPr>
              <w:spacing w:after="60"/>
              <w:cnfStyle w:val="000000000000" w:firstRow="0" w:lastRow="0" w:firstColumn="0" w:lastColumn="0" w:oddVBand="0" w:evenVBand="0" w:oddHBand="0" w:evenHBand="0" w:firstRowFirstColumn="0" w:firstRowLastColumn="0" w:lastRowFirstColumn="0" w:lastRowLastColumn="0"/>
            </w:pPr>
            <w:r w:rsidRPr="00BB70AC">
              <w:t>MAIN OUTCOMES:</w:t>
            </w:r>
          </w:p>
          <w:p w14:paraId="366A1329" w14:textId="77777777" w:rsidR="004B5CD8" w:rsidRPr="009B4D43" w:rsidRDefault="004B5CD8" w:rsidP="004361E5">
            <w:pPr>
              <w:spacing w:after="60"/>
              <w:cnfStyle w:val="000000000000" w:firstRow="0" w:lastRow="0" w:firstColumn="0" w:lastColumn="0" w:oddVBand="0" w:evenVBand="0" w:oddHBand="0" w:evenHBand="0" w:firstRowFirstColumn="0" w:firstRowLastColumn="0" w:lastRowFirstColumn="0" w:lastRowLastColumn="0"/>
            </w:pPr>
            <w:r w:rsidRPr="009B4D43">
              <w:t>(i) Symptom severity using a standardised clinician-rated or self-report instrument for the mental health condition/s of interest including generalisation/maintenance of gains/outcomes (i.e., pre-treatment/during/post-treatment and follow-up measures; as available).</w:t>
            </w:r>
          </w:p>
          <w:p w14:paraId="1E6DEA88" w14:textId="77777777" w:rsidR="004B5CD8" w:rsidRPr="009B4D43" w:rsidRDefault="004B5CD8" w:rsidP="004361E5">
            <w:pPr>
              <w:spacing w:after="60"/>
              <w:cnfStyle w:val="000000000000" w:firstRow="0" w:lastRow="0" w:firstColumn="0" w:lastColumn="0" w:oddVBand="0" w:evenVBand="0" w:oddHBand="0" w:evenHBand="0" w:firstRowFirstColumn="0" w:firstRowLastColumn="0" w:lastRowFirstColumn="0" w:lastRowLastColumn="0"/>
            </w:pPr>
            <w:r w:rsidRPr="009B4D43">
              <w:t>(ii) Global Assessment of Functioning (GAF).</w:t>
            </w:r>
          </w:p>
          <w:p w14:paraId="79CB26B0" w14:textId="77777777" w:rsidR="004B5CD8" w:rsidRPr="009B4D43" w:rsidRDefault="004B5CD8" w:rsidP="004361E5">
            <w:pPr>
              <w:spacing w:after="60"/>
              <w:cnfStyle w:val="000000000000" w:firstRow="0" w:lastRow="0" w:firstColumn="0" w:lastColumn="0" w:oddVBand="0" w:evenVBand="0" w:oddHBand="0" w:evenHBand="0" w:firstRowFirstColumn="0" w:firstRowLastColumn="0" w:lastRowFirstColumn="0" w:lastRowLastColumn="0"/>
            </w:pPr>
            <w:r w:rsidRPr="009B4D43">
              <w:t>(iii) Quality of Life (QoL) or Health-Related Quality of Life (HR-QoL).</w:t>
            </w:r>
          </w:p>
          <w:p w14:paraId="0198327D" w14:textId="77777777" w:rsidR="004B5CD8" w:rsidRPr="00BB70AC" w:rsidRDefault="004B5CD8" w:rsidP="004361E5">
            <w:pPr>
              <w:spacing w:after="60"/>
              <w:cnfStyle w:val="000000000000" w:firstRow="0" w:lastRow="0" w:firstColumn="0" w:lastColumn="0" w:oddVBand="0" w:evenVBand="0" w:oddHBand="0" w:evenHBand="0" w:firstRowFirstColumn="0" w:firstRowLastColumn="0" w:lastRowFirstColumn="0" w:lastRowLastColumn="0"/>
            </w:pPr>
            <w:r w:rsidRPr="00BB70AC">
              <w:t>ADDITIONAL OUTCOMES:</w:t>
            </w:r>
          </w:p>
          <w:p w14:paraId="46D5A553" w14:textId="77777777" w:rsidR="004B5CD8" w:rsidRPr="009B4D43" w:rsidRDefault="004B5CD8" w:rsidP="004361E5">
            <w:pPr>
              <w:spacing w:after="60"/>
              <w:cnfStyle w:val="000000000000" w:firstRow="0" w:lastRow="0" w:firstColumn="0" w:lastColumn="0" w:oddVBand="0" w:evenVBand="0" w:oddHBand="0" w:evenHBand="0" w:firstRowFirstColumn="0" w:firstRowLastColumn="0" w:lastRowFirstColumn="0" w:lastRowLastColumn="0"/>
            </w:pPr>
            <w:r w:rsidRPr="009B4D43">
              <w:t>(i) Rates of response (i.e., non-response or partial-response) to intervention/s.</w:t>
            </w:r>
          </w:p>
          <w:p w14:paraId="0D3438AC" w14:textId="77777777" w:rsidR="004B5CD8" w:rsidRPr="009B4D43" w:rsidRDefault="004B5CD8" w:rsidP="004361E5">
            <w:pPr>
              <w:spacing w:after="60"/>
              <w:cnfStyle w:val="000000000000" w:firstRow="0" w:lastRow="0" w:firstColumn="0" w:lastColumn="0" w:oddVBand="0" w:evenVBand="0" w:oddHBand="0" w:evenHBand="0" w:firstRowFirstColumn="0" w:firstRowLastColumn="0" w:lastRowFirstColumn="0" w:lastRowLastColumn="0"/>
            </w:pPr>
            <w:r w:rsidRPr="009B4D43">
              <w:t>(ii) Rates of remission (i.e., partial or full remission) of mental health condition/s.</w:t>
            </w:r>
          </w:p>
          <w:p w14:paraId="276EE36C" w14:textId="77777777" w:rsidR="004B5CD8" w:rsidRPr="009B4D43" w:rsidRDefault="004B5CD8" w:rsidP="004361E5">
            <w:pPr>
              <w:spacing w:after="60"/>
              <w:cnfStyle w:val="000000000000" w:firstRow="0" w:lastRow="0" w:firstColumn="0" w:lastColumn="0" w:oddVBand="0" w:evenVBand="0" w:oddHBand="0" w:evenHBand="0" w:firstRowFirstColumn="0" w:firstRowLastColumn="0" w:lastRowFirstColumn="0" w:lastRowLastColumn="0"/>
            </w:pPr>
            <w:r w:rsidRPr="009B4D43">
              <w:t>(iii) Rates of relapse (i.e., return of symptoms) or recurrence (i.e., new episode) of mental health condition/s.</w:t>
            </w:r>
          </w:p>
          <w:p w14:paraId="64175DE7" w14:textId="77777777" w:rsidR="004B5CD8" w:rsidRPr="009B4D43" w:rsidRDefault="004B5CD8" w:rsidP="004361E5">
            <w:pPr>
              <w:spacing w:after="60"/>
              <w:cnfStyle w:val="000000000000" w:firstRow="0" w:lastRow="0" w:firstColumn="0" w:lastColumn="0" w:oddVBand="0" w:evenVBand="0" w:oddHBand="0" w:evenHBand="0" w:firstRowFirstColumn="0" w:firstRowLastColumn="0" w:lastRowFirstColumn="0" w:lastRowLastColumn="0"/>
            </w:pPr>
            <w:r w:rsidRPr="009B4D43">
              <w:t>(iv) Serious adverse events.</w:t>
            </w:r>
          </w:p>
          <w:p w14:paraId="6F7A658B" w14:textId="77777777" w:rsidR="004B5CD8" w:rsidRPr="009B4D43" w:rsidRDefault="004B5CD8" w:rsidP="004361E5">
            <w:pPr>
              <w:spacing w:after="60"/>
              <w:cnfStyle w:val="000000000000" w:firstRow="0" w:lastRow="0" w:firstColumn="0" w:lastColumn="0" w:oddVBand="0" w:evenVBand="0" w:oddHBand="0" w:evenHBand="0" w:firstRowFirstColumn="0" w:firstRowLastColumn="0" w:lastRowFirstColumn="0" w:lastRowLastColumn="0"/>
            </w:pPr>
            <w:r w:rsidRPr="009B4D43">
              <w:t>(v) Retention/dropout rates.</w:t>
            </w:r>
          </w:p>
          <w:p w14:paraId="459684A6" w14:textId="77777777" w:rsidR="004B5CD8" w:rsidRPr="009B4D43" w:rsidRDefault="004B5CD8" w:rsidP="004361E5">
            <w:pPr>
              <w:spacing w:after="60"/>
              <w:cnfStyle w:val="000000000000" w:firstRow="0" w:lastRow="0" w:firstColumn="0" w:lastColumn="0" w:oddVBand="0" w:evenVBand="0" w:oddHBand="0" w:evenHBand="0" w:firstRowFirstColumn="0" w:firstRowLastColumn="0" w:lastRowFirstColumn="0" w:lastRowLastColumn="0"/>
            </w:pPr>
            <w:r w:rsidRPr="009B4D43">
              <w:t>(vi) Cost-effectiveness of intervention/s (as available).</w:t>
            </w:r>
          </w:p>
        </w:tc>
      </w:tr>
    </w:tbl>
    <w:p w14:paraId="516EC2D1" w14:textId="77777777" w:rsidR="004B5CD8" w:rsidRPr="00E04238" w:rsidRDefault="004B5CD8" w:rsidP="004B5CD8"/>
    <w:p w14:paraId="4FF77EEA" w14:textId="53784A03" w:rsidR="00BB0D21" w:rsidRPr="009B4D43" w:rsidRDefault="00BB0D21" w:rsidP="00BB0D21">
      <w:pPr>
        <w:pStyle w:val="Heading1"/>
      </w:pPr>
      <w:bookmarkStart w:id="262" w:name="_Toc165018224"/>
      <w:r w:rsidRPr="009B4D43">
        <w:lastRenderedPageBreak/>
        <w:t>Appendix 3: Search Strategy (PubMed)</w:t>
      </w:r>
      <w:bookmarkEnd w:id="262"/>
    </w:p>
    <w:p w14:paraId="64CCB80A" w14:textId="1F49A62C" w:rsidR="00BB0D21" w:rsidRPr="009B4D43" w:rsidRDefault="00BB0D21" w:rsidP="005C7310">
      <w:pPr>
        <w:pStyle w:val="Heading2"/>
        <w:jc w:val="both"/>
        <w:rPr>
          <w:rFonts w:eastAsia="Times New Roman"/>
          <w:lang w:eastAsia="en-AU"/>
        </w:rPr>
      </w:pPr>
      <w:bookmarkStart w:id="263" w:name="_Toc101536693"/>
      <w:bookmarkStart w:id="264" w:name="_Toc103944906"/>
      <w:bookmarkStart w:id="265" w:name="_Toc121096117"/>
      <w:bookmarkStart w:id="266" w:name="_Toc165018225"/>
      <w:bookmarkStart w:id="267" w:name="_Toc96361261"/>
      <w:bookmarkStart w:id="268" w:name="_Toc99653102"/>
      <w:r w:rsidRPr="009B4D43">
        <w:rPr>
          <w:rFonts w:eastAsia="Times New Roman"/>
          <w:lang w:eastAsia="en-AU"/>
        </w:rPr>
        <w:t xml:space="preserve">Search string: </w:t>
      </w:r>
      <w:r w:rsidR="002F5877" w:rsidRPr="009B4D43">
        <w:rPr>
          <w:rFonts w:eastAsia="Times New Roman"/>
          <w:lang w:eastAsia="en-AU"/>
        </w:rPr>
        <w:t xml:space="preserve">Medicinal cannabis </w:t>
      </w:r>
      <w:r w:rsidRPr="009B4D43">
        <w:rPr>
          <w:rFonts w:eastAsia="Times New Roman"/>
          <w:lang w:eastAsia="en-AU"/>
        </w:rPr>
        <w:t>interventions</w:t>
      </w:r>
      <w:bookmarkEnd w:id="263"/>
      <w:bookmarkEnd w:id="264"/>
      <w:bookmarkEnd w:id="265"/>
      <w:bookmarkEnd w:id="266"/>
    </w:p>
    <w:p w14:paraId="21879F8D" w14:textId="7625485D" w:rsidR="002F5877" w:rsidRPr="009B4D43" w:rsidRDefault="002F5877" w:rsidP="005C7310">
      <w:pPr>
        <w:jc w:val="both"/>
        <w:rPr>
          <w:lang w:eastAsia="en-AU"/>
        </w:rPr>
      </w:pPr>
      <w:r w:rsidRPr="009B4D43">
        <w:rPr>
          <w:b/>
          <w:bCs/>
        </w:rPr>
        <w:t>(</w:t>
      </w:r>
      <w:r w:rsidRPr="00F62917">
        <w:rPr>
          <w:rFonts w:eastAsia="Times New Roman"/>
          <w:color w:val="4472C4" w:themeColor="accent5"/>
          <w:lang w:eastAsia="en-AU"/>
        </w:rPr>
        <w:t>"Medical Marijuana"[Mesh] OR "Cannabinoids"[Mesh]</w:t>
      </w:r>
      <w:r w:rsidRPr="009B4D43">
        <w:rPr>
          <w:rFonts w:eastAsia="Times New Roman"/>
          <w:color w:val="0070C0"/>
          <w:lang w:eastAsia="en-AU"/>
        </w:rPr>
        <w:t xml:space="preserve"> </w:t>
      </w:r>
      <w:r w:rsidRPr="009B4D43">
        <w:rPr>
          <w:rFonts w:eastAsia="Times New Roman"/>
          <w:lang w:eastAsia="en-AU"/>
        </w:rPr>
        <w:t>OR “medical cannabis”[tiab] OR “medicinal cannabis”[tiab] OR “medical marijuana”[tiab] OR “medicinal marijuana”[tiab] OR “synthetic cannabis”[tiab] OR “cannabinoids”[tiab] OR “cannabinoid”[tiab] OR “c</w:t>
      </w:r>
      <w:r w:rsidRPr="009B4D43">
        <w:t>annabidiol”[tiab] OR “cannabinol”[tiab] OR “tetrahydrocannabinol”[tiab]</w:t>
      </w:r>
      <w:r w:rsidRPr="009B4D43">
        <w:rPr>
          <w:rFonts w:eastAsia="Times New Roman"/>
          <w:b/>
          <w:bCs/>
          <w:lang w:eastAsia="en-AU"/>
        </w:rPr>
        <w:t>)</w:t>
      </w:r>
    </w:p>
    <w:p w14:paraId="5A8C40B4" w14:textId="77777777" w:rsidR="00D43A86" w:rsidRDefault="00D43A86" w:rsidP="00D43A86">
      <w:pPr>
        <w:pStyle w:val="Heading2"/>
        <w:jc w:val="both"/>
      </w:pPr>
      <w:bookmarkStart w:id="269" w:name="_Toc102037446"/>
      <w:bookmarkStart w:id="270" w:name="_Toc102143274"/>
      <w:bookmarkStart w:id="271" w:name="_Toc121689345"/>
      <w:bookmarkStart w:id="272" w:name="_Toc165018226"/>
      <w:bookmarkStart w:id="273" w:name="_Toc101536694"/>
      <w:bookmarkStart w:id="274" w:name="_Toc103944907"/>
      <w:bookmarkStart w:id="275" w:name="_Toc121096118"/>
      <w:r>
        <w:t>Search string: Common mental health conditions affecting veterans</w:t>
      </w:r>
      <w:bookmarkEnd w:id="269"/>
      <w:bookmarkEnd w:id="270"/>
      <w:bookmarkEnd w:id="271"/>
      <w:bookmarkEnd w:id="272"/>
    </w:p>
    <w:p w14:paraId="519B2F1A" w14:textId="77777777" w:rsidR="00D43A86" w:rsidRPr="008A7F09" w:rsidRDefault="00D43A86" w:rsidP="00D43A86">
      <w:pPr>
        <w:jc w:val="both"/>
        <w:rPr>
          <w:rFonts w:eastAsia="Times New Roman"/>
          <w:color w:val="5B9BD5" w:themeColor="accent1"/>
          <w:lang w:eastAsia="en-AU"/>
        </w:rPr>
      </w:pPr>
      <w:r>
        <w:rPr>
          <w:rFonts w:eastAsia="Times New Roman"/>
          <w:b/>
          <w:bCs/>
          <w:color w:val="000000" w:themeColor="text1"/>
          <w:lang w:eastAsia="en-AU"/>
        </w:rPr>
        <w:t xml:space="preserve">AND </w:t>
      </w:r>
      <w:r w:rsidRPr="008B136B">
        <w:rPr>
          <w:rFonts w:eastAsia="Times New Roman"/>
          <w:b/>
          <w:bCs/>
          <w:color w:val="000000" w:themeColor="text1"/>
          <w:lang w:eastAsia="en-AU"/>
        </w:rPr>
        <w:t>(</w:t>
      </w:r>
      <w:r w:rsidRPr="0062081D">
        <w:rPr>
          <w:rFonts w:eastAsia="Times New Roman"/>
          <w:color w:val="0070C0"/>
          <w:lang w:eastAsia="en-AU"/>
        </w:rPr>
        <w:t>“</w:t>
      </w:r>
      <w:r w:rsidRPr="00F62917">
        <w:rPr>
          <w:rFonts w:eastAsia="Times New Roman"/>
          <w:color w:val="4472C4" w:themeColor="accent5"/>
          <w:lang w:eastAsia="en-AU"/>
        </w:rPr>
        <w:t>Trauma</w:t>
      </w:r>
      <w:r w:rsidRPr="0062081D">
        <w:rPr>
          <w:rFonts w:eastAsia="Times New Roman"/>
          <w:color w:val="0070C0"/>
          <w:lang w:eastAsia="en-AU"/>
        </w:rPr>
        <w:t xml:space="preserve"> and Stressor Related Disorders”[Mesh] OR “Anxiety Disorders”[Mesh] OR “Mood Disorders”[Mesh] OR “Substance-Related Disorders”[Mesh] OR “Behavior, Addictive”[Mesh]</w:t>
      </w:r>
      <w:r w:rsidRPr="001C4E80">
        <w:rPr>
          <w:rFonts w:eastAsia="Times New Roman"/>
          <w:color w:val="5B9BD5" w:themeColor="accent1"/>
          <w:lang w:eastAsia="en-AU"/>
        </w:rPr>
        <w:t xml:space="preserve"> </w:t>
      </w:r>
      <w:r w:rsidRPr="008B136B">
        <w:rPr>
          <w:rFonts w:eastAsia="Times New Roman"/>
          <w:color w:val="000000" w:themeColor="text1"/>
          <w:lang w:eastAsia="en-AU"/>
        </w:rPr>
        <w:t xml:space="preserve">OR </w:t>
      </w:r>
      <w:r w:rsidRPr="008B136B">
        <w:t>“t</w:t>
      </w:r>
      <w:r w:rsidRPr="008B136B">
        <w:rPr>
          <w:rFonts w:eastAsia="Times New Roman"/>
          <w:lang w:eastAsia="en-AU"/>
        </w:rPr>
        <w:t xml:space="preserve">rauma and stress related disorders”[tiab] OR </w:t>
      </w:r>
      <w:r w:rsidRPr="008B136B">
        <w:t>“t</w:t>
      </w:r>
      <w:r w:rsidRPr="008B136B">
        <w:rPr>
          <w:rFonts w:eastAsia="Times New Roman"/>
          <w:lang w:eastAsia="en-AU"/>
        </w:rPr>
        <w:t xml:space="preserve">rauma and stress related disorder”[tiab] OR “traumatic stress disorder”[tiab] OR “traumatic stress disorders”[tiab] OR </w:t>
      </w:r>
      <w:r w:rsidRPr="008B136B">
        <w:t xml:space="preserve">“post traumatic stress”[tiab] OR “posttraumatic stress”[tiab] OR “PTSD”[tiab] OR “post traumatic neuroses”[tiab] OR “posttraumatic neuroses”[tiab] OR </w:t>
      </w:r>
      <w:r w:rsidRPr="008B136B">
        <w:rPr>
          <w:rFonts w:eastAsia="Times New Roman"/>
          <w:lang w:eastAsia="en-AU"/>
        </w:rPr>
        <w:t>“acute stress disorder”[tiab] OR “acute stress disorders”[tiab] OR “reactive attachment disorder”[tiab] OR “reactive attachment disorders”[tiab] OR “disinhibited social engagement disorder”[tiab] OR “disinhibited social engagement disorders”[tiab] OR “anxiety disorder”[tiab] OR “anxiety disorders</w:t>
      </w:r>
      <w:r>
        <w:rPr>
          <w:rFonts w:eastAsia="Times New Roman"/>
          <w:lang w:eastAsia="en-AU"/>
        </w:rPr>
        <w:t>”[tiab] OR “depressive disorder</w:t>
      </w:r>
      <w:r w:rsidRPr="008B136B">
        <w:rPr>
          <w:rFonts w:eastAsia="Times New Roman"/>
          <w:lang w:eastAsia="en-AU"/>
        </w:rPr>
        <w:t>”[tiab] OR “depressive disorder</w:t>
      </w:r>
      <w:r>
        <w:rPr>
          <w:rFonts w:eastAsia="Times New Roman"/>
          <w:lang w:eastAsia="en-AU"/>
        </w:rPr>
        <w:t>s</w:t>
      </w:r>
      <w:r w:rsidRPr="008B136B">
        <w:rPr>
          <w:rFonts w:eastAsia="Times New Roman"/>
          <w:lang w:eastAsia="en-AU"/>
        </w:rPr>
        <w:t>”[tiab] OR “depression”[tiab] OR “depressions”[tiab] OR “substance related disorder”[tiab] OR “substance related disorders”[tiab] OR “addictive disorder”[tiab] OR “addictive disorders”[tiab] OR “substance addiction”[tiab] OR “substance dependence”[tiab] OR “substance abuse”[tiab]</w:t>
      </w:r>
      <w:r w:rsidRPr="008B136B">
        <w:rPr>
          <w:b/>
          <w:bCs/>
          <w:color w:val="000000" w:themeColor="text1"/>
        </w:rPr>
        <w:t xml:space="preserve">) </w:t>
      </w:r>
    </w:p>
    <w:p w14:paraId="496ADFFF" w14:textId="77777777" w:rsidR="00D43A86" w:rsidRDefault="00D43A86" w:rsidP="00D43A86">
      <w:pPr>
        <w:pStyle w:val="Heading2"/>
        <w:jc w:val="both"/>
      </w:pPr>
      <w:bookmarkStart w:id="276" w:name="_Toc102037447"/>
      <w:bookmarkStart w:id="277" w:name="_Toc102143275"/>
      <w:bookmarkStart w:id="278" w:name="_Toc121689346"/>
      <w:bookmarkStart w:id="279" w:name="_Toc165018227"/>
      <w:r>
        <w:t>Search string: Study type</w:t>
      </w:r>
      <w:bookmarkEnd w:id="276"/>
      <w:bookmarkEnd w:id="277"/>
      <w:bookmarkEnd w:id="278"/>
      <w:bookmarkEnd w:id="279"/>
    </w:p>
    <w:p w14:paraId="24201487" w14:textId="77777777" w:rsidR="00D43A86" w:rsidRPr="006F7D62" w:rsidRDefault="00D43A86" w:rsidP="00D43A86">
      <w:pPr>
        <w:jc w:val="both"/>
        <w:rPr>
          <w:rFonts w:eastAsia="Times New Roman"/>
          <w:color w:val="000000" w:themeColor="text1"/>
          <w:lang w:eastAsia="en-AU"/>
        </w:rPr>
      </w:pPr>
      <w:r>
        <w:rPr>
          <w:rFonts w:eastAsia="Times New Roman"/>
          <w:b/>
          <w:bCs/>
          <w:color w:val="000000" w:themeColor="text1"/>
          <w:lang w:eastAsia="en-AU"/>
        </w:rPr>
        <w:t xml:space="preserve">AND </w:t>
      </w:r>
      <w:r w:rsidRPr="008B136B">
        <w:rPr>
          <w:rFonts w:eastAsia="Times New Roman"/>
          <w:b/>
          <w:bCs/>
          <w:color w:val="000000" w:themeColor="text1"/>
          <w:lang w:eastAsia="en-AU"/>
        </w:rPr>
        <w:t>(</w:t>
      </w:r>
      <w:r w:rsidRPr="0062081D">
        <w:rPr>
          <w:rFonts w:eastAsia="Times New Roman"/>
          <w:color w:val="0070C0"/>
          <w:lang w:eastAsia="en-AU"/>
        </w:rPr>
        <w:t>“Clinical Trials as Topic”[Mesh] OR “Clinical Trial” [Publication Type] OR “Systematic Reviews as Topic”[Mesh] OR “Systematic Review” [Publication Type] OR “Meta-Analysis as Topic”[Mesh] OR “Meta-Analysis” [Publication Type]</w:t>
      </w:r>
      <w:r w:rsidRPr="008B136B">
        <w:rPr>
          <w:rFonts w:eastAsia="Times New Roman"/>
          <w:lang w:eastAsia="en-AU"/>
        </w:rPr>
        <w:t xml:space="preserve"> </w:t>
      </w:r>
      <w:r w:rsidRPr="008B136B">
        <w:rPr>
          <w:rFonts w:eastAsia="Times New Roman"/>
          <w:color w:val="000000" w:themeColor="text1"/>
          <w:lang w:eastAsia="en-AU"/>
        </w:rPr>
        <w:t xml:space="preserve">OR “trial”[tiab] OR “randomized”[tiab] OR “randomised”[tiab] OR “randomly”[tiab] OR </w:t>
      </w:r>
      <w:r w:rsidRPr="008B136B">
        <w:t xml:space="preserve">“systematic review”[ti] OR “systematic reviews”[ti] OR “systematic literature review”[ti] OR “systematic scoping review”[ti] OR “systematic narrative review”[ti] OR “systematic evidence review”[ti] OR “systematic quantitative review”[ti] OR “systematic critical review”[ti] OR “systematic mixed studies review”[ti] OR “systematic mapping review”[ti] OR “Cochrane review”[ti] OR “Cochrane reviews”[ti] OR “systematic search and review”[ti] OR “systematic integrative review”[ti] OR “systematically”[tiab] OR </w:t>
      </w:r>
      <w:r w:rsidRPr="008B136B">
        <w:rPr>
          <w:rFonts w:eastAsia="Times New Roman"/>
          <w:color w:val="000000" w:themeColor="text1"/>
          <w:lang w:eastAsia="en-AU"/>
        </w:rPr>
        <w:t>“meta analysis”[ti] OR “meta analyses”[ti] OR “metanalysis”[ti] OR “metanalyses”[ti] OR “metaanalysis”[ti] OR “metaanalyses”[ti] OR “meta review”[ti] OR “meta reviews”[ti] OR “metareview”[ti] OR “metareviews”[ti] OR “umbrella review”[ti] OR “umbrella reviews”[ti]</w:t>
      </w:r>
      <w:r w:rsidRPr="008B136B">
        <w:rPr>
          <w:rFonts w:eastAsia="Times New Roman"/>
          <w:b/>
          <w:bCs/>
          <w:color w:val="000000" w:themeColor="text1"/>
          <w:lang w:eastAsia="en-AU"/>
        </w:rPr>
        <w:t>)</w:t>
      </w:r>
      <w:r w:rsidRPr="008B136B">
        <w:rPr>
          <w:rFonts w:eastAsia="Times New Roman"/>
          <w:color w:val="000000" w:themeColor="text1"/>
          <w:lang w:eastAsia="en-AU"/>
        </w:rPr>
        <w:t xml:space="preserve"> </w:t>
      </w:r>
    </w:p>
    <w:p w14:paraId="7DC03F2E" w14:textId="77777777" w:rsidR="00D43A86" w:rsidRDefault="00D43A86" w:rsidP="00D43A86">
      <w:pPr>
        <w:pStyle w:val="Heading2"/>
        <w:jc w:val="both"/>
      </w:pPr>
      <w:bookmarkStart w:id="280" w:name="_Toc102037448"/>
      <w:bookmarkStart w:id="281" w:name="_Toc102143276"/>
      <w:bookmarkStart w:id="282" w:name="_Toc121689347"/>
      <w:bookmarkStart w:id="283" w:name="_Toc165018228"/>
      <w:r>
        <w:t>Search string: Search limits</w:t>
      </w:r>
      <w:bookmarkEnd w:id="280"/>
      <w:bookmarkEnd w:id="281"/>
      <w:bookmarkEnd w:id="282"/>
      <w:bookmarkEnd w:id="283"/>
    </w:p>
    <w:p w14:paraId="5344B422" w14:textId="77777777" w:rsidR="00D43A86" w:rsidRPr="006328E6" w:rsidRDefault="00D43A86" w:rsidP="00D43A86">
      <w:pPr>
        <w:jc w:val="both"/>
        <w:rPr>
          <w:b/>
          <w:bCs/>
        </w:rPr>
      </w:pPr>
      <w:r w:rsidRPr="008B136B">
        <w:rPr>
          <w:rFonts w:eastAsia="Times New Roman"/>
          <w:b/>
          <w:bCs/>
          <w:color w:val="000000" w:themeColor="text1"/>
          <w:lang w:eastAsia="en-AU"/>
        </w:rPr>
        <w:t>NO</w:t>
      </w:r>
      <w:r>
        <w:rPr>
          <w:rFonts w:eastAsia="Times New Roman"/>
          <w:b/>
          <w:bCs/>
          <w:color w:val="000000" w:themeColor="text1"/>
          <w:lang w:eastAsia="en-AU"/>
        </w:rPr>
        <w:t>T</w:t>
      </w:r>
      <w:r w:rsidRPr="008B136B">
        <w:rPr>
          <w:rFonts w:eastAsia="Times New Roman"/>
          <w:color w:val="000000" w:themeColor="text1"/>
          <w:lang w:eastAsia="en-AU"/>
        </w:rPr>
        <w:t xml:space="preserve"> </w:t>
      </w:r>
      <w:r w:rsidRPr="008B136B">
        <w:rPr>
          <w:rFonts w:eastAsia="Times New Roman"/>
          <w:b/>
          <w:bCs/>
          <w:color w:val="000000" w:themeColor="text1"/>
          <w:lang w:eastAsia="en-AU"/>
        </w:rPr>
        <w:t>(</w:t>
      </w:r>
      <w:r w:rsidRPr="0062081D">
        <w:rPr>
          <w:rFonts w:eastAsia="Times New Roman"/>
          <w:color w:val="0070C0"/>
          <w:lang w:eastAsia="en-AU"/>
        </w:rPr>
        <w:t>“Comment” [Publication Type] OR “Editorial” [Publication Type] OR “Letter” [Publication Type]</w:t>
      </w:r>
      <w:r w:rsidRPr="008B136B">
        <w:rPr>
          <w:rFonts w:eastAsia="Times New Roman"/>
          <w:b/>
          <w:bCs/>
          <w:color w:val="000000" w:themeColor="text1"/>
          <w:lang w:eastAsia="en-AU"/>
        </w:rPr>
        <w:t>)</w:t>
      </w:r>
      <w:r w:rsidRPr="008B136B">
        <w:rPr>
          <w:rFonts w:eastAsia="Times New Roman"/>
          <w:color w:val="000000" w:themeColor="text1"/>
          <w:lang w:eastAsia="en-AU"/>
        </w:rPr>
        <w:t xml:space="preserve"> </w:t>
      </w:r>
      <w:r w:rsidRPr="008B136B">
        <w:rPr>
          <w:rFonts w:eastAsia="Times New Roman"/>
          <w:b/>
          <w:bCs/>
          <w:color w:val="222222"/>
          <w:lang w:eastAsia="en-AU"/>
        </w:rPr>
        <w:t>NO</w:t>
      </w:r>
      <w:r>
        <w:rPr>
          <w:rFonts w:eastAsia="Times New Roman"/>
          <w:b/>
          <w:bCs/>
          <w:color w:val="222222"/>
          <w:lang w:eastAsia="en-AU"/>
        </w:rPr>
        <w:t>T</w:t>
      </w:r>
      <w:r w:rsidRPr="008B136B">
        <w:rPr>
          <w:rFonts w:eastAsia="Times New Roman"/>
          <w:color w:val="222222"/>
          <w:lang w:eastAsia="en-AU"/>
        </w:rPr>
        <w:t xml:space="preserve"> </w:t>
      </w:r>
      <w:r w:rsidRPr="008B136B">
        <w:rPr>
          <w:rFonts w:eastAsia="Times New Roman"/>
          <w:b/>
          <w:bCs/>
          <w:color w:val="222222"/>
          <w:lang w:eastAsia="en-AU"/>
        </w:rPr>
        <w:t>(</w:t>
      </w:r>
      <w:r w:rsidRPr="0062081D">
        <w:rPr>
          <w:rFonts w:eastAsia="Times New Roman"/>
          <w:color w:val="0070C0"/>
          <w:lang w:eastAsia="en-AU"/>
        </w:rPr>
        <w:t>“Animals”[Mesh] NOT “Humans”[Mesh]</w:t>
      </w:r>
      <w:r w:rsidRPr="008B136B">
        <w:rPr>
          <w:rFonts w:eastAsia="Times New Roman"/>
          <w:b/>
          <w:bCs/>
          <w:color w:val="222222"/>
          <w:lang w:eastAsia="en-AU"/>
        </w:rPr>
        <w:t>)</w:t>
      </w:r>
      <w:r w:rsidRPr="008B136B">
        <w:rPr>
          <w:rFonts w:eastAsia="Times New Roman"/>
          <w:color w:val="222222"/>
          <w:lang w:eastAsia="en-AU"/>
        </w:rPr>
        <w:t xml:space="preserve"> </w:t>
      </w:r>
      <w:r w:rsidRPr="008B136B">
        <w:rPr>
          <w:b/>
          <w:bCs/>
          <w:shd w:val="clear" w:color="auto" w:fill="FFFFFF"/>
        </w:rPr>
        <w:t>AND</w:t>
      </w:r>
      <w:r w:rsidRPr="008B136B">
        <w:rPr>
          <w:shd w:val="clear" w:color="auto" w:fill="FFFFFF"/>
        </w:rPr>
        <w:t xml:space="preserve"> </w:t>
      </w:r>
      <w:r w:rsidRPr="008B136B">
        <w:rPr>
          <w:b/>
          <w:bCs/>
          <w:color w:val="000000" w:themeColor="text1"/>
        </w:rPr>
        <w:t>(</w:t>
      </w:r>
      <w:r w:rsidRPr="008B136B">
        <w:rPr>
          <w:color w:val="000000" w:themeColor="text1"/>
        </w:rPr>
        <w:t>eng[la] OR und[la]</w:t>
      </w:r>
      <w:r w:rsidRPr="008B136B">
        <w:rPr>
          <w:b/>
          <w:bCs/>
          <w:color w:val="000000" w:themeColor="text1"/>
        </w:rPr>
        <w:t>)</w:t>
      </w:r>
      <w:r w:rsidRPr="008B136B">
        <w:rPr>
          <w:color w:val="000000" w:themeColor="text1"/>
        </w:rPr>
        <w:t xml:space="preserve"> </w:t>
      </w:r>
      <w:r w:rsidRPr="008B136B">
        <w:rPr>
          <w:b/>
          <w:bCs/>
        </w:rPr>
        <w:t>AND (</w:t>
      </w:r>
      <w:r w:rsidRPr="008B136B">
        <w:t>2017:2022[dp]</w:t>
      </w:r>
      <w:r w:rsidRPr="008B136B">
        <w:rPr>
          <w:b/>
          <w:bCs/>
        </w:rPr>
        <w:t>)</w:t>
      </w:r>
    </w:p>
    <w:bookmarkEnd w:id="267"/>
    <w:bookmarkEnd w:id="268"/>
    <w:bookmarkEnd w:id="273"/>
    <w:bookmarkEnd w:id="274"/>
    <w:bookmarkEnd w:id="275"/>
    <w:p w14:paraId="6D47215B" w14:textId="77777777" w:rsidR="00BB0D21" w:rsidRPr="009B4D43" w:rsidRDefault="00BB0D21" w:rsidP="00BB0D21">
      <w:pPr>
        <w:spacing w:after="160"/>
        <w:rPr>
          <w:szCs w:val="20"/>
        </w:rPr>
        <w:sectPr w:rsidR="00BB0D21" w:rsidRPr="009B4D43" w:rsidSect="00AA7189">
          <w:pgSz w:w="11906" w:h="16838"/>
          <w:pgMar w:top="1440" w:right="1440" w:bottom="1440" w:left="1440" w:header="708" w:footer="708" w:gutter="0"/>
          <w:cols w:space="708"/>
          <w:docGrid w:linePitch="360"/>
        </w:sectPr>
      </w:pPr>
    </w:p>
    <w:p w14:paraId="5CD79E29" w14:textId="643EF830" w:rsidR="00BB0D21" w:rsidRPr="009B4D43" w:rsidRDefault="00BB0D21" w:rsidP="00BB0D21">
      <w:pPr>
        <w:pStyle w:val="Heading1"/>
      </w:pPr>
      <w:bookmarkStart w:id="284" w:name="_Ref115250108"/>
      <w:bookmarkStart w:id="285" w:name="_Toc165018229"/>
      <w:r w:rsidRPr="009B4D43">
        <w:lastRenderedPageBreak/>
        <w:t>Appendix 4: List of Excluded Studies</w:t>
      </w:r>
      <w:bookmarkEnd w:id="284"/>
      <w:bookmarkEnd w:id="285"/>
    </w:p>
    <w:p w14:paraId="3DBF2369" w14:textId="6BFC30B4" w:rsidR="00BB0D21" w:rsidRPr="009B4D43" w:rsidRDefault="00BB0D21" w:rsidP="00BB0D21">
      <w:r w:rsidRPr="009B4D43">
        <w:t xml:space="preserve">List of excluded studies </w:t>
      </w:r>
      <w:r w:rsidR="00A2744A">
        <w:t>(</w:t>
      </w:r>
      <w:r w:rsidR="00A2744A" w:rsidRPr="00F62917">
        <w:rPr>
          <w:i/>
          <w:iCs/>
        </w:rPr>
        <w:t>n</w:t>
      </w:r>
      <w:r w:rsidR="00A2744A">
        <w:t xml:space="preserve"> = 33) </w:t>
      </w:r>
      <w:r w:rsidRPr="009B4D43">
        <w:t>by reason for exclusion in Figure 1 PRISMA diagram (</w:t>
      </w:r>
      <w:r w:rsidR="008D172D" w:rsidRPr="009B4D43">
        <w:t>Medicinal cannabis</w:t>
      </w:r>
      <w:r w:rsidRPr="009B4D43">
        <w:t xml:space="preserve">: </w:t>
      </w:r>
      <w:r w:rsidR="00E131BF">
        <w:t>Standalone</w:t>
      </w:r>
      <w:r w:rsidRPr="009B4D43">
        <w:t xml:space="preserve"> and combined interventions).</w:t>
      </w:r>
    </w:p>
    <w:p w14:paraId="502D6BEB" w14:textId="186882C0" w:rsidR="00EC0CBA" w:rsidRDefault="00EC0CBA" w:rsidP="00EC0CBA">
      <w:pPr>
        <w:pStyle w:val="Heading3"/>
      </w:pPr>
      <w:bookmarkStart w:id="286" w:name="_Toc121096123"/>
      <w:bookmarkStart w:id="287" w:name="_Toc165018230"/>
      <w:bookmarkStart w:id="288" w:name="_Toc99653108"/>
      <w:bookmarkStart w:id="289" w:name="_Toc101536699"/>
      <w:bookmarkStart w:id="290" w:name="_Toc103944912"/>
      <w:r w:rsidRPr="009B4D43">
        <w:t>Ongoing study (n = 1</w:t>
      </w:r>
      <w:r w:rsidR="001251BA">
        <w:t>2</w:t>
      </w:r>
      <w:r w:rsidRPr="009B4D43">
        <w:t>)</w:t>
      </w:r>
      <w:bookmarkEnd w:id="286"/>
      <w:bookmarkEnd w:id="287"/>
    </w:p>
    <w:tbl>
      <w:tblPr>
        <w:tblStyle w:val="GridTable5Dark-Accent5"/>
        <w:tblW w:w="5000" w:type="pct"/>
        <w:tblLook w:val="04A0" w:firstRow="1" w:lastRow="0" w:firstColumn="1" w:lastColumn="0" w:noHBand="0" w:noVBand="1"/>
      </w:tblPr>
      <w:tblGrid>
        <w:gridCol w:w="419"/>
        <w:gridCol w:w="1361"/>
        <w:gridCol w:w="2144"/>
        <w:gridCol w:w="2855"/>
        <w:gridCol w:w="2510"/>
        <w:gridCol w:w="1564"/>
        <w:gridCol w:w="1517"/>
        <w:gridCol w:w="1578"/>
      </w:tblGrid>
      <w:tr w:rsidR="00180ECE" w:rsidRPr="00BD451E" w14:paraId="5259C8B9" w14:textId="77777777" w:rsidTr="00290E91">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52" w:type="pct"/>
            <w:hideMark/>
          </w:tcPr>
          <w:p w14:paraId="7651A985" w14:textId="77777777" w:rsidR="00BD451E" w:rsidRPr="0063071D" w:rsidRDefault="00BD451E" w:rsidP="00BD451E">
            <w:r w:rsidRPr="0063071D">
              <w:t>#</w:t>
            </w:r>
          </w:p>
        </w:tc>
        <w:tc>
          <w:tcPr>
            <w:tcW w:w="494" w:type="pct"/>
            <w:hideMark/>
          </w:tcPr>
          <w:p w14:paraId="35E14AD4" w14:textId="77777777" w:rsidR="00BD451E" w:rsidRPr="00BD451E" w:rsidRDefault="00BD451E" w:rsidP="00BD451E">
            <w:pPr>
              <w:cnfStyle w:val="100000000000" w:firstRow="1" w:lastRow="0" w:firstColumn="0" w:lastColumn="0" w:oddVBand="0" w:evenVBand="0" w:oddHBand="0" w:evenHBand="0" w:firstRowFirstColumn="0" w:firstRowLastColumn="0" w:lastRowFirstColumn="0" w:lastRowLastColumn="0"/>
            </w:pPr>
            <w:r w:rsidRPr="00BD451E">
              <w:t>Registry ID</w:t>
            </w:r>
          </w:p>
        </w:tc>
        <w:tc>
          <w:tcPr>
            <w:tcW w:w="984" w:type="pct"/>
            <w:hideMark/>
          </w:tcPr>
          <w:p w14:paraId="1F007611" w14:textId="77777777" w:rsidR="00BD451E" w:rsidRPr="00BD451E" w:rsidRDefault="00BD451E" w:rsidP="00BD451E">
            <w:pPr>
              <w:cnfStyle w:val="100000000000" w:firstRow="1" w:lastRow="0" w:firstColumn="0" w:lastColumn="0" w:oddVBand="0" w:evenVBand="0" w:oddHBand="0" w:evenHBand="0" w:firstRowFirstColumn="0" w:firstRowLastColumn="0" w:lastRowFirstColumn="0" w:lastRowLastColumn="0"/>
            </w:pPr>
            <w:r w:rsidRPr="00BD451E">
              <w:t>Mental Health Condition</w:t>
            </w:r>
          </w:p>
        </w:tc>
        <w:tc>
          <w:tcPr>
            <w:tcW w:w="721" w:type="pct"/>
            <w:hideMark/>
          </w:tcPr>
          <w:p w14:paraId="6FBE35DA" w14:textId="77777777" w:rsidR="00BD451E" w:rsidRPr="00BD451E" w:rsidRDefault="00BD451E" w:rsidP="00BD451E">
            <w:pPr>
              <w:cnfStyle w:val="100000000000" w:firstRow="1" w:lastRow="0" w:firstColumn="0" w:lastColumn="0" w:oddVBand="0" w:evenVBand="0" w:oddHBand="0" w:evenHBand="0" w:firstRowFirstColumn="0" w:firstRowLastColumn="0" w:lastRowFirstColumn="0" w:lastRowLastColumn="0"/>
            </w:pPr>
            <w:r w:rsidRPr="00BD451E">
              <w:t>Experimental intervention</w:t>
            </w:r>
          </w:p>
        </w:tc>
        <w:tc>
          <w:tcPr>
            <w:tcW w:w="875" w:type="pct"/>
            <w:hideMark/>
          </w:tcPr>
          <w:p w14:paraId="6F24D791" w14:textId="77777777" w:rsidR="00BD451E" w:rsidRPr="00BD451E" w:rsidRDefault="00BD451E">
            <w:pPr>
              <w:cnfStyle w:val="100000000000" w:firstRow="1" w:lastRow="0" w:firstColumn="0" w:lastColumn="0" w:oddVBand="0" w:evenVBand="0" w:oddHBand="0" w:evenHBand="0" w:firstRowFirstColumn="0" w:firstRowLastColumn="0" w:lastRowFirstColumn="0" w:lastRowLastColumn="0"/>
            </w:pPr>
            <w:r w:rsidRPr="00BD451E">
              <w:t>Principal Investigator(s)</w:t>
            </w:r>
          </w:p>
        </w:tc>
        <w:tc>
          <w:tcPr>
            <w:tcW w:w="515" w:type="pct"/>
            <w:hideMark/>
          </w:tcPr>
          <w:p w14:paraId="736EBAC0" w14:textId="77777777" w:rsidR="00BD451E" w:rsidRPr="00BD451E" w:rsidRDefault="00BD451E" w:rsidP="00BD451E">
            <w:pPr>
              <w:cnfStyle w:val="100000000000" w:firstRow="1" w:lastRow="0" w:firstColumn="0" w:lastColumn="0" w:oddVBand="0" w:evenVBand="0" w:oddHBand="0" w:evenHBand="0" w:firstRowFirstColumn="0" w:firstRowLastColumn="0" w:lastRowFirstColumn="0" w:lastRowLastColumn="0"/>
            </w:pPr>
            <w:r w:rsidRPr="00BD451E">
              <w:t>Location</w:t>
            </w:r>
          </w:p>
        </w:tc>
        <w:tc>
          <w:tcPr>
            <w:tcW w:w="618" w:type="pct"/>
            <w:hideMark/>
          </w:tcPr>
          <w:p w14:paraId="79FF594C" w14:textId="77777777" w:rsidR="00BD451E" w:rsidRPr="00BD451E" w:rsidRDefault="00BD451E" w:rsidP="00BD451E">
            <w:pPr>
              <w:cnfStyle w:val="100000000000" w:firstRow="1" w:lastRow="0" w:firstColumn="0" w:lastColumn="0" w:oddVBand="0" w:evenVBand="0" w:oddHBand="0" w:evenHBand="0" w:firstRowFirstColumn="0" w:firstRowLastColumn="0" w:lastRowFirstColumn="0" w:lastRowLastColumn="0"/>
            </w:pPr>
            <w:r w:rsidRPr="00BD451E">
              <w:t>Date of Registration</w:t>
            </w:r>
          </w:p>
        </w:tc>
        <w:tc>
          <w:tcPr>
            <w:tcW w:w="640" w:type="pct"/>
            <w:hideMark/>
          </w:tcPr>
          <w:p w14:paraId="5411BB0F" w14:textId="77777777" w:rsidR="00BD451E" w:rsidRPr="00BD451E" w:rsidRDefault="00BD451E" w:rsidP="00BD451E">
            <w:pPr>
              <w:cnfStyle w:val="100000000000" w:firstRow="1" w:lastRow="0" w:firstColumn="0" w:lastColumn="0" w:oddVBand="0" w:evenVBand="0" w:oddHBand="0" w:evenHBand="0" w:firstRowFirstColumn="0" w:firstRowLastColumn="0" w:lastRowFirstColumn="0" w:lastRowLastColumn="0"/>
            </w:pPr>
            <w:r w:rsidRPr="00BD451E">
              <w:t>Expected Completion Date</w:t>
            </w:r>
          </w:p>
        </w:tc>
      </w:tr>
      <w:tr w:rsidR="00180ECE" w:rsidRPr="00BD451E" w14:paraId="17695C15" w14:textId="77777777" w:rsidTr="007A07E2">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2" w:type="pct"/>
            <w:noWrap/>
            <w:hideMark/>
          </w:tcPr>
          <w:p w14:paraId="4CA380C7" w14:textId="77777777" w:rsidR="00BD451E" w:rsidRPr="00264ECE" w:rsidRDefault="00BD451E" w:rsidP="00BD451E">
            <w:r w:rsidRPr="00264ECE">
              <w:t>1</w:t>
            </w:r>
          </w:p>
        </w:tc>
        <w:tc>
          <w:tcPr>
            <w:tcW w:w="494" w:type="pct"/>
            <w:noWrap/>
            <w:hideMark/>
          </w:tcPr>
          <w:p w14:paraId="379027A3"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NCT03549819</w:t>
            </w:r>
          </w:p>
        </w:tc>
        <w:tc>
          <w:tcPr>
            <w:tcW w:w="984" w:type="pct"/>
            <w:hideMark/>
          </w:tcPr>
          <w:p w14:paraId="304D6DC9" w14:textId="151645A3"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Anxiety</w:t>
            </w:r>
            <w:r w:rsidR="00694E21">
              <w:t xml:space="preserve"> Disorders</w:t>
            </w:r>
          </w:p>
        </w:tc>
        <w:tc>
          <w:tcPr>
            <w:tcW w:w="721" w:type="pct"/>
            <w:noWrap/>
            <w:hideMark/>
          </w:tcPr>
          <w:p w14:paraId="25797C22" w14:textId="319D9D0A" w:rsidR="00BD451E" w:rsidRPr="00BD451E" w:rsidRDefault="00BD451E" w:rsidP="00BD451E">
            <w:pPr>
              <w:cnfStyle w:val="000000100000" w:firstRow="0" w:lastRow="0" w:firstColumn="0" w:lastColumn="0" w:oddVBand="0" w:evenVBand="0" w:oddHBand="1" w:evenHBand="0" w:firstRowFirstColumn="0" w:firstRowLastColumn="0" w:lastRowFirstColumn="0" w:lastRowLastColumn="0"/>
            </w:pPr>
            <w:r w:rsidRPr="00BD451E">
              <w:t>CBD</w:t>
            </w:r>
            <w:r w:rsidR="00694E21">
              <w:t xml:space="preserve"> (oil)</w:t>
            </w:r>
          </w:p>
        </w:tc>
        <w:tc>
          <w:tcPr>
            <w:tcW w:w="875" w:type="pct"/>
            <w:noWrap/>
            <w:hideMark/>
          </w:tcPr>
          <w:p w14:paraId="409BDC19"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Van Ameringen, M.</w:t>
            </w:r>
          </w:p>
        </w:tc>
        <w:tc>
          <w:tcPr>
            <w:tcW w:w="515" w:type="pct"/>
            <w:noWrap/>
            <w:hideMark/>
          </w:tcPr>
          <w:p w14:paraId="36578A51"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 xml:space="preserve">Canada </w:t>
            </w:r>
          </w:p>
        </w:tc>
        <w:tc>
          <w:tcPr>
            <w:tcW w:w="618" w:type="pct"/>
            <w:noWrap/>
            <w:hideMark/>
          </w:tcPr>
          <w:p w14:paraId="57621A18" w14:textId="77777777" w:rsidR="00BD451E" w:rsidRPr="00BD451E" w:rsidRDefault="00BD451E" w:rsidP="00BD451E">
            <w:pPr>
              <w:cnfStyle w:val="000000100000" w:firstRow="0" w:lastRow="0" w:firstColumn="0" w:lastColumn="0" w:oddVBand="0" w:evenVBand="0" w:oddHBand="1" w:evenHBand="0" w:firstRowFirstColumn="0" w:firstRowLastColumn="0" w:lastRowFirstColumn="0" w:lastRowLastColumn="0"/>
            </w:pPr>
            <w:r w:rsidRPr="00BD451E">
              <w:t>2018 (Jun 8)</w:t>
            </w:r>
          </w:p>
        </w:tc>
        <w:tc>
          <w:tcPr>
            <w:tcW w:w="640" w:type="pct"/>
            <w:noWrap/>
            <w:hideMark/>
          </w:tcPr>
          <w:p w14:paraId="698FEE4C" w14:textId="77777777" w:rsidR="00BD451E" w:rsidRPr="00BD451E" w:rsidRDefault="00BD451E" w:rsidP="00BD451E">
            <w:pPr>
              <w:cnfStyle w:val="000000100000" w:firstRow="0" w:lastRow="0" w:firstColumn="0" w:lastColumn="0" w:oddVBand="0" w:evenVBand="0" w:oddHBand="1" w:evenHBand="0" w:firstRowFirstColumn="0" w:firstRowLastColumn="0" w:lastRowFirstColumn="0" w:lastRowLastColumn="0"/>
            </w:pPr>
            <w:r w:rsidRPr="00BD451E">
              <w:t>2023 (Feb 28)</w:t>
            </w:r>
          </w:p>
        </w:tc>
      </w:tr>
      <w:tr w:rsidR="00180ECE" w:rsidRPr="00BD451E" w14:paraId="3C28BBD9" w14:textId="77777777" w:rsidTr="007A07E2">
        <w:trPr>
          <w:trHeight w:val="355"/>
        </w:trPr>
        <w:tc>
          <w:tcPr>
            <w:cnfStyle w:val="001000000000" w:firstRow="0" w:lastRow="0" w:firstColumn="1" w:lastColumn="0" w:oddVBand="0" w:evenVBand="0" w:oddHBand="0" w:evenHBand="0" w:firstRowFirstColumn="0" w:firstRowLastColumn="0" w:lastRowFirstColumn="0" w:lastRowLastColumn="0"/>
            <w:tcW w:w="152" w:type="pct"/>
            <w:noWrap/>
            <w:hideMark/>
          </w:tcPr>
          <w:p w14:paraId="44FF59F0" w14:textId="77777777" w:rsidR="00BD451E" w:rsidRPr="00264ECE" w:rsidRDefault="00BD451E" w:rsidP="00BD451E">
            <w:r w:rsidRPr="00264ECE">
              <w:t>2</w:t>
            </w:r>
          </w:p>
        </w:tc>
        <w:tc>
          <w:tcPr>
            <w:tcW w:w="494" w:type="pct"/>
            <w:hideMark/>
          </w:tcPr>
          <w:p w14:paraId="132A24C1" w14:textId="77777777"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EUCTR2020-003739-62-NL</w:t>
            </w:r>
          </w:p>
        </w:tc>
        <w:tc>
          <w:tcPr>
            <w:tcW w:w="984" w:type="pct"/>
            <w:hideMark/>
          </w:tcPr>
          <w:p w14:paraId="52D0CE6A" w14:textId="5C8D3E59"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Anxiety (and/or PTSD)</w:t>
            </w:r>
            <w:r w:rsidR="003113A2">
              <w:t xml:space="preserve"> among </w:t>
            </w:r>
            <w:r w:rsidR="00257D34">
              <w:t>m</w:t>
            </w:r>
            <w:r w:rsidR="003113A2" w:rsidRPr="003113A2">
              <w:t xml:space="preserve">ilitary </w:t>
            </w:r>
            <w:r w:rsidR="003113A2">
              <w:t xml:space="preserve">personnel or </w:t>
            </w:r>
            <w:r w:rsidR="00257D34">
              <w:t>v</w:t>
            </w:r>
            <w:r w:rsidR="003113A2" w:rsidRPr="003113A2">
              <w:t>eterans</w:t>
            </w:r>
          </w:p>
        </w:tc>
        <w:tc>
          <w:tcPr>
            <w:tcW w:w="721" w:type="pct"/>
            <w:noWrap/>
            <w:hideMark/>
          </w:tcPr>
          <w:p w14:paraId="2F8B8B3B" w14:textId="46E9E00E" w:rsidR="00BD451E" w:rsidRPr="00BD451E" w:rsidRDefault="00BD451E" w:rsidP="00BD451E">
            <w:pPr>
              <w:cnfStyle w:val="000000000000" w:firstRow="0" w:lastRow="0" w:firstColumn="0" w:lastColumn="0" w:oddVBand="0" w:evenVBand="0" w:oddHBand="0" w:evenHBand="0" w:firstRowFirstColumn="0" w:firstRowLastColumn="0" w:lastRowFirstColumn="0" w:lastRowLastColumn="0"/>
            </w:pPr>
            <w:r w:rsidRPr="00BD451E">
              <w:t>CBD</w:t>
            </w:r>
            <w:r w:rsidR="00962C30">
              <w:t xml:space="preserve"> </w:t>
            </w:r>
            <w:r w:rsidR="00151F62">
              <w:t>(capsule)</w:t>
            </w:r>
          </w:p>
        </w:tc>
        <w:tc>
          <w:tcPr>
            <w:tcW w:w="875" w:type="pct"/>
            <w:noWrap/>
            <w:hideMark/>
          </w:tcPr>
          <w:p w14:paraId="17691E4B" w14:textId="77777777"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 xml:space="preserve">Geuze, E. </w:t>
            </w:r>
          </w:p>
        </w:tc>
        <w:tc>
          <w:tcPr>
            <w:tcW w:w="515" w:type="pct"/>
            <w:noWrap/>
            <w:hideMark/>
          </w:tcPr>
          <w:p w14:paraId="36BBDE24" w14:textId="77777777"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The Netherlands</w:t>
            </w:r>
          </w:p>
        </w:tc>
        <w:tc>
          <w:tcPr>
            <w:tcW w:w="618" w:type="pct"/>
            <w:noWrap/>
            <w:hideMark/>
          </w:tcPr>
          <w:p w14:paraId="6045DC13" w14:textId="77777777" w:rsidR="00BD451E" w:rsidRPr="00BD451E" w:rsidRDefault="00BD451E" w:rsidP="00BD451E">
            <w:pPr>
              <w:cnfStyle w:val="000000000000" w:firstRow="0" w:lastRow="0" w:firstColumn="0" w:lastColumn="0" w:oddVBand="0" w:evenVBand="0" w:oddHBand="0" w:evenHBand="0" w:firstRowFirstColumn="0" w:firstRowLastColumn="0" w:lastRowFirstColumn="0" w:lastRowLastColumn="0"/>
            </w:pPr>
            <w:r w:rsidRPr="00BD451E">
              <w:t>2021 (Apr 21)</w:t>
            </w:r>
          </w:p>
        </w:tc>
        <w:tc>
          <w:tcPr>
            <w:tcW w:w="640" w:type="pct"/>
            <w:hideMark/>
          </w:tcPr>
          <w:p w14:paraId="7318AC4D" w14:textId="77777777" w:rsidR="00BD451E" w:rsidRPr="00BD451E" w:rsidRDefault="00BD451E" w:rsidP="00BD451E">
            <w:pPr>
              <w:cnfStyle w:val="000000000000" w:firstRow="0" w:lastRow="0" w:firstColumn="0" w:lastColumn="0" w:oddVBand="0" w:evenVBand="0" w:oddHBand="0" w:evenHBand="0" w:firstRowFirstColumn="0" w:firstRowLastColumn="0" w:lastRowFirstColumn="0" w:lastRowLastColumn="0"/>
            </w:pPr>
            <w:r w:rsidRPr="00BD451E">
              <w:t>Not listed - last update June 2021</w:t>
            </w:r>
          </w:p>
        </w:tc>
      </w:tr>
      <w:tr w:rsidR="00180ECE" w:rsidRPr="00BD451E" w14:paraId="7905D6C2" w14:textId="77777777" w:rsidTr="007A07E2">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52" w:type="pct"/>
            <w:noWrap/>
            <w:hideMark/>
          </w:tcPr>
          <w:p w14:paraId="7EE65456" w14:textId="77777777" w:rsidR="00BD451E" w:rsidRPr="00264ECE" w:rsidRDefault="00BD451E" w:rsidP="00BD451E">
            <w:r w:rsidRPr="00264ECE">
              <w:t>3</w:t>
            </w:r>
          </w:p>
        </w:tc>
        <w:tc>
          <w:tcPr>
            <w:tcW w:w="494" w:type="pct"/>
            <w:noWrap/>
            <w:hideMark/>
          </w:tcPr>
          <w:p w14:paraId="653E59E1"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NCT04880278</w:t>
            </w:r>
          </w:p>
        </w:tc>
        <w:tc>
          <w:tcPr>
            <w:tcW w:w="984" w:type="pct"/>
            <w:hideMark/>
          </w:tcPr>
          <w:p w14:paraId="240B09A5"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OCD</w:t>
            </w:r>
          </w:p>
        </w:tc>
        <w:tc>
          <w:tcPr>
            <w:tcW w:w="721" w:type="pct"/>
            <w:hideMark/>
          </w:tcPr>
          <w:p w14:paraId="567DD0E9" w14:textId="319DB3A0" w:rsidR="00BD451E" w:rsidRPr="00BD451E" w:rsidRDefault="00BD451E" w:rsidP="00BD451E">
            <w:pPr>
              <w:cnfStyle w:val="000000100000" w:firstRow="0" w:lastRow="0" w:firstColumn="0" w:lastColumn="0" w:oddVBand="0" w:evenVBand="0" w:oddHBand="1" w:evenHBand="0" w:firstRowFirstColumn="0" w:firstRowLastColumn="0" w:lastRowFirstColumn="0" w:lastRowLastColumn="0"/>
            </w:pPr>
            <w:r w:rsidRPr="00BD451E">
              <w:t xml:space="preserve">THC </w:t>
            </w:r>
            <w:r w:rsidR="001555D7">
              <w:t>(</w:t>
            </w:r>
            <w:r w:rsidR="006C2338">
              <w:t>n</w:t>
            </w:r>
            <w:r w:rsidR="001555D7">
              <w:t>abilone</w:t>
            </w:r>
            <w:r w:rsidR="00E86740">
              <w:t xml:space="preserve"> capsules</w:t>
            </w:r>
            <w:r w:rsidRPr="00BD451E">
              <w:t>)</w:t>
            </w:r>
          </w:p>
        </w:tc>
        <w:tc>
          <w:tcPr>
            <w:tcW w:w="875" w:type="pct"/>
            <w:noWrap/>
            <w:hideMark/>
          </w:tcPr>
          <w:p w14:paraId="33C46FE9"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 xml:space="preserve">Kayser, R. </w:t>
            </w:r>
          </w:p>
        </w:tc>
        <w:tc>
          <w:tcPr>
            <w:tcW w:w="515" w:type="pct"/>
            <w:noWrap/>
            <w:hideMark/>
          </w:tcPr>
          <w:p w14:paraId="1205FB63"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United States</w:t>
            </w:r>
          </w:p>
        </w:tc>
        <w:tc>
          <w:tcPr>
            <w:tcW w:w="618" w:type="pct"/>
            <w:noWrap/>
            <w:hideMark/>
          </w:tcPr>
          <w:p w14:paraId="0A89D238" w14:textId="77777777" w:rsidR="00BD451E" w:rsidRPr="00BD451E" w:rsidRDefault="00BD451E" w:rsidP="00BD451E">
            <w:pPr>
              <w:cnfStyle w:val="000000100000" w:firstRow="0" w:lastRow="0" w:firstColumn="0" w:lastColumn="0" w:oddVBand="0" w:evenVBand="0" w:oddHBand="1" w:evenHBand="0" w:firstRowFirstColumn="0" w:firstRowLastColumn="0" w:lastRowFirstColumn="0" w:lastRowLastColumn="0"/>
            </w:pPr>
            <w:r w:rsidRPr="00BD451E">
              <w:t>2021 (May 10)</w:t>
            </w:r>
          </w:p>
        </w:tc>
        <w:tc>
          <w:tcPr>
            <w:tcW w:w="640" w:type="pct"/>
            <w:noWrap/>
            <w:hideMark/>
          </w:tcPr>
          <w:p w14:paraId="64526C3C" w14:textId="77777777" w:rsidR="00BD451E" w:rsidRPr="00BD451E" w:rsidRDefault="00BD451E" w:rsidP="00BD451E">
            <w:pPr>
              <w:cnfStyle w:val="000000100000" w:firstRow="0" w:lastRow="0" w:firstColumn="0" w:lastColumn="0" w:oddVBand="0" w:evenVBand="0" w:oddHBand="1" w:evenHBand="0" w:firstRowFirstColumn="0" w:firstRowLastColumn="0" w:lastRowFirstColumn="0" w:lastRowLastColumn="0"/>
            </w:pPr>
            <w:r w:rsidRPr="00BD451E">
              <w:t>2026 (Jul 1)</w:t>
            </w:r>
          </w:p>
        </w:tc>
      </w:tr>
      <w:tr w:rsidR="00180ECE" w:rsidRPr="00BD451E" w14:paraId="61AA6B52" w14:textId="77777777" w:rsidTr="007A07E2">
        <w:trPr>
          <w:trHeight w:val="401"/>
        </w:trPr>
        <w:tc>
          <w:tcPr>
            <w:cnfStyle w:val="001000000000" w:firstRow="0" w:lastRow="0" w:firstColumn="1" w:lastColumn="0" w:oddVBand="0" w:evenVBand="0" w:oddHBand="0" w:evenHBand="0" w:firstRowFirstColumn="0" w:firstRowLastColumn="0" w:lastRowFirstColumn="0" w:lastRowLastColumn="0"/>
            <w:tcW w:w="152" w:type="pct"/>
            <w:noWrap/>
            <w:hideMark/>
          </w:tcPr>
          <w:p w14:paraId="62A4E38F" w14:textId="77777777" w:rsidR="00BD451E" w:rsidRPr="00264ECE" w:rsidRDefault="00BD451E" w:rsidP="00BD451E">
            <w:r w:rsidRPr="00264ECE">
              <w:t>4</w:t>
            </w:r>
          </w:p>
        </w:tc>
        <w:tc>
          <w:tcPr>
            <w:tcW w:w="494" w:type="pct"/>
            <w:noWrap/>
            <w:hideMark/>
          </w:tcPr>
          <w:p w14:paraId="6ABAC0E2" w14:textId="77777777"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NCT05041647</w:t>
            </w:r>
          </w:p>
        </w:tc>
        <w:tc>
          <w:tcPr>
            <w:tcW w:w="984" w:type="pct"/>
            <w:hideMark/>
          </w:tcPr>
          <w:p w14:paraId="19869970" w14:textId="3E07A42F"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Depression</w:t>
            </w:r>
            <w:r w:rsidR="0028139E">
              <w:t>/Insomnia</w:t>
            </w:r>
          </w:p>
        </w:tc>
        <w:tc>
          <w:tcPr>
            <w:tcW w:w="721" w:type="pct"/>
            <w:noWrap/>
            <w:hideMark/>
          </w:tcPr>
          <w:p w14:paraId="5BB9106A" w14:textId="0A25EECB" w:rsidR="00BD451E" w:rsidRPr="00BD451E" w:rsidRDefault="00BD451E" w:rsidP="00BD451E">
            <w:pPr>
              <w:cnfStyle w:val="000000000000" w:firstRow="0" w:lastRow="0" w:firstColumn="0" w:lastColumn="0" w:oddVBand="0" w:evenVBand="0" w:oddHBand="0" w:evenHBand="0" w:firstRowFirstColumn="0" w:firstRowLastColumn="0" w:lastRowFirstColumn="0" w:lastRowLastColumn="0"/>
            </w:pPr>
            <w:r w:rsidRPr="00BD451E">
              <w:t>CBD/THC</w:t>
            </w:r>
            <w:r w:rsidR="0028139E">
              <w:t xml:space="preserve"> (oil)</w:t>
            </w:r>
          </w:p>
        </w:tc>
        <w:tc>
          <w:tcPr>
            <w:tcW w:w="875" w:type="pct"/>
            <w:noWrap/>
            <w:hideMark/>
          </w:tcPr>
          <w:p w14:paraId="65B78B39" w14:textId="77777777"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Frey, B. N.</w:t>
            </w:r>
          </w:p>
        </w:tc>
        <w:tc>
          <w:tcPr>
            <w:tcW w:w="515" w:type="pct"/>
            <w:noWrap/>
            <w:hideMark/>
          </w:tcPr>
          <w:p w14:paraId="4D64E5F1" w14:textId="77777777"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 xml:space="preserve">Canada </w:t>
            </w:r>
          </w:p>
        </w:tc>
        <w:tc>
          <w:tcPr>
            <w:tcW w:w="618" w:type="pct"/>
            <w:noWrap/>
            <w:hideMark/>
          </w:tcPr>
          <w:p w14:paraId="32D63F65" w14:textId="77777777" w:rsidR="00BD451E" w:rsidRPr="00BD451E" w:rsidRDefault="00BD451E" w:rsidP="00BD451E">
            <w:pPr>
              <w:cnfStyle w:val="000000000000" w:firstRow="0" w:lastRow="0" w:firstColumn="0" w:lastColumn="0" w:oddVBand="0" w:evenVBand="0" w:oddHBand="0" w:evenHBand="0" w:firstRowFirstColumn="0" w:firstRowLastColumn="0" w:lastRowFirstColumn="0" w:lastRowLastColumn="0"/>
            </w:pPr>
            <w:r w:rsidRPr="00BD451E">
              <w:t>2021 (Sep 13)</w:t>
            </w:r>
          </w:p>
        </w:tc>
        <w:tc>
          <w:tcPr>
            <w:tcW w:w="640" w:type="pct"/>
            <w:noWrap/>
            <w:hideMark/>
          </w:tcPr>
          <w:p w14:paraId="604ACE4C" w14:textId="77777777" w:rsidR="00BD451E" w:rsidRPr="00BD451E" w:rsidRDefault="00BD451E" w:rsidP="00BD451E">
            <w:pPr>
              <w:cnfStyle w:val="000000000000" w:firstRow="0" w:lastRow="0" w:firstColumn="0" w:lastColumn="0" w:oddVBand="0" w:evenVBand="0" w:oddHBand="0" w:evenHBand="0" w:firstRowFirstColumn="0" w:firstRowLastColumn="0" w:lastRowFirstColumn="0" w:lastRowLastColumn="0"/>
            </w:pPr>
            <w:r w:rsidRPr="00BD451E">
              <w:t>2023 (Jul 31)</w:t>
            </w:r>
          </w:p>
        </w:tc>
      </w:tr>
      <w:tr w:rsidR="00180ECE" w:rsidRPr="00BD451E" w14:paraId="0813B89B" w14:textId="77777777" w:rsidTr="007A07E2">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52" w:type="pct"/>
            <w:noWrap/>
            <w:hideMark/>
          </w:tcPr>
          <w:p w14:paraId="12DA53CE" w14:textId="77777777" w:rsidR="00BD451E" w:rsidRPr="00264ECE" w:rsidRDefault="00BD451E" w:rsidP="00BD451E">
            <w:r w:rsidRPr="00264ECE">
              <w:t>5</w:t>
            </w:r>
          </w:p>
        </w:tc>
        <w:tc>
          <w:tcPr>
            <w:tcW w:w="494" w:type="pct"/>
            <w:noWrap/>
            <w:hideMark/>
          </w:tcPr>
          <w:p w14:paraId="5CCDCA9E"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NCT04205682</w:t>
            </w:r>
          </w:p>
        </w:tc>
        <w:tc>
          <w:tcPr>
            <w:tcW w:w="984" w:type="pct"/>
            <w:hideMark/>
          </w:tcPr>
          <w:p w14:paraId="5DE305DC"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Alcohol Use Disorder (AUD)</w:t>
            </w:r>
          </w:p>
        </w:tc>
        <w:tc>
          <w:tcPr>
            <w:tcW w:w="721" w:type="pct"/>
            <w:noWrap/>
            <w:hideMark/>
          </w:tcPr>
          <w:p w14:paraId="6964A96D" w14:textId="449F6943" w:rsidR="00BD451E" w:rsidRPr="00BD451E" w:rsidRDefault="00BD451E" w:rsidP="00BD451E">
            <w:pPr>
              <w:cnfStyle w:val="000000100000" w:firstRow="0" w:lastRow="0" w:firstColumn="0" w:lastColumn="0" w:oddVBand="0" w:evenVBand="0" w:oddHBand="1" w:evenHBand="0" w:firstRowFirstColumn="0" w:firstRowLastColumn="0" w:lastRowFirstColumn="0" w:lastRowLastColumn="0"/>
            </w:pPr>
            <w:r w:rsidRPr="00BD451E">
              <w:t>CBD</w:t>
            </w:r>
            <w:r w:rsidR="003730A2">
              <w:t xml:space="preserve"> (capsule)</w:t>
            </w:r>
          </w:p>
        </w:tc>
        <w:tc>
          <w:tcPr>
            <w:tcW w:w="875" w:type="pct"/>
            <w:hideMark/>
          </w:tcPr>
          <w:p w14:paraId="55C4B900"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Haber, P., Lintzeris, N., McGregor, I., &amp; Morley K.</w:t>
            </w:r>
          </w:p>
        </w:tc>
        <w:tc>
          <w:tcPr>
            <w:tcW w:w="515" w:type="pct"/>
            <w:noWrap/>
            <w:hideMark/>
          </w:tcPr>
          <w:p w14:paraId="76FA1F3F"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Australia</w:t>
            </w:r>
          </w:p>
        </w:tc>
        <w:tc>
          <w:tcPr>
            <w:tcW w:w="618" w:type="pct"/>
            <w:noWrap/>
            <w:hideMark/>
          </w:tcPr>
          <w:p w14:paraId="748DA374" w14:textId="77777777" w:rsidR="00BD451E" w:rsidRPr="00BD451E" w:rsidRDefault="00BD451E" w:rsidP="00BD451E">
            <w:pPr>
              <w:cnfStyle w:val="000000100000" w:firstRow="0" w:lastRow="0" w:firstColumn="0" w:lastColumn="0" w:oddVBand="0" w:evenVBand="0" w:oddHBand="1" w:evenHBand="0" w:firstRowFirstColumn="0" w:firstRowLastColumn="0" w:lastRowFirstColumn="0" w:lastRowLastColumn="0"/>
            </w:pPr>
            <w:r w:rsidRPr="00BD451E">
              <w:t>2019 (Dec 19)</w:t>
            </w:r>
          </w:p>
        </w:tc>
        <w:tc>
          <w:tcPr>
            <w:tcW w:w="640" w:type="pct"/>
            <w:noWrap/>
            <w:hideMark/>
          </w:tcPr>
          <w:p w14:paraId="78C484CF" w14:textId="77777777" w:rsidR="00BD451E" w:rsidRPr="00BD451E" w:rsidRDefault="00BD451E" w:rsidP="00BD451E">
            <w:pPr>
              <w:cnfStyle w:val="000000100000" w:firstRow="0" w:lastRow="0" w:firstColumn="0" w:lastColumn="0" w:oddVBand="0" w:evenVBand="0" w:oddHBand="1" w:evenHBand="0" w:firstRowFirstColumn="0" w:firstRowLastColumn="0" w:lastRowFirstColumn="0" w:lastRowLastColumn="0"/>
            </w:pPr>
            <w:r w:rsidRPr="00BD451E">
              <w:t>2021 (Jan 31)</w:t>
            </w:r>
          </w:p>
        </w:tc>
      </w:tr>
      <w:tr w:rsidR="00180ECE" w:rsidRPr="00BD451E" w14:paraId="0E0A379D" w14:textId="77777777" w:rsidTr="007A07E2">
        <w:trPr>
          <w:trHeight w:val="404"/>
        </w:trPr>
        <w:tc>
          <w:tcPr>
            <w:cnfStyle w:val="001000000000" w:firstRow="0" w:lastRow="0" w:firstColumn="1" w:lastColumn="0" w:oddVBand="0" w:evenVBand="0" w:oddHBand="0" w:evenHBand="0" w:firstRowFirstColumn="0" w:firstRowLastColumn="0" w:lastRowFirstColumn="0" w:lastRowLastColumn="0"/>
            <w:tcW w:w="152" w:type="pct"/>
            <w:noWrap/>
            <w:hideMark/>
          </w:tcPr>
          <w:p w14:paraId="66B474DF" w14:textId="77777777" w:rsidR="00BD451E" w:rsidRPr="00264ECE" w:rsidRDefault="00BD451E" w:rsidP="00BD451E">
            <w:r w:rsidRPr="00264ECE">
              <w:t>6</w:t>
            </w:r>
          </w:p>
        </w:tc>
        <w:tc>
          <w:tcPr>
            <w:tcW w:w="494" w:type="pct"/>
            <w:noWrap/>
            <w:hideMark/>
          </w:tcPr>
          <w:p w14:paraId="33F46C86" w14:textId="77777777"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NCT03787628</w:t>
            </w:r>
          </w:p>
        </w:tc>
        <w:tc>
          <w:tcPr>
            <w:tcW w:w="984" w:type="pct"/>
            <w:hideMark/>
          </w:tcPr>
          <w:p w14:paraId="42F41E88" w14:textId="77777777"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Opioid Use Disorder</w:t>
            </w:r>
          </w:p>
        </w:tc>
        <w:tc>
          <w:tcPr>
            <w:tcW w:w="721" w:type="pct"/>
            <w:noWrap/>
            <w:hideMark/>
          </w:tcPr>
          <w:p w14:paraId="2A4416AF" w14:textId="1306F40B" w:rsidR="00BD451E" w:rsidRPr="00BD451E" w:rsidRDefault="00BD451E" w:rsidP="00BD451E">
            <w:pPr>
              <w:cnfStyle w:val="000000000000" w:firstRow="0" w:lastRow="0" w:firstColumn="0" w:lastColumn="0" w:oddVBand="0" w:evenVBand="0" w:oddHBand="0" w:evenHBand="0" w:firstRowFirstColumn="0" w:firstRowLastColumn="0" w:lastRowFirstColumn="0" w:lastRowLastColumn="0"/>
            </w:pPr>
            <w:r w:rsidRPr="00BD451E">
              <w:t>CBD</w:t>
            </w:r>
            <w:r w:rsidR="00E92FF2">
              <w:t xml:space="preserve"> </w:t>
            </w:r>
            <w:r w:rsidR="000C6877" w:rsidRPr="000C6877">
              <w:t>(capsule)</w:t>
            </w:r>
          </w:p>
        </w:tc>
        <w:tc>
          <w:tcPr>
            <w:tcW w:w="875" w:type="pct"/>
            <w:noWrap/>
            <w:hideMark/>
          </w:tcPr>
          <w:p w14:paraId="1126F1CC" w14:textId="77777777"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London, E. &amp; De La Garza, R.</w:t>
            </w:r>
          </w:p>
        </w:tc>
        <w:tc>
          <w:tcPr>
            <w:tcW w:w="515" w:type="pct"/>
            <w:noWrap/>
            <w:hideMark/>
          </w:tcPr>
          <w:p w14:paraId="1E16D7C2" w14:textId="77777777"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United States</w:t>
            </w:r>
          </w:p>
        </w:tc>
        <w:tc>
          <w:tcPr>
            <w:tcW w:w="618" w:type="pct"/>
            <w:noWrap/>
            <w:hideMark/>
          </w:tcPr>
          <w:p w14:paraId="6D5FED3D" w14:textId="77777777" w:rsidR="00BD451E" w:rsidRPr="00BD451E" w:rsidRDefault="00BD451E" w:rsidP="00BD451E">
            <w:pPr>
              <w:cnfStyle w:val="000000000000" w:firstRow="0" w:lastRow="0" w:firstColumn="0" w:lastColumn="0" w:oddVBand="0" w:evenVBand="0" w:oddHBand="0" w:evenHBand="0" w:firstRowFirstColumn="0" w:firstRowLastColumn="0" w:lastRowFirstColumn="0" w:lastRowLastColumn="0"/>
            </w:pPr>
            <w:r w:rsidRPr="00BD451E">
              <w:t>2018 (Dec 26)</w:t>
            </w:r>
          </w:p>
        </w:tc>
        <w:tc>
          <w:tcPr>
            <w:tcW w:w="640" w:type="pct"/>
            <w:noWrap/>
            <w:hideMark/>
          </w:tcPr>
          <w:p w14:paraId="141D2D1B" w14:textId="77777777" w:rsidR="00BD451E" w:rsidRPr="00BD451E" w:rsidRDefault="00BD451E" w:rsidP="00BD451E">
            <w:pPr>
              <w:cnfStyle w:val="000000000000" w:firstRow="0" w:lastRow="0" w:firstColumn="0" w:lastColumn="0" w:oddVBand="0" w:evenVBand="0" w:oddHBand="0" w:evenHBand="0" w:firstRowFirstColumn="0" w:firstRowLastColumn="0" w:lastRowFirstColumn="0" w:lastRowLastColumn="0"/>
            </w:pPr>
            <w:r w:rsidRPr="00BD451E">
              <w:t>2023 (Nov 15)</w:t>
            </w:r>
          </w:p>
        </w:tc>
      </w:tr>
      <w:tr w:rsidR="00180ECE" w:rsidRPr="00BD451E" w14:paraId="4F1D5C09" w14:textId="77777777" w:rsidTr="007A07E2">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2" w:type="pct"/>
            <w:noWrap/>
            <w:hideMark/>
          </w:tcPr>
          <w:p w14:paraId="56D0615C" w14:textId="77777777" w:rsidR="00BD451E" w:rsidRPr="00264ECE" w:rsidRDefault="00BD451E" w:rsidP="00BD451E">
            <w:r w:rsidRPr="00264ECE">
              <w:t>7</w:t>
            </w:r>
          </w:p>
        </w:tc>
        <w:tc>
          <w:tcPr>
            <w:tcW w:w="494" w:type="pct"/>
            <w:noWrap/>
            <w:hideMark/>
          </w:tcPr>
          <w:p w14:paraId="1333EE33"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NCT03248167</w:t>
            </w:r>
          </w:p>
        </w:tc>
        <w:tc>
          <w:tcPr>
            <w:tcW w:w="984" w:type="pct"/>
            <w:hideMark/>
          </w:tcPr>
          <w:p w14:paraId="4A45E3F5"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AUD comorbid PTSD</w:t>
            </w:r>
          </w:p>
        </w:tc>
        <w:tc>
          <w:tcPr>
            <w:tcW w:w="721" w:type="pct"/>
            <w:noWrap/>
            <w:hideMark/>
          </w:tcPr>
          <w:p w14:paraId="76470824" w14:textId="643DEE77" w:rsidR="00BD451E" w:rsidRPr="00BD451E" w:rsidRDefault="00BD451E" w:rsidP="00BD451E">
            <w:pPr>
              <w:cnfStyle w:val="000000100000" w:firstRow="0" w:lastRow="0" w:firstColumn="0" w:lastColumn="0" w:oddVBand="0" w:evenVBand="0" w:oddHBand="1" w:evenHBand="0" w:firstRowFirstColumn="0" w:firstRowLastColumn="0" w:lastRowFirstColumn="0" w:lastRowLastColumn="0"/>
            </w:pPr>
            <w:r w:rsidRPr="00BD451E">
              <w:t>CBD</w:t>
            </w:r>
            <w:r w:rsidR="00F101E3">
              <w:t xml:space="preserve"> (capsule)</w:t>
            </w:r>
          </w:p>
        </w:tc>
        <w:tc>
          <w:tcPr>
            <w:tcW w:w="875" w:type="pct"/>
            <w:noWrap/>
            <w:hideMark/>
          </w:tcPr>
          <w:p w14:paraId="1E103AA0"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Marmar, C. R.</w:t>
            </w:r>
          </w:p>
        </w:tc>
        <w:tc>
          <w:tcPr>
            <w:tcW w:w="515" w:type="pct"/>
            <w:noWrap/>
            <w:hideMark/>
          </w:tcPr>
          <w:p w14:paraId="6FA5D52D"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United States</w:t>
            </w:r>
          </w:p>
        </w:tc>
        <w:tc>
          <w:tcPr>
            <w:tcW w:w="618" w:type="pct"/>
            <w:noWrap/>
            <w:hideMark/>
          </w:tcPr>
          <w:p w14:paraId="47F0235F" w14:textId="77777777" w:rsidR="00BD451E" w:rsidRPr="00BD451E" w:rsidRDefault="00BD451E" w:rsidP="00BD451E">
            <w:pPr>
              <w:cnfStyle w:val="000000100000" w:firstRow="0" w:lastRow="0" w:firstColumn="0" w:lastColumn="0" w:oddVBand="0" w:evenVBand="0" w:oddHBand="1" w:evenHBand="0" w:firstRowFirstColumn="0" w:firstRowLastColumn="0" w:lastRowFirstColumn="0" w:lastRowLastColumn="0"/>
            </w:pPr>
            <w:r w:rsidRPr="00BD451E">
              <w:t>2017 (Aug 14)</w:t>
            </w:r>
          </w:p>
        </w:tc>
        <w:tc>
          <w:tcPr>
            <w:tcW w:w="640" w:type="pct"/>
            <w:noWrap/>
            <w:hideMark/>
          </w:tcPr>
          <w:p w14:paraId="6289CF72" w14:textId="77777777" w:rsidR="00BD451E" w:rsidRPr="00BD451E" w:rsidRDefault="00BD451E" w:rsidP="00BD451E">
            <w:pPr>
              <w:cnfStyle w:val="000000100000" w:firstRow="0" w:lastRow="0" w:firstColumn="0" w:lastColumn="0" w:oddVBand="0" w:evenVBand="0" w:oddHBand="1" w:evenHBand="0" w:firstRowFirstColumn="0" w:firstRowLastColumn="0" w:lastRowFirstColumn="0" w:lastRowLastColumn="0"/>
            </w:pPr>
            <w:r w:rsidRPr="00BD451E">
              <w:t>2022 (Apr 20)</w:t>
            </w:r>
          </w:p>
        </w:tc>
      </w:tr>
      <w:tr w:rsidR="00180ECE" w:rsidRPr="00BD451E" w14:paraId="4231517D" w14:textId="77777777" w:rsidTr="007A07E2">
        <w:trPr>
          <w:trHeight w:val="383"/>
        </w:trPr>
        <w:tc>
          <w:tcPr>
            <w:cnfStyle w:val="001000000000" w:firstRow="0" w:lastRow="0" w:firstColumn="1" w:lastColumn="0" w:oddVBand="0" w:evenVBand="0" w:oddHBand="0" w:evenHBand="0" w:firstRowFirstColumn="0" w:firstRowLastColumn="0" w:lastRowFirstColumn="0" w:lastRowLastColumn="0"/>
            <w:tcW w:w="152" w:type="pct"/>
            <w:noWrap/>
            <w:hideMark/>
          </w:tcPr>
          <w:p w14:paraId="787BCF79" w14:textId="77777777" w:rsidR="00BD451E" w:rsidRPr="00264ECE" w:rsidRDefault="00BD451E" w:rsidP="00BD451E">
            <w:r w:rsidRPr="00264ECE">
              <w:t>8</w:t>
            </w:r>
          </w:p>
        </w:tc>
        <w:tc>
          <w:tcPr>
            <w:tcW w:w="494" w:type="pct"/>
            <w:noWrap/>
            <w:hideMark/>
          </w:tcPr>
          <w:p w14:paraId="40D35409" w14:textId="77777777"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NCT03518801</w:t>
            </w:r>
          </w:p>
        </w:tc>
        <w:tc>
          <w:tcPr>
            <w:tcW w:w="984" w:type="pct"/>
            <w:hideMark/>
          </w:tcPr>
          <w:p w14:paraId="064BB983" w14:textId="5BA10123"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PTSD</w:t>
            </w:r>
            <w:r w:rsidR="00D6531B">
              <w:t xml:space="preserve"> (</w:t>
            </w:r>
            <w:r w:rsidR="006C2338">
              <w:t>m</w:t>
            </w:r>
            <w:r w:rsidR="00D6531B">
              <w:t xml:space="preserve">ilitary </w:t>
            </w:r>
            <w:r w:rsidR="006C2338">
              <w:t>v</w:t>
            </w:r>
            <w:r w:rsidR="00D6531B">
              <w:t>eterans)</w:t>
            </w:r>
          </w:p>
        </w:tc>
        <w:tc>
          <w:tcPr>
            <w:tcW w:w="721" w:type="pct"/>
            <w:noWrap/>
            <w:hideMark/>
          </w:tcPr>
          <w:p w14:paraId="22187AB5" w14:textId="7459DF30" w:rsidR="00BD451E" w:rsidRPr="00BD451E" w:rsidRDefault="00BD451E" w:rsidP="00BD451E">
            <w:pPr>
              <w:cnfStyle w:val="000000000000" w:firstRow="0" w:lastRow="0" w:firstColumn="0" w:lastColumn="0" w:oddVBand="0" w:evenVBand="0" w:oddHBand="0" w:evenHBand="0" w:firstRowFirstColumn="0" w:firstRowLastColumn="0" w:lastRowFirstColumn="0" w:lastRowLastColumn="0"/>
            </w:pPr>
            <w:r w:rsidRPr="00BD451E">
              <w:t>CBD</w:t>
            </w:r>
            <w:r w:rsidR="001E1F87">
              <w:t xml:space="preserve"> </w:t>
            </w:r>
            <w:r w:rsidR="009756EA" w:rsidRPr="009756EA">
              <w:t xml:space="preserve">(oral) </w:t>
            </w:r>
            <w:r w:rsidR="000E242D">
              <w:t>+ Prolonged Exposure</w:t>
            </w:r>
          </w:p>
        </w:tc>
        <w:tc>
          <w:tcPr>
            <w:tcW w:w="875" w:type="pct"/>
            <w:noWrap/>
            <w:hideMark/>
          </w:tcPr>
          <w:p w14:paraId="20283A5D" w14:textId="77777777"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 xml:space="preserve">Ayers, C. R. &amp; Martis, B.                           </w:t>
            </w:r>
          </w:p>
        </w:tc>
        <w:tc>
          <w:tcPr>
            <w:tcW w:w="515" w:type="pct"/>
            <w:noWrap/>
            <w:hideMark/>
          </w:tcPr>
          <w:p w14:paraId="4253B5A3" w14:textId="77777777"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United States</w:t>
            </w:r>
          </w:p>
        </w:tc>
        <w:tc>
          <w:tcPr>
            <w:tcW w:w="618" w:type="pct"/>
            <w:noWrap/>
            <w:hideMark/>
          </w:tcPr>
          <w:p w14:paraId="206BFC5E" w14:textId="77777777" w:rsidR="00BD451E" w:rsidRPr="00BD451E" w:rsidRDefault="00BD451E" w:rsidP="00BD451E">
            <w:pPr>
              <w:cnfStyle w:val="000000000000" w:firstRow="0" w:lastRow="0" w:firstColumn="0" w:lastColumn="0" w:oddVBand="0" w:evenVBand="0" w:oddHBand="0" w:evenHBand="0" w:firstRowFirstColumn="0" w:firstRowLastColumn="0" w:lastRowFirstColumn="0" w:lastRowLastColumn="0"/>
            </w:pPr>
            <w:r w:rsidRPr="00BD451E">
              <w:t>2018 (May 18)</w:t>
            </w:r>
          </w:p>
        </w:tc>
        <w:tc>
          <w:tcPr>
            <w:tcW w:w="640" w:type="pct"/>
            <w:noWrap/>
            <w:hideMark/>
          </w:tcPr>
          <w:p w14:paraId="69BD66EE" w14:textId="77777777" w:rsidR="00BD451E" w:rsidRPr="00BD451E" w:rsidRDefault="00BD451E" w:rsidP="00BD451E">
            <w:pPr>
              <w:cnfStyle w:val="000000000000" w:firstRow="0" w:lastRow="0" w:firstColumn="0" w:lastColumn="0" w:oddVBand="0" w:evenVBand="0" w:oddHBand="0" w:evenHBand="0" w:firstRowFirstColumn="0" w:firstRowLastColumn="0" w:lastRowFirstColumn="0" w:lastRowLastColumn="0"/>
            </w:pPr>
            <w:r w:rsidRPr="00BD451E">
              <w:t>2024 (Sep 30)</w:t>
            </w:r>
          </w:p>
        </w:tc>
      </w:tr>
      <w:tr w:rsidR="00180ECE" w:rsidRPr="00BD451E" w14:paraId="5AFEF26A" w14:textId="77777777" w:rsidTr="007A07E2">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52" w:type="pct"/>
            <w:noWrap/>
            <w:hideMark/>
          </w:tcPr>
          <w:p w14:paraId="279D743E" w14:textId="77777777" w:rsidR="00BD451E" w:rsidRPr="00264ECE" w:rsidRDefault="00BD451E" w:rsidP="00BD451E">
            <w:r w:rsidRPr="00264ECE">
              <w:t>9</w:t>
            </w:r>
          </w:p>
        </w:tc>
        <w:tc>
          <w:tcPr>
            <w:tcW w:w="494" w:type="pct"/>
            <w:noWrap/>
            <w:hideMark/>
          </w:tcPr>
          <w:p w14:paraId="5E814690"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NCT04550377</w:t>
            </w:r>
          </w:p>
        </w:tc>
        <w:tc>
          <w:tcPr>
            <w:tcW w:w="984" w:type="pct"/>
            <w:hideMark/>
          </w:tcPr>
          <w:p w14:paraId="207CEC90" w14:textId="22F2291C"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PTSD</w:t>
            </w:r>
            <w:r w:rsidR="006C24CE">
              <w:t xml:space="preserve"> (</w:t>
            </w:r>
            <w:r w:rsidR="00BB0FC7" w:rsidRPr="00BB0FC7">
              <w:t>comorbid mild traumatic brain injury</w:t>
            </w:r>
            <w:r w:rsidR="00BB0FC7">
              <w:t>)</w:t>
            </w:r>
          </w:p>
        </w:tc>
        <w:tc>
          <w:tcPr>
            <w:tcW w:w="721" w:type="pct"/>
            <w:noWrap/>
            <w:hideMark/>
          </w:tcPr>
          <w:p w14:paraId="738C1984" w14:textId="5AA042BA" w:rsidR="00BD451E" w:rsidRPr="00BD451E" w:rsidRDefault="00BD451E" w:rsidP="00BD451E">
            <w:pPr>
              <w:cnfStyle w:val="000000100000" w:firstRow="0" w:lastRow="0" w:firstColumn="0" w:lastColumn="0" w:oddVBand="0" w:evenVBand="0" w:oddHBand="1" w:evenHBand="0" w:firstRowFirstColumn="0" w:firstRowLastColumn="0" w:lastRowFirstColumn="0" w:lastRowLastColumn="0"/>
            </w:pPr>
            <w:r w:rsidRPr="00BD451E">
              <w:t>CBD</w:t>
            </w:r>
            <w:r w:rsidR="00BB0FC7">
              <w:t xml:space="preserve"> (oral)</w:t>
            </w:r>
          </w:p>
        </w:tc>
        <w:tc>
          <w:tcPr>
            <w:tcW w:w="875" w:type="pct"/>
            <w:hideMark/>
          </w:tcPr>
          <w:p w14:paraId="60BBC88C"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Blessing, E. M. &amp; Marmar, C. R.</w:t>
            </w:r>
          </w:p>
        </w:tc>
        <w:tc>
          <w:tcPr>
            <w:tcW w:w="515" w:type="pct"/>
            <w:noWrap/>
            <w:hideMark/>
          </w:tcPr>
          <w:p w14:paraId="1F099CC5"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United States</w:t>
            </w:r>
          </w:p>
        </w:tc>
        <w:tc>
          <w:tcPr>
            <w:tcW w:w="618" w:type="pct"/>
            <w:noWrap/>
            <w:hideMark/>
          </w:tcPr>
          <w:p w14:paraId="4ECFF959" w14:textId="77777777" w:rsidR="00BD451E" w:rsidRPr="00BD451E" w:rsidRDefault="00BD451E" w:rsidP="00BD451E">
            <w:pPr>
              <w:cnfStyle w:val="000000100000" w:firstRow="0" w:lastRow="0" w:firstColumn="0" w:lastColumn="0" w:oddVBand="0" w:evenVBand="0" w:oddHBand="1" w:evenHBand="0" w:firstRowFirstColumn="0" w:firstRowLastColumn="0" w:lastRowFirstColumn="0" w:lastRowLastColumn="0"/>
            </w:pPr>
            <w:r w:rsidRPr="00BD451E">
              <w:t>2020 (Sep 16)</w:t>
            </w:r>
          </w:p>
        </w:tc>
        <w:tc>
          <w:tcPr>
            <w:tcW w:w="640" w:type="pct"/>
            <w:noWrap/>
            <w:hideMark/>
          </w:tcPr>
          <w:p w14:paraId="1B9DA5A0" w14:textId="77777777" w:rsidR="00BD451E" w:rsidRPr="00BD451E" w:rsidRDefault="00BD451E" w:rsidP="00BD451E">
            <w:pPr>
              <w:cnfStyle w:val="000000100000" w:firstRow="0" w:lastRow="0" w:firstColumn="0" w:lastColumn="0" w:oddVBand="0" w:evenVBand="0" w:oddHBand="1" w:evenHBand="0" w:firstRowFirstColumn="0" w:firstRowLastColumn="0" w:lastRowFirstColumn="0" w:lastRowLastColumn="0"/>
            </w:pPr>
            <w:r w:rsidRPr="00BD451E">
              <w:t>2023 (Jul 31)</w:t>
            </w:r>
          </w:p>
        </w:tc>
      </w:tr>
      <w:tr w:rsidR="00180ECE" w:rsidRPr="00BD451E" w14:paraId="40AE1F9E" w14:textId="77777777" w:rsidTr="007A07E2">
        <w:trPr>
          <w:trHeight w:val="429"/>
        </w:trPr>
        <w:tc>
          <w:tcPr>
            <w:cnfStyle w:val="001000000000" w:firstRow="0" w:lastRow="0" w:firstColumn="1" w:lastColumn="0" w:oddVBand="0" w:evenVBand="0" w:oddHBand="0" w:evenHBand="0" w:firstRowFirstColumn="0" w:firstRowLastColumn="0" w:lastRowFirstColumn="0" w:lastRowLastColumn="0"/>
            <w:tcW w:w="152" w:type="pct"/>
            <w:noWrap/>
            <w:hideMark/>
          </w:tcPr>
          <w:p w14:paraId="150733C5" w14:textId="77777777" w:rsidR="00BD451E" w:rsidRPr="00264ECE" w:rsidRDefault="00BD451E" w:rsidP="00BD451E">
            <w:r w:rsidRPr="00264ECE">
              <w:t>10</w:t>
            </w:r>
          </w:p>
        </w:tc>
        <w:tc>
          <w:tcPr>
            <w:tcW w:w="494" w:type="pct"/>
            <w:noWrap/>
            <w:hideMark/>
          </w:tcPr>
          <w:p w14:paraId="5059B6AD" w14:textId="77777777"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NCT04080427</w:t>
            </w:r>
          </w:p>
        </w:tc>
        <w:tc>
          <w:tcPr>
            <w:tcW w:w="984" w:type="pct"/>
            <w:hideMark/>
          </w:tcPr>
          <w:p w14:paraId="1CC1E7D6" w14:textId="77777777"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PTSD</w:t>
            </w:r>
          </w:p>
        </w:tc>
        <w:tc>
          <w:tcPr>
            <w:tcW w:w="721" w:type="pct"/>
            <w:noWrap/>
            <w:hideMark/>
          </w:tcPr>
          <w:p w14:paraId="55E7C02D" w14:textId="4AB58391" w:rsidR="00BD451E" w:rsidRPr="00BD451E" w:rsidRDefault="00BD451E" w:rsidP="00BD451E">
            <w:pPr>
              <w:cnfStyle w:val="000000000000" w:firstRow="0" w:lastRow="0" w:firstColumn="0" w:lastColumn="0" w:oddVBand="0" w:evenVBand="0" w:oddHBand="0" w:evenHBand="0" w:firstRowFirstColumn="0" w:firstRowLastColumn="0" w:lastRowFirstColumn="0" w:lastRowLastColumn="0"/>
            </w:pPr>
            <w:r w:rsidRPr="00BD451E">
              <w:t>THC</w:t>
            </w:r>
            <w:r w:rsidR="001555D7">
              <w:t xml:space="preserve"> (</w:t>
            </w:r>
            <w:r w:rsidR="006C2338">
              <w:t>d</w:t>
            </w:r>
            <w:r w:rsidR="001555D7">
              <w:t>ronabinol capsules)</w:t>
            </w:r>
          </w:p>
        </w:tc>
        <w:tc>
          <w:tcPr>
            <w:tcW w:w="875" w:type="pct"/>
            <w:noWrap/>
            <w:hideMark/>
          </w:tcPr>
          <w:p w14:paraId="36C46A78" w14:textId="77777777"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Rabinak, C. A.</w:t>
            </w:r>
          </w:p>
        </w:tc>
        <w:tc>
          <w:tcPr>
            <w:tcW w:w="515" w:type="pct"/>
            <w:noWrap/>
            <w:hideMark/>
          </w:tcPr>
          <w:p w14:paraId="28355B8E" w14:textId="77777777"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United States</w:t>
            </w:r>
          </w:p>
        </w:tc>
        <w:tc>
          <w:tcPr>
            <w:tcW w:w="618" w:type="pct"/>
            <w:noWrap/>
            <w:hideMark/>
          </w:tcPr>
          <w:p w14:paraId="220627E3" w14:textId="77777777" w:rsidR="00BD451E" w:rsidRPr="00BD451E" w:rsidRDefault="00BD451E" w:rsidP="00BD451E">
            <w:pPr>
              <w:cnfStyle w:val="000000000000" w:firstRow="0" w:lastRow="0" w:firstColumn="0" w:lastColumn="0" w:oddVBand="0" w:evenVBand="0" w:oddHBand="0" w:evenHBand="0" w:firstRowFirstColumn="0" w:firstRowLastColumn="0" w:lastRowFirstColumn="0" w:lastRowLastColumn="0"/>
            </w:pPr>
            <w:r w:rsidRPr="00BD451E">
              <w:t>2019 (Sep 6)</w:t>
            </w:r>
          </w:p>
        </w:tc>
        <w:tc>
          <w:tcPr>
            <w:tcW w:w="640" w:type="pct"/>
            <w:noWrap/>
            <w:hideMark/>
          </w:tcPr>
          <w:p w14:paraId="6134E603" w14:textId="77777777" w:rsidR="00BD451E" w:rsidRPr="00BD451E" w:rsidRDefault="00BD451E" w:rsidP="00BD451E">
            <w:pPr>
              <w:cnfStyle w:val="000000000000" w:firstRow="0" w:lastRow="0" w:firstColumn="0" w:lastColumn="0" w:oddVBand="0" w:evenVBand="0" w:oddHBand="0" w:evenHBand="0" w:firstRowFirstColumn="0" w:firstRowLastColumn="0" w:lastRowFirstColumn="0" w:lastRowLastColumn="0"/>
            </w:pPr>
            <w:r w:rsidRPr="00BD451E">
              <w:t>2025 (Dec 31)</w:t>
            </w:r>
          </w:p>
        </w:tc>
      </w:tr>
      <w:tr w:rsidR="00180ECE" w:rsidRPr="00BD451E" w14:paraId="105A7AF4" w14:textId="77777777" w:rsidTr="007A07E2">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52" w:type="pct"/>
            <w:noWrap/>
            <w:hideMark/>
          </w:tcPr>
          <w:p w14:paraId="63FC9E9D" w14:textId="77777777" w:rsidR="00BD451E" w:rsidRPr="00264ECE" w:rsidRDefault="00BD451E" w:rsidP="00BD451E">
            <w:r w:rsidRPr="00264ECE">
              <w:t>11</w:t>
            </w:r>
          </w:p>
        </w:tc>
        <w:tc>
          <w:tcPr>
            <w:tcW w:w="494" w:type="pct"/>
            <w:noWrap/>
            <w:hideMark/>
          </w:tcPr>
          <w:p w14:paraId="6D5DCA9E"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NCT05132699</w:t>
            </w:r>
          </w:p>
        </w:tc>
        <w:tc>
          <w:tcPr>
            <w:tcW w:w="984" w:type="pct"/>
            <w:hideMark/>
          </w:tcPr>
          <w:p w14:paraId="42330A95"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PTSD</w:t>
            </w:r>
          </w:p>
        </w:tc>
        <w:tc>
          <w:tcPr>
            <w:tcW w:w="721" w:type="pct"/>
            <w:noWrap/>
            <w:hideMark/>
          </w:tcPr>
          <w:p w14:paraId="3B29C148" w14:textId="3E3F6C46" w:rsidR="00BD451E" w:rsidRPr="00BD451E" w:rsidRDefault="00BD451E" w:rsidP="00BD451E">
            <w:pPr>
              <w:cnfStyle w:val="000000100000" w:firstRow="0" w:lastRow="0" w:firstColumn="0" w:lastColumn="0" w:oddVBand="0" w:evenVBand="0" w:oddHBand="1" w:evenHBand="0" w:firstRowFirstColumn="0" w:firstRowLastColumn="0" w:lastRowFirstColumn="0" w:lastRowLastColumn="0"/>
            </w:pPr>
            <w:r w:rsidRPr="00BD451E">
              <w:t>CBD</w:t>
            </w:r>
            <w:r w:rsidR="009756EA">
              <w:t xml:space="preserve"> (oral) </w:t>
            </w:r>
            <w:r w:rsidR="009756EA" w:rsidRPr="009756EA">
              <w:t>+ Prolonged Exposure</w:t>
            </w:r>
          </w:p>
        </w:tc>
        <w:tc>
          <w:tcPr>
            <w:tcW w:w="875" w:type="pct"/>
            <w:noWrap/>
            <w:hideMark/>
          </w:tcPr>
          <w:p w14:paraId="4BE8C81D"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Straud, C.</w:t>
            </w:r>
          </w:p>
        </w:tc>
        <w:tc>
          <w:tcPr>
            <w:tcW w:w="515" w:type="pct"/>
            <w:noWrap/>
            <w:hideMark/>
          </w:tcPr>
          <w:p w14:paraId="3C51DC06" w14:textId="77777777" w:rsidR="00BD451E" w:rsidRPr="00BD451E" w:rsidRDefault="00BD451E">
            <w:pPr>
              <w:cnfStyle w:val="000000100000" w:firstRow="0" w:lastRow="0" w:firstColumn="0" w:lastColumn="0" w:oddVBand="0" w:evenVBand="0" w:oddHBand="1" w:evenHBand="0" w:firstRowFirstColumn="0" w:firstRowLastColumn="0" w:lastRowFirstColumn="0" w:lastRowLastColumn="0"/>
            </w:pPr>
            <w:r w:rsidRPr="00BD451E">
              <w:t>United States</w:t>
            </w:r>
          </w:p>
        </w:tc>
        <w:tc>
          <w:tcPr>
            <w:tcW w:w="618" w:type="pct"/>
            <w:noWrap/>
            <w:hideMark/>
          </w:tcPr>
          <w:p w14:paraId="2B72A3B4" w14:textId="77777777" w:rsidR="00BD451E" w:rsidRPr="00BD451E" w:rsidRDefault="00BD451E" w:rsidP="00BD451E">
            <w:pPr>
              <w:cnfStyle w:val="000000100000" w:firstRow="0" w:lastRow="0" w:firstColumn="0" w:lastColumn="0" w:oddVBand="0" w:evenVBand="0" w:oddHBand="1" w:evenHBand="0" w:firstRowFirstColumn="0" w:firstRowLastColumn="0" w:lastRowFirstColumn="0" w:lastRowLastColumn="0"/>
            </w:pPr>
            <w:r w:rsidRPr="00BD451E">
              <w:t>2021 (Nov 24)</w:t>
            </w:r>
          </w:p>
        </w:tc>
        <w:tc>
          <w:tcPr>
            <w:tcW w:w="640" w:type="pct"/>
            <w:noWrap/>
            <w:hideMark/>
          </w:tcPr>
          <w:p w14:paraId="67FEFBD7" w14:textId="77777777" w:rsidR="00BD451E" w:rsidRPr="00BD451E" w:rsidRDefault="00BD451E" w:rsidP="00BD451E">
            <w:pPr>
              <w:cnfStyle w:val="000000100000" w:firstRow="0" w:lastRow="0" w:firstColumn="0" w:lastColumn="0" w:oddVBand="0" w:evenVBand="0" w:oddHBand="1" w:evenHBand="0" w:firstRowFirstColumn="0" w:firstRowLastColumn="0" w:lastRowFirstColumn="0" w:lastRowLastColumn="0"/>
            </w:pPr>
            <w:r w:rsidRPr="00BD451E">
              <w:t>2023 (June 30)</w:t>
            </w:r>
          </w:p>
        </w:tc>
      </w:tr>
      <w:tr w:rsidR="00180ECE" w:rsidRPr="00BD451E" w14:paraId="040770FE" w14:textId="77777777" w:rsidTr="007A07E2">
        <w:trPr>
          <w:trHeight w:val="240"/>
        </w:trPr>
        <w:tc>
          <w:tcPr>
            <w:cnfStyle w:val="001000000000" w:firstRow="0" w:lastRow="0" w:firstColumn="1" w:lastColumn="0" w:oddVBand="0" w:evenVBand="0" w:oddHBand="0" w:evenHBand="0" w:firstRowFirstColumn="0" w:firstRowLastColumn="0" w:lastRowFirstColumn="0" w:lastRowLastColumn="0"/>
            <w:tcW w:w="152" w:type="pct"/>
            <w:noWrap/>
            <w:hideMark/>
          </w:tcPr>
          <w:p w14:paraId="5BD6B930" w14:textId="77777777" w:rsidR="00BD451E" w:rsidRPr="00264ECE" w:rsidRDefault="00BD451E" w:rsidP="00BD451E">
            <w:r w:rsidRPr="00264ECE">
              <w:t>12</w:t>
            </w:r>
          </w:p>
        </w:tc>
        <w:tc>
          <w:tcPr>
            <w:tcW w:w="494" w:type="pct"/>
            <w:noWrap/>
            <w:hideMark/>
          </w:tcPr>
          <w:p w14:paraId="578B5FD2" w14:textId="77777777"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NCT04197102</w:t>
            </w:r>
          </w:p>
        </w:tc>
        <w:tc>
          <w:tcPr>
            <w:tcW w:w="984" w:type="pct"/>
            <w:hideMark/>
          </w:tcPr>
          <w:p w14:paraId="18E7DF05" w14:textId="77777777"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PTSD</w:t>
            </w:r>
          </w:p>
        </w:tc>
        <w:tc>
          <w:tcPr>
            <w:tcW w:w="721" w:type="pct"/>
            <w:noWrap/>
            <w:hideMark/>
          </w:tcPr>
          <w:p w14:paraId="12639398" w14:textId="34A8A988" w:rsidR="00BD451E" w:rsidRPr="00BD451E" w:rsidRDefault="00BD451E" w:rsidP="00BD451E">
            <w:pPr>
              <w:cnfStyle w:val="000000000000" w:firstRow="0" w:lastRow="0" w:firstColumn="0" w:lastColumn="0" w:oddVBand="0" w:evenVBand="0" w:oddHBand="0" w:evenHBand="0" w:firstRowFirstColumn="0" w:firstRowLastColumn="0" w:lastRowFirstColumn="0" w:lastRowLastColumn="0"/>
            </w:pPr>
            <w:r w:rsidRPr="00BD451E">
              <w:t>CBD</w:t>
            </w:r>
            <w:r w:rsidR="006252D6">
              <w:t xml:space="preserve"> (oil)</w:t>
            </w:r>
          </w:p>
        </w:tc>
        <w:tc>
          <w:tcPr>
            <w:tcW w:w="875" w:type="pct"/>
            <w:noWrap/>
            <w:hideMark/>
          </w:tcPr>
          <w:p w14:paraId="1121DA5B" w14:textId="15A56929"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Telch, M. J.</w:t>
            </w:r>
          </w:p>
        </w:tc>
        <w:tc>
          <w:tcPr>
            <w:tcW w:w="515" w:type="pct"/>
            <w:noWrap/>
            <w:hideMark/>
          </w:tcPr>
          <w:p w14:paraId="5AC28802" w14:textId="77777777" w:rsidR="00BD451E" w:rsidRPr="00BD451E" w:rsidRDefault="00BD451E">
            <w:pPr>
              <w:cnfStyle w:val="000000000000" w:firstRow="0" w:lastRow="0" w:firstColumn="0" w:lastColumn="0" w:oddVBand="0" w:evenVBand="0" w:oddHBand="0" w:evenHBand="0" w:firstRowFirstColumn="0" w:firstRowLastColumn="0" w:lastRowFirstColumn="0" w:lastRowLastColumn="0"/>
            </w:pPr>
            <w:r w:rsidRPr="00BD451E">
              <w:t>United States</w:t>
            </w:r>
          </w:p>
        </w:tc>
        <w:tc>
          <w:tcPr>
            <w:tcW w:w="618" w:type="pct"/>
            <w:noWrap/>
            <w:hideMark/>
          </w:tcPr>
          <w:p w14:paraId="73E8A258" w14:textId="77777777" w:rsidR="00BD451E" w:rsidRPr="00BD451E" w:rsidRDefault="00BD451E" w:rsidP="00BD451E">
            <w:pPr>
              <w:cnfStyle w:val="000000000000" w:firstRow="0" w:lastRow="0" w:firstColumn="0" w:lastColumn="0" w:oddVBand="0" w:evenVBand="0" w:oddHBand="0" w:evenHBand="0" w:firstRowFirstColumn="0" w:firstRowLastColumn="0" w:lastRowFirstColumn="0" w:lastRowLastColumn="0"/>
            </w:pPr>
            <w:r w:rsidRPr="00BD451E">
              <w:t>2019 (Dec 12)</w:t>
            </w:r>
          </w:p>
        </w:tc>
        <w:tc>
          <w:tcPr>
            <w:tcW w:w="640" w:type="pct"/>
            <w:noWrap/>
            <w:hideMark/>
          </w:tcPr>
          <w:p w14:paraId="3EA90035" w14:textId="77777777" w:rsidR="00BD451E" w:rsidRPr="00BD451E" w:rsidRDefault="00BD451E" w:rsidP="00BD451E">
            <w:pPr>
              <w:cnfStyle w:val="000000000000" w:firstRow="0" w:lastRow="0" w:firstColumn="0" w:lastColumn="0" w:oddVBand="0" w:evenVBand="0" w:oddHBand="0" w:evenHBand="0" w:firstRowFirstColumn="0" w:firstRowLastColumn="0" w:lastRowFirstColumn="0" w:lastRowLastColumn="0"/>
            </w:pPr>
            <w:r w:rsidRPr="00BD451E">
              <w:t>2024 (May 31)</w:t>
            </w:r>
          </w:p>
        </w:tc>
      </w:tr>
    </w:tbl>
    <w:p w14:paraId="6E833A29" w14:textId="77777777" w:rsidR="00BD451E" w:rsidRPr="00BD451E" w:rsidRDefault="00BD451E" w:rsidP="00180ECE"/>
    <w:p w14:paraId="68BE591F" w14:textId="7D32CDB3" w:rsidR="00BB0D21" w:rsidRPr="009B4D43" w:rsidRDefault="008873AC" w:rsidP="00BB0D21">
      <w:pPr>
        <w:pStyle w:val="Heading3"/>
      </w:pPr>
      <w:bookmarkStart w:id="291" w:name="_Toc121096124"/>
      <w:bookmarkStart w:id="292" w:name="_Toc165018231"/>
      <w:r w:rsidRPr="00F27551">
        <w:lastRenderedPageBreak/>
        <w:t>Ineligible</w:t>
      </w:r>
      <w:r w:rsidR="007D4B99" w:rsidRPr="00F27551">
        <w:t xml:space="preserve"> </w:t>
      </w:r>
      <w:r w:rsidR="00AD18A5">
        <w:t>publication type</w:t>
      </w:r>
      <w:r w:rsidR="007D4B99" w:rsidRPr="00F27551">
        <w:t xml:space="preserve"> (n = </w:t>
      </w:r>
      <w:r w:rsidR="00494D0A">
        <w:t>14</w:t>
      </w:r>
      <w:r w:rsidR="00BB0D21" w:rsidRPr="00F27551">
        <w:t>)</w:t>
      </w:r>
      <w:bookmarkEnd w:id="288"/>
      <w:bookmarkEnd w:id="289"/>
      <w:bookmarkEnd w:id="290"/>
      <w:bookmarkEnd w:id="291"/>
      <w:bookmarkEnd w:id="292"/>
    </w:p>
    <w:tbl>
      <w:tblPr>
        <w:tblStyle w:val="GridTable5Dark-Accent5"/>
        <w:tblW w:w="13887" w:type="dxa"/>
        <w:tblLayout w:type="fixed"/>
        <w:tblLook w:val="04A0" w:firstRow="1" w:lastRow="0" w:firstColumn="1" w:lastColumn="0" w:noHBand="0" w:noVBand="1"/>
      </w:tblPr>
      <w:tblGrid>
        <w:gridCol w:w="562"/>
        <w:gridCol w:w="851"/>
        <w:gridCol w:w="10064"/>
        <w:gridCol w:w="2410"/>
      </w:tblGrid>
      <w:tr w:rsidR="00BB0D21" w:rsidRPr="00AA3472" w14:paraId="3610A125" w14:textId="77777777" w:rsidTr="00290E91">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562" w:type="dxa"/>
            <w:noWrap/>
            <w:hideMark/>
          </w:tcPr>
          <w:p w14:paraId="696DDC44" w14:textId="77777777" w:rsidR="00BB0D21" w:rsidRPr="00AA3472" w:rsidRDefault="00BB0D21" w:rsidP="00BB0D21">
            <w:pPr>
              <w:spacing w:after="0"/>
              <w:jc w:val="center"/>
              <w:rPr>
                <w:rFonts w:eastAsia="Times New Roman" w:cs="Calibri"/>
                <w:szCs w:val="20"/>
                <w:lang w:eastAsia="en-AU"/>
              </w:rPr>
            </w:pPr>
            <w:r w:rsidRPr="00AA3472">
              <w:rPr>
                <w:rFonts w:eastAsia="Times New Roman" w:cs="Calibri"/>
                <w:szCs w:val="20"/>
                <w:lang w:eastAsia="en-AU"/>
              </w:rPr>
              <w:t>#</w:t>
            </w:r>
          </w:p>
        </w:tc>
        <w:tc>
          <w:tcPr>
            <w:tcW w:w="851" w:type="dxa"/>
            <w:noWrap/>
            <w:hideMark/>
          </w:tcPr>
          <w:p w14:paraId="36A80D06" w14:textId="59E2E553" w:rsidR="00BB0D21" w:rsidRPr="00AA3472" w:rsidRDefault="00053761" w:rsidP="0024742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en-AU"/>
              </w:rPr>
            </w:pPr>
            <w:r>
              <w:rPr>
                <w:rFonts w:eastAsia="Times New Roman" w:cs="Calibri"/>
                <w:szCs w:val="20"/>
                <w:lang w:eastAsia="en-AU"/>
              </w:rPr>
              <w:t>YEAR</w:t>
            </w:r>
          </w:p>
        </w:tc>
        <w:tc>
          <w:tcPr>
            <w:tcW w:w="10064" w:type="dxa"/>
            <w:noWrap/>
            <w:hideMark/>
          </w:tcPr>
          <w:p w14:paraId="68085D5E" w14:textId="77777777" w:rsidR="00BB0D21" w:rsidRPr="00AA3472" w:rsidRDefault="00BB0D21" w:rsidP="00BB0D21">
            <w:pPr>
              <w:spacing w:after="0"/>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en-AU"/>
              </w:rPr>
            </w:pPr>
            <w:r w:rsidRPr="00AA3472">
              <w:rPr>
                <w:rFonts w:eastAsia="Times New Roman" w:cs="Calibri"/>
                <w:szCs w:val="20"/>
                <w:lang w:eastAsia="en-AU"/>
              </w:rPr>
              <w:t>Reference</w:t>
            </w:r>
          </w:p>
        </w:tc>
        <w:tc>
          <w:tcPr>
            <w:tcW w:w="2410" w:type="dxa"/>
            <w:noWrap/>
            <w:hideMark/>
          </w:tcPr>
          <w:p w14:paraId="23F2D636" w14:textId="0D168AC7" w:rsidR="00BB0D21" w:rsidRPr="00AA3472" w:rsidRDefault="00AD18A5" w:rsidP="00BB0D21">
            <w:pPr>
              <w:spacing w:after="0"/>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en-AU"/>
              </w:rPr>
            </w:pPr>
            <w:r>
              <w:rPr>
                <w:rFonts w:eastAsia="Times New Roman" w:cs="Calibri"/>
                <w:szCs w:val="20"/>
                <w:lang w:eastAsia="en-AU"/>
              </w:rPr>
              <w:t>Exclusion reason</w:t>
            </w:r>
          </w:p>
        </w:tc>
      </w:tr>
      <w:tr w:rsidR="005B2825" w:rsidRPr="00AA3472" w14:paraId="2F4A2230" w14:textId="77777777" w:rsidTr="00C4444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62" w:type="dxa"/>
            <w:noWrap/>
          </w:tcPr>
          <w:p w14:paraId="2C4BB772" w14:textId="3005117B" w:rsidR="005B2825" w:rsidRPr="00AA3472" w:rsidRDefault="005B2825" w:rsidP="005B2825">
            <w:pPr>
              <w:spacing w:after="0"/>
              <w:jc w:val="center"/>
              <w:rPr>
                <w:rFonts w:eastAsia="Times New Roman" w:cs="Calibri"/>
                <w:szCs w:val="20"/>
                <w:lang w:eastAsia="en-AU"/>
              </w:rPr>
            </w:pPr>
            <w:r w:rsidRPr="00AA3472">
              <w:rPr>
                <w:rFonts w:eastAsia="Times New Roman" w:cs="Calibri"/>
                <w:szCs w:val="20"/>
                <w:lang w:eastAsia="en-AU"/>
              </w:rPr>
              <w:t>1</w:t>
            </w:r>
          </w:p>
        </w:tc>
        <w:tc>
          <w:tcPr>
            <w:tcW w:w="851" w:type="dxa"/>
            <w:noWrap/>
          </w:tcPr>
          <w:p w14:paraId="6FC9629C" w14:textId="0795B1EA" w:rsidR="005B2825" w:rsidRPr="00AA3472" w:rsidRDefault="005B2825" w:rsidP="00247423">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2022</w:t>
            </w:r>
          </w:p>
        </w:tc>
        <w:tc>
          <w:tcPr>
            <w:tcW w:w="10064" w:type="dxa"/>
            <w:noWrap/>
          </w:tcPr>
          <w:p w14:paraId="1BD8DE7B" w14:textId="7843A9E2" w:rsidR="005B2825" w:rsidRPr="00AA3472" w:rsidRDefault="005B2825" w:rsidP="005B2825">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3AAA41CB">
              <w:rPr>
                <w:rFonts w:ascii="Calibri" w:hAnsi="Calibri" w:cs="Calibri"/>
                <w:color w:val="000000" w:themeColor="text1"/>
              </w:rPr>
              <w:t xml:space="preserve">Kirkland, A. E., Fadus, M. C., Gruber, S. A., Gray, K. M., Wilens, T. E., &amp; Squeglia, L. M. (2022). A scoping review of the use of cannabidiol in psychiatric disorders. </w:t>
            </w:r>
            <w:r w:rsidRPr="00180ECE">
              <w:rPr>
                <w:rFonts w:ascii="Calibri" w:hAnsi="Calibri" w:cs="Calibri"/>
                <w:i/>
                <w:color w:val="000000" w:themeColor="text1"/>
              </w:rPr>
              <w:t>Psychiatry Research</w:t>
            </w:r>
            <w:r w:rsidRPr="3AAA41CB">
              <w:rPr>
                <w:rFonts w:ascii="Calibri" w:hAnsi="Calibri" w:cs="Calibri"/>
                <w:color w:val="000000" w:themeColor="text1"/>
              </w:rPr>
              <w:t xml:space="preserve">, </w:t>
            </w:r>
            <w:r w:rsidRPr="00180ECE">
              <w:rPr>
                <w:rFonts w:ascii="Calibri" w:hAnsi="Calibri" w:cs="Calibri"/>
                <w:i/>
                <w:color w:val="000000" w:themeColor="text1"/>
              </w:rPr>
              <w:t>30</w:t>
            </w:r>
            <w:r w:rsidRPr="3AAA41CB">
              <w:rPr>
                <w:rFonts w:ascii="Calibri" w:hAnsi="Calibri" w:cs="Calibri"/>
                <w:color w:val="000000" w:themeColor="text1"/>
              </w:rPr>
              <w:t xml:space="preserve">, </w:t>
            </w:r>
            <w:r w:rsidR="006F4948">
              <w:rPr>
                <w:rFonts w:ascii="Calibri" w:hAnsi="Calibri" w:cs="Calibri"/>
                <w:color w:val="000000" w:themeColor="text1"/>
              </w:rPr>
              <w:t xml:space="preserve">Article </w:t>
            </w:r>
            <w:r w:rsidRPr="3AAA41CB">
              <w:rPr>
                <w:rFonts w:ascii="Calibri" w:hAnsi="Calibri" w:cs="Calibri"/>
                <w:color w:val="000000" w:themeColor="text1"/>
              </w:rPr>
              <w:t xml:space="preserve">8114347. </w:t>
            </w:r>
            <w:hyperlink r:id="rId117" w:history="1">
              <w:r w:rsidR="006F4948" w:rsidRPr="007913E4">
                <w:rPr>
                  <w:rStyle w:val="Hyperlink"/>
                  <w:rFonts w:ascii="Calibri" w:hAnsi="Calibri" w:cs="Calibri"/>
                </w:rPr>
                <w:t>https://doi.org/10.1016/j.psychres.2021.114347</w:t>
              </w:r>
            </w:hyperlink>
            <w:r w:rsidR="006F4948">
              <w:rPr>
                <w:rFonts w:ascii="Calibri" w:hAnsi="Calibri" w:cs="Calibri"/>
                <w:color w:val="000000" w:themeColor="text1"/>
              </w:rPr>
              <w:t xml:space="preserve"> </w:t>
            </w:r>
          </w:p>
        </w:tc>
        <w:tc>
          <w:tcPr>
            <w:tcW w:w="2410" w:type="dxa"/>
            <w:noWrap/>
          </w:tcPr>
          <w:p w14:paraId="69DBC60F" w14:textId="2881F2AA" w:rsidR="005B2825" w:rsidRPr="00AA3472" w:rsidRDefault="005B2825" w:rsidP="005B2825">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Narrative review</w:t>
            </w:r>
          </w:p>
        </w:tc>
      </w:tr>
      <w:tr w:rsidR="005B2825" w:rsidRPr="00AA3472" w14:paraId="213F97B7" w14:textId="77777777" w:rsidTr="00C44447">
        <w:trPr>
          <w:trHeight w:val="288"/>
        </w:trPr>
        <w:tc>
          <w:tcPr>
            <w:cnfStyle w:val="001000000000" w:firstRow="0" w:lastRow="0" w:firstColumn="1" w:lastColumn="0" w:oddVBand="0" w:evenVBand="0" w:oddHBand="0" w:evenHBand="0" w:firstRowFirstColumn="0" w:firstRowLastColumn="0" w:lastRowFirstColumn="0" w:lastRowLastColumn="0"/>
            <w:tcW w:w="562" w:type="dxa"/>
            <w:noWrap/>
          </w:tcPr>
          <w:p w14:paraId="22DB2A71" w14:textId="4D7C76B9" w:rsidR="005B2825" w:rsidRPr="00AA3472" w:rsidRDefault="005B2825" w:rsidP="005B2825">
            <w:pPr>
              <w:spacing w:after="0"/>
              <w:jc w:val="center"/>
              <w:rPr>
                <w:rFonts w:eastAsia="Times New Roman" w:cs="Calibri"/>
                <w:szCs w:val="20"/>
                <w:lang w:eastAsia="en-AU"/>
              </w:rPr>
            </w:pPr>
            <w:r w:rsidRPr="00AA3472">
              <w:rPr>
                <w:rFonts w:eastAsia="Times New Roman" w:cs="Calibri"/>
                <w:szCs w:val="20"/>
                <w:lang w:eastAsia="en-AU"/>
              </w:rPr>
              <w:t>2</w:t>
            </w:r>
          </w:p>
        </w:tc>
        <w:tc>
          <w:tcPr>
            <w:tcW w:w="851" w:type="dxa"/>
            <w:noWrap/>
          </w:tcPr>
          <w:p w14:paraId="4CF80711" w14:textId="2183CECA" w:rsidR="005B2825" w:rsidRPr="00AA3472" w:rsidRDefault="005B2825" w:rsidP="00247423">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AA3472">
              <w:rPr>
                <w:rFonts w:ascii="Calibri" w:hAnsi="Calibri" w:cs="Calibri"/>
                <w:color w:val="000000"/>
                <w:szCs w:val="20"/>
              </w:rPr>
              <w:t>2022</w:t>
            </w:r>
          </w:p>
        </w:tc>
        <w:tc>
          <w:tcPr>
            <w:tcW w:w="10064" w:type="dxa"/>
            <w:noWrap/>
          </w:tcPr>
          <w:p w14:paraId="62340518" w14:textId="4F540940" w:rsidR="005B2825" w:rsidRPr="00AA3472" w:rsidRDefault="005B2825" w:rsidP="005B282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AA3472">
              <w:rPr>
                <w:rFonts w:ascii="Calibri" w:hAnsi="Calibri" w:cs="Calibri"/>
                <w:color w:val="000000"/>
                <w:szCs w:val="20"/>
              </w:rPr>
              <w:t xml:space="preserve">Hill, K. P., Gold, M. S., Nemeroff, C. B., McDonald, W., Grzenda, A., Widge, A. S., Rodriguez, C., Kraguljac, N. V., Krystal, J. H., </w:t>
            </w:r>
            <w:r w:rsidR="00360484">
              <w:rPr>
                <w:rFonts w:ascii="Calibri" w:hAnsi="Calibri" w:cs="Calibri"/>
                <w:color w:val="000000"/>
                <w:szCs w:val="20"/>
              </w:rPr>
              <w:t xml:space="preserve">&amp; </w:t>
            </w:r>
            <w:r w:rsidRPr="00AA3472">
              <w:rPr>
                <w:rFonts w:ascii="Calibri" w:hAnsi="Calibri" w:cs="Calibri"/>
                <w:color w:val="000000"/>
                <w:szCs w:val="20"/>
              </w:rPr>
              <w:t xml:space="preserve">Carpenter, L. L. (2022). Risks and </w:t>
            </w:r>
            <w:r w:rsidR="006F4948">
              <w:rPr>
                <w:rFonts w:ascii="Calibri" w:hAnsi="Calibri" w:cs="Calibri"/>
                <w:color w:val="000000"/>
                <w:szCs w:val="20"/>
              </w:rPr>
              <w:t>b</w:t>
            </w:r>
            <w:r w:rsidRPr="00AA3472">
              <w:rPr>
                <w:rFonts w:ascii="Calibri" w:hAnsi="Calibri" w:cs="Calibri"/>
                <w:color w:val="000000"/>
                <w:szCs w:val="20"/>
              </w:rPr>
              <w:t xml:space="preserve">enefits of </w:t>
            </w:r>
            <w:r w:rsidR="006F4948">
              <w:rPr>
                <w:rFonts w:ascii="Calibri" w:hAnsi="Calibri" w:cs="Calibri"/>
                <w:color w:val="000000"/>
                <w:szCs w:val="20"/>
              </w:rPr>
              <w:t>c</w:t>
            </w:r>
            <w:r w:rsidRPr="00AA3472">
              <w:rPr>
                <w:rFonts w:ascii="Calibri" w:hAnsi="Calibri" w:cs="Calibri"/>
                <w:color w:val="000000"/>
                <w:szCs w:val="20"/>
              </w:rPr>
              <w:t xml:space="preserve">annabis and </w:t>
            </w:r>
            <w:r w:rsidR="006F4948">
              <w:rPr>
                <w:rFonts w:ascii="Calibri" w:hAnsi="Calibri" w:cs="Calibri"/>
                <w:color w:val="000000"/>
                <w:szCs w:val="20"/>
              </w:rPr>
              <w:t>c</w:t>
            </w:r>
            <w:r w:rsidRPr="00AA3472">
              <w:rPr>
                <w:rFonts w:ascii="Calibri" w:hAnsi="Calibri" w:cs="Calibri"/>
                <w:color w:val="000000"/>
                <w:szCs w:val="20"/>
              </w:rPr>
              <w:t xml:space="preserve">annabinoids in </w:t>
            </w:r>
            <w:r w:rsidR="006F4948">
              <w:rPr>
                <w:rFonts w:ascii="Calibri" w:hAnsi="Calibri" w:cs="Calibri"/>
                <w:color w:val="000000"/>
                <w:szCs w:val="20"/>
              </w:rPr>
              <w:t>p</w:t>
            </w:r>
            <w:r w:rsidRPr="00AA3472">
              <w:rPr>
                <w:rFonts w:ascii="Calibri" w:hAnsi="Calibri" w:cs="Calibri"/>
                <w:color w:val="000000"/>
                <w:szCs w:val="20"/>
              </w:rPr>
              <w:t xml:space="preserve">sychiatry. </w:t>
            </w:r>
            <w:r w:rsidRPr="00180ECE">
              <w:rPr>
                <w:rFonts w:ascii="Calibri" w:hAnsi="Calibri" w:cs="Calibri"/>
                <w:i/>
                <w:iCs/>
                <w:color w:val="000000"/>
                <w:szCs w:val="20"/>
              </w:rPr>
              <w:t>American Journal of Psychiatry,</w:t>
            </w:r>
            <w:r w:rsidRPr="00AA3472">
              <w:rPr>
                <w:rFonts w:ascii="Calibri" w:hAnsi="Calibri" w:cs="Calibri"/>
                <w:color w:val="000000"/>
                <w:szCs w:val="20"/>
              </w:rPr>
              <w:t xml:space="preserve"> </w:t>
            </w:r>
            <w:r w:rsidRPr="00F62917">
              <w:rPr>
                <w:rFonts w:ascii="Calibri" w:hAnsi="Calibri" w:cs="Calibri"/>
                <w:i/>
                <w:iCs/>
                <w:color w:val="000000"/>
                <w:szCs w:val="20"/>
              </w:rPr>
              <w:t>179</w:t>
            </w:r>
            <w:r w:rsidRPr="00AA3472">
              <w:rPr>
                <w:rFonts w:ascii="Calibri" w:hAnsi="Calibri" w:cs="Calibri"/>
                <w:color w:val="000000"/>
                <w:szCs w:val="20"/>
              </w:rPr>
              <w:t xml:space="preserve">(2), 98-109. </w:t>
            </w:r>
            <w:hyperlink r:id="rId118" w:history="1">
              <w:r w:rsidR="006F4948" w:rsidRPr="007913E4">
                <w:rPr>
                  <w:rStyle w:val="Hyperlink"/>
                  <w:rFonts w:ascii="Calibri" w:hAnsi="Calibri" w:cs="Calibri"/>
                  <w:szCs w:val="20"/>
                </w:rPr>
                <w:t>https://doi.org/10.1176/appi.ajp.2021.21030320</w:t>
              </w:r>
            </w:hyperlink>
            <w:r w:rsidR="006F4948">
              <w:rPr>
                <w:rFonts w:ascii="Calibri" w:hAnsi="Calibri" w:cs="Calibri"/>
                <w:color w:val="000000"/>
                <w:szCs w:val="20"/>
              </w:rPr>
              <w:t xml:space="preserve"> </w:t>
            </w:r>
          </w:p>
        </w:tc>
        <w:tc>
          <w:tcPr>
            <w:tcW w:w="2410" w:type="dxa"/>
            <w:noWrap/>
          </w:tcPr>
          <w:p w14:paraId="00B45578" w14:textId="1C472F70" w:rsidR="005B2825" w:rsidRPr="00AA3472" w:rsidRDefault="005B2825" w:rsidP="005B282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FA16FE">
              <w:rPr>
                <w:rFonts w:ascii="Calibri" w:hAnsi="Calibri" w:cs="Calibri"/>
                <w:color w:val="000000"/>
                <w:szCs w:val="20"/>
              </w:rPr>
              <w:t>Narrative review</w:t>
            </w:r>
          </w:p>
        </w:tc>
      </w:tr>
      <w:tr w:rsidR="00C44447" w:rsidRPr="00AA3472" w14:paraId="1A45C10F" w14:textId="77777777" w:rsidTr="00C4444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62" w:type="dxa"/>
            <w:noWrap/>
          </w:tcPr>
          <w:p w14:paraId="22983F81" w14:textId="4EE6922B" w:rsidR="00C44447" w:rsidRPr="00AA3472" w:rsidRDefault="00C44447" w:rsidP="00C44447">
            <w:pPr>
              <w:spacing w:after="0"/>
              <w:jc w:val="center"/>
              <w:rPr>
                <w:rFonts w:eastAsia="Times New Roman" w:cs="Calibri"/>
                <w:szCs w:val="20"/>
                <w:lang w:eastAsia="en-AU"/>
              </w:rPr>
            </w:pPr>
            <w:r w:rsidRPr="00AA3472">
              <w:rPr>
                <w:rFonts w:eastAsia="Times New Roman" w:cs="Calibri"/>
                <w:szCs w:val="20"/>
                <w:lang w:eastAsia="en-AU"/>
              </w:rPr>
              <w:t>3</w:t>
            </w:r>
          </w:p>
        </w:tc>
        <w:tc>
          <w:tcPr>
            <w:tcW w:w="851" w:type="dxa"/>
            <w:noWrap/>
          </w:tcPr>
          <w:p w14:paraId="45C90AA9" w14:textId="12EA9FB1" w:rsidR="00C44447" w:rsidRPr="00AA3472" w:rsidRDefault="00C44447" w:rsidP="00C44447">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AD7E12">
              <w:rPr>
                <w:rFonts w:ascii="Calibri" w:hAnsi="Calibri" w:cs="Calibri"/>
                <w:color w:val="000000"/>
                <w:szCs w:val="20"/>
              </w:rPr>
              <w:t>2021</w:t>
            </w:r>
          </w:p>
        </w:tc>
        <w:tc>
          <w:tcPr>
            <w:tcW w:w="10064" w:type="dxa"/>
            <w:noWrap/>
          </w:tcPr>
          <w:p w14:paraId="4CAAC438" w14:textId="53EF7266" w:rsidR="00C44447" w:rsidRPr="00AA3472" w:rsidRDefault="00C44447" w:rsidP="00C44447">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9B4D43">
              <w:rPr>
                <w:rFonts w:ascii="Calibri" w:hAnsi="Calibri" w:cs="Calibri"/>
                <w:color w:val="000000"/>
                <w:szCs w:val="20"/>
              </w:rPr>
              <w:t xml:space="preserve">Kwee, C., Baas, J., Moerbeek, M., van der Veen, D., Batelaan, N., van Balkom, T., &amp; Cath, D. (2021). Cannabidiol </w:t>
            </w:r>
            <w:r w:rsidR="006F4948">
              <w:rPr>
                <w:rFonts w:ascii="Calibri" w:hAnsi="Calibri" w:cs="Calibri"/>
                <w:color w:val="000000"/>
                <w:szCs w:val="20"/>
              </w:rPr>
              <w:t>e</w:t>
            </w:r>
            <w:r w:rsidRPr="009B4D43">
              <w:rPr>
                <w:rFonts w:ascii="Calibri" w:hAnsi="Calibri" w:cs="Calibri"/>
                <w:color w:val="000000"/>
                <w:szCs w:val="20"/>
              </w:rPr>
              <w:t xml:space="preserve">nhancement of </w:t>
            </w:r>
            <w:r w:rsidR="006F4948">
              <w:rPr>
                <w:rFonts w:ascii="Calibri" w:hAnsi="Calibri" w:cs="Calibri"/>
                <w:color w:val="000000"/>
                <w:szCs w:val="20"/>
              </w:rPr>
              <w:t>e</w:t>
            </w:r>
            <w:r w:rsidRPr="009B4D43">
              <w:rPr>
                <w:rFonts w:ascii="Calibri" w:hAnsi="Calibri" w:cs="Calibri"/>
                <w:color w:val="000000"/>
                <w:szCs w:val="20"/>
              </w:rPr>
              <w:t xml:space="preserve">xposure </w:t>
            </w:r>
            <w:r w:rsidR="006F4948">
              <w:rPr>
                <w:rFonts w:ascii="Calibri" w:hAnsi="Calibri" w:cs="Calibri"/>
                <w:color w:val="000000"/>
                <w:szCs w:val="20"/>
              </w:rPr>
              <w:t>t</w:t>
            </w:r>
            <w:r w:rsidRPr="009B4D43">
              <w:rPr>
                <w:rFonts w:ascii="Calibri" w:hAnsi="Calibri" w:cs="Calibri"/>
                <w:color w:val="000000"/>
                <w:szCs w:val="20"/>
              </w:rPr>
              <w:t xml:space="preserve">herapy in </w:t>
            </w:r>
            <w:r w:rsidR="006F4948">
              <w:rPr>
                <w:rFonts w:ascii="Calibri" w:hAnsi="Calibri" w:cs="Calibri"/>
                <w:color w:val="000000"/>
                <w:szCs w:val="20"/>
              </w:rPr>
              <w:t>t</w:t>
            </w:r>
            <w:r w:rsidRPr="009B4D43">
              <w:rPr>
                <w:rFonts w:ascii="Calibri" w:hAnsi="Calibri" w:cs="Calibri"/>
                <w:color w:val="000000"/>
                <w:szCs w:val="20"/>
              </w:rPr>
              <w:t xml:space="preserve">reatment </w:t>
            </w:r>
            <w:r w:rsidR="006F4948">
              <w:rPr>
                <w:rFonts w:ascii="Calibri" w:hAnsi="Calibri" w:cs="Calibri"/>
                <w:color w:val="000000"/>
                <w:szCs w:val="20"/>
              </w:rPr>
              <w:t>r</w:t>
            </w:r>
            <w:r w:rsidRPr="009B4D43">
              <w:rPr>
                <w:rFonts w:ascii="Calibri" w:hAnsi="Calibri" w:cs="Calibri"/>
                <w:color w:val="000000"/>
                <w:szCs w:val="20"/>
              </w:rPr>
              <w:t xml:space="preserve">efractory </w:t>
            </w:r>
            <w:r w:rsidR="006F4948">
              <w:rPr>
                <w:rFonts w:ascii="Calibri" w:hAnsi="Calibri" w:cs="Calibri"/>
                <w:color w:val="000000"/>
                <w:szCs w:val="20"/>
              </w:rPr>
              <w:t>p</w:t>
            </w:r>
            <w:r w:rsidRPr="009B4D43">
              <w:rPr>
                <w:rFonts w:ascii="Calibri" w:hAnsi="Calibri" w:cs="Calibri"/>
                <w:color w:val="000000"/>
                <w:szCs w:val="20"/>
              </w:rPr>
              <w:t xml:space="preserve">atients </w:t>
            </w:r>
            <w:r w:rsidR="006F4948">
              <w:rPr>
                <w:rFonts w:ascii="Calibri" w:hAnsi="Calibri" w:cs="Calibri"/>
                <w:color w:val="000000"/>
                <w:szCs w:val="20"/>
              </w:rPr>
              <w:t>w</w:t>
            </w:r>
            <w:r w:rsidRPr="009B4D43">
              <w:rPr>
                <w:rFonts w:ascii="Calibri" w:hAnsi="Calibri" w:cs="Calibri"/>
                <w:color w:val="000000"/>
                <w:szCs w:val="20"/>
              </w:rPr>
              <w:t xml:space="preserve">ith </w:t>
            </w:r>
            <w:r w:rsidR="006F4948">
              <w:rPr>
                <w:rFonts w:ascii="Calibri" w:hAnsi="Calibri" w:cs="Calibri"/>
                <w:color w:val="000000"/>
                <w:szCs w:val="20"/>
              </w:rPr>
              <w:t>p</w:t>
            </w:r>
            <w:r w:rsidRPr="009B4D43">
              <w:rPr>
                <w:rFonts w:ascii="Calibri" w:hAnsi="Calibri" w:cs="Calibri"/>
                <w:color w:val="000000"/>
                <w:szCs w:val="20"/>
              </w:rPr>
              <w:t xml:space="preserve">hobias: </w:t>
            </w:r>
            <w:r w:rsidR="006F4948">
              <w:rPr>
                <w:rFonts w:ascii="Calibri" w:hAnsi="Calibri" w:cs="Calibri"/>
                <w:color w:val="000000"/>
                <w:szCs w:val="20"/>
              </w:rPr>
              <w:t>A</w:t>
            </w:r>
            <w:r w:rsidRPr="009B4D43">
              <w:rPr>
                <w:rFonts w:ascii="Calibri" w:hAnsi="Calibri" w:cs="Calibri"/>
                <w:color w:val="000000"/>
                <w:szCs w:val="20"/>
              </w:rPr>
              <w:t xml:space="preserve"> </w:t>
            </w:r>
            <w:r w:rsidR="006F4948">
              <w:rPr>
                <w:rFonts w:ascii="Calibri" w:hAnsi="Calibri" w:cs="Calibri"/>
                <w:color w:val="000000"/>
                <w:szCs w:val="20"/>
              </w:rPr>
              <w:t>r</w:t>
            </w:r>
            <w:r w:rsidRPr="009B4D43">
              <w:rPr>
                <w:rFonts w:ascii="Calibri" w:hAnsi="Calibri" w:cs="Calibri"/>
                <w:color w:val="000000"/>
                <w:szCs w:val="20"/>
              </w:rPr>
              <w:t xml:space="preserve">andomized </w:t>
            </w:r>
            <w:r w:rsidR="006F4948">
              <w:rPr>
                <w:rFonts w:ascii="Calibri" w:hAnsi="Calibri" w:cs="Calibri"/>
                <w:color w:val="000000"/>
                <w:szCs w:val="20"/>
              </w:rPr>
              <w:t>c</w:t>
            </w:r>
            <w:r w:rsidRPr="009B4D43">
              <w:rPr>
                <w:rFonts w:ascii="Calibri" w:hAnsi="Calibri" w:cs="Calibri"/>
                <w:color w:val="000000"/>
                <w:szCs w:val="20"/>
              </w:rPr>
              <w:t xml:space="preserve">ontrolled </w:t>
            </w:r>
            <w:r w:rsidR="006F4948">
              <w:rPr>
                <w:rFonts w:ascii="Calibri" w:hAnsi="Calibri" w:cs="Calibri"/>
                <w:color w:val="000000"/>
                <w:szCs w:val="20"/>
              </w:rPr>
              <w:t>t</w:t>
            </w:r>
            <w:r w:rsidRPr="009B4D43">
              <w:rPr>
                <w:rFonts w:ascii="Calibri" w:hAnsi="Calibri" w:cs="Calibri"/>
                <w:color w:val="000000"/>
                <w:szCs w:val="20"/>
              </w:rPr>
              <w:t xml:space="preserve">rial. </w:t>
            </w:r>
            <w:r w:rsidRPr="00180ECE">
              <w:rPr>
                <w:rFonts w:ascii="Calibri" w:hAnsi="Calibri" w:cs="Calibri"/>
                <w:i/>
                <w:iCs/>
                <w:color w:val="000000"/>
                <w:szCs w:val="20"/>
              </w:rPr>
              <w:t>Biological Psychiatry</w:t>
            </w:r>
            <w:r w:rsidRPr="009B4D43">
              <w:rPr>
                <w:rFonts w:ascii="Calibri" w:hAnsi="Calibri" w:cs="Calibri"/>
                <w:color w:val="000000"/>
                <w:szCs w:val="20"/>
              </w:rPr>
              <w:t xml:space="preserve">, </w:t>
            </w:r>
            <w:r w:rsidRPr="00F62917">
              <w:rPr>
                <w:rFonts w:ascii="Calibri" w:hAnsi="Calibri" w:cs="Calibri"/>
                <w:i/>
                <w:iCs/>
                <w:color w:val="000000"/>
                <w:szCs w:val="20"/>
              </w:rPr>
              <w:t>89</w:t>
            </w:r>
            <w:r w:rsidRPr="009B4D43">
              <w:rPr>
                <w:rFonts w:ascii="Calibri" w:hAnsi="Calibri" w:cs="Calibri"/>
                <w:color w:val="000000"/>
                <w:szCs w:val="20"/>
              </w:rPr>
              <w:t>(9</w:t>
            </w:r>
            <w:r w:rsidRPr="00BD2937">
              <w:rPr>
                <w:rFonts w:ascii="Calibri" w:hAnsi="Calibri" w:cs="Calibri"/>
                <w:color w:val="000000"/>
                <w:szCs w:val="20"/>
              </w:rPr>
              <w:t>), S230-</w:t>
            </w:r>
            <w:r>
              <w:rPr>
                <w:rFonts w:ascii="Calibri" w:hAnsi="Calibri" w:cs="Calibri"/>
                <w:color w:val="000000"/>
                <w:szCs w:val="20"/>
              </w:rPr>
              <w:t>S231</w:t>
            </w:r>
            <w:r w:rsidRPr="009B4D43">
              <w:rPr>
                <w:rFonts w:ascii="Calibri" w:hAnsi="Calibri" w:cs="Calibri"/>
                <w:color w:val="000000"/>
                <w:szCs w:val="20"/>
              </w:rPr>
              <w:t xml:space="preserve">. </w:t>
            </w:r>
            <w:hyperlink r:id="rId119" w:history="1">
              <w:r w:rsidR="006F4948" w:rsidRPr="007913E4">
                <w:rPr>
                  <w:rStyle w:val="Hyperlink"/>
                  <w:rFonts w:ascii="Calibri" w:hAnsi="Calibri" w:cs="Calibri"/>
                  <w:szCs w:val="20"/>
                </w:rPr>
                <w:t>https://doi.org/110.1016/j.biopsych.2021.02.580</w:t>
              </w:r>
            </w:hyperlink>
            <w:r w:rsidR="006F4948">
              <w:rPr>
                <w:rFonts w:ascii="Calibri" w:hAnsi="Calibri" w:cs="Calibri"/>
                <w:color w:val="000000"/>
                <w:szCs w:val="20"/>
              </w:rPr>
              <w:t xml:space="preserve"> </w:t>
            </w:r>
          </w:p>
        </w:tc>
        <w:tc>
          <w:tcPr>
            <w:tcW w:w="2410" w:type="dxa"/>
            <w:noWrap/>
          </w:tcPr>
          <w:p w14:paraId="4E36757B" w14:textId="0145C442" w:rsidR="00C44447" w:rsidRDefault="00C44447" w:rsidP="00C44447">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P</w:t>
            </w:r>
            <w:r w:rsidRPr="00BA26EE">
              <w:rPr>
                <w:rFonts w:ascii="Calibri" w:hAnsi="Calibri" w:cs="Calibri"/>
                <w:color w:val="000000"/>
                <w:szCs w:val="20"/>
              </w:rPr>
              <w:t xml:space="preserve">oster abstract </w:t>
            </w:r>
          </w:p>
        </w:tc>
      </w:tr>
      <w:tr w:rsidR="00C44447" w:rsidRPr="00AA3472" w14:paraId="0379A2BE" w14:textId="77777777" w:rsidTr="00C44447">
        <w:trPr>
          <w:trHeight w:val="288"/>
        </w:trPr>
        <w:tc>
          <w:tcPr>
            <w:cnfStyle w:val="001000000000" w:firstRow="0" w:lastRow="0" w:firstColumn="1" w:lastColumn="0" w:oddVBand="0" w:evenVBand="0" w:oddHBand="0" w:evenHBand="0" w:firstRowFirstColumn="0" w:firstRowLastColumn="0" w:lastRowFirstColumn="0" w:lastRowLastColumn="0"/>
            <w:tcW w:w="562" w:type="dxa"/>
            <w:noWrap/>
          </w:tcPr>
          <w:p w14:paraId="036FBEDB" w14:textId="7E82529C" w:rsidR="00C44447" w:rsidRPr="00AA3472" w:rsidRDefault="00C44447" w:rsidP="00C44447">
            <w:pPr>
              <w:spacing w:after="0"/>
              <w:jc w:val="center"/>
              <w:rPr>
                <w:rFonts w:eastAsia="Times New Roman" w:cs="Calibri"/>
                <w:szCs w:val="20"/>
                <w:lang w:eastAsia="en-AU"/>
              </w:rPr>
            </w:pPr>
            <w:r w:rsidRPr="00AA3472">
              <w:rPr>
                <w:rFonts w:eastAsia="Times New Roman" w:cs="Calibri"/>
                <w:szCs w:val="20"/>
                <w:lang w:eastAsia="en-AU"/>
              </w:rPr>
              <w:t>4</w:t>
            </w:r>
          </w:p>
        </w:tc>
        <w:tc>
          <w:tcPr>
            <w:tcW w:w="851" w:type="dxa"/>
            <w:noWrap/>
          </w:tcPr>
          <w:p w14:paraId="70F9881C" w14:textId="6C86BF29" w:rsidR="00C44447" w:rsidRPr="00AA3472" w:rsidRDefault="00C44447" w:rsidP="00C44447">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AD7E12">
              <w:rPr>
                <w:rFonts w:ascii="Calibri" w:hAnsi="Calibri" w:cs="Calibri"/>
                <w:color w:val="000000"/>
                <w:szCs w:val="20"/>
              </w:rPr>
              <w:t>2021</w:t>
            </w:r>
          </w:p>
        </w:tc>
        <w:tc>
          <w:tcPr>
            <w:tcW w:w="10064" w:type="dxa"/>
            <w:noWrap/>
          </w:tcPr>
          <w:p w14:paraId="2FE78EFD" w14:textId="23E27ED2" w:rsidR="00C44447" w:rsidRPr="00AA3472" w:rsidRDefault="00C44447" w:rsidP="00C44447">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9B4D43">
              <w:rPr>
                <w:rFonts w:ascii="Calibri" w:hAnsi="Calibri" w:cs="Calibri"/>
                <w:color w:val="000000"/>
                <w:szCs w:val="20"/>
              </w:rPr>
              <w:t xml:space="preserve">Gilman, J., Schmitt, W., Wheeler, G., Tervo-Clemmens, B., Hickey, S., Potter, K., Schuster, R., Cooke, M., Pachas, G., </w:t>
            </w:r>
            <w:r w:rsidR="00360484">
              <w:rPr>
                <w:rFonts w:ascii="Calibri" w:hAnsi="Calibri" w:cs="Calibri"/>
                <w:color w:val="000000"/>
                <w:szCs w:val="20"/>
              </w:rPr>
              <w:t xml:space="preserve">&amp; </w:t>
            </w:r>
            <w:r w:rsidRPr="009B4D43">
              <w:rPr>
                <w:rFonts w:ascii="Calibri" w:hAnsi="Calibri" w:cs="Calibri"/>
                <w:color w:val="000000"/>
                <w:szCs w:val="20"/>
              </w:rPr>
              <w:t xml:space="preserve">Evins, A. E. (2021). A twelve-week trial of medical marijuana cards in adults with complaint of pain, insomnia, anxiety or depressive symptoms: </w:t>
            </w:r>
            <w:r w:rsidR="006F4948">
              <w:rPr>
                <w:rFonts w:ascii="Calibri" w:hAnsi="Calibri" w:cs="Calibri"/>
                <w:color w:val="000000"/>
                <w:szCs w:val="20"/>
              </w:rPr>
              <w:t>A</w:t>
            </w:r>
            <w:r w:rsidRPr="009B4D43">
              <w:rPr>
                <w:rFonts w:ascii="Calibri" w:hAnsi="Calibri" w:cs="Calibri"/>
                <w:color w:val="000000"/>
                <w:szCs w:val="20"/>
              </w:rPr>
              <w:t xml:space="preserve"> randomized, pragmatic clinical trial. </w:t>
            </w:r>
            <w:r w:rsidRPr="00180ECE">
              <w:rPr>
                <w:rFonts w:ascii="Calibri" w:hAnsi="Calibri" w:cs="Calibri"/>
                <w:i/>
                <w:iCs/>
                <w:color w:val="000000"/>
                <w:szCs w:val="20"/>
              </w:rPr>
              <w:t>Neuropsychopharmacology,</w:t>
            </w:r>
            <w:r w:rsidRPr="009B4D43">
              <w:rPr>
                <w:rFonts w:ascii="Calibri" w:hAnsi="Calibri" w:cs="Calibri"/>
                <w:color w:val="000000"/>
                <w:szCs w:val="20"/>
              </w:rPr>
              <w:t xml:space="preserve"> </w:t>
            </w:r>
            <w:r w:rsidRPr="00F62917">
              <w:rPr>
                <w:rFonts w:ascii="Calibri" w:hAnsi="Calibri" w:cs="Calibri"/>
                <w:i/>
                <w:iCs/>
                <w:color w:val="000000"/>
                <w:szCs w:val="20"/>
              </w:rPr>
              <w:t>46</w:t>
            </w:r>
            <w:r w:rsidRPr="009B4D43">
              <w:rPr>
                <w:rFonts w:ascii="Calibri" w:hAnsi="Calibri" w:cs="Calibri"/>
                <w:color w:val="000000"/>
                <w:szCs w:val="20"/>
              </w:rPr>
              <w:t xml:space="preserve">, 399-400. </w:t>
            </w:r>
            <w:r>
              <w:t xml:space="preserve"> </w:t>
            </w:r>
            <w:hyperlink r:id="rId120" w:history="1">
              <w:r w:rsidR="006F4948" w:rsidRPr="007913E4">
                <w:rPr>
                  <w:rStyle w:val="Hyperlink"/>
                  <w:rFonts w:ascii="Calibri" w:hAnsi="Calibri" w:cs="Calibri"/>
                  <w:szCs w:val="20"/>
                </w:rPr>
                <w:t>https://doi.org/10.1038/s41386-021-01238-5</w:t>
              </w:r>
            </w:hyperlink>
            <w:r w:rsidR="006F4948">
              <w:rPr>
                <w:rFonts w:ascii="Calibri" w:hAnsi="Calibri" w:cs="Calibri"/>
                <w:color w:val="000000"/>
                <w:szCs w:val="20"/>
              </w:rPr>
              <w:t xml:space="preserve"> </w:t>
            </w:r>
          </w:p>
        </w:tc>
        <w:tc>
          <w:tcPr>
            <w:tcW w:w="2410" w:type="dxa"/>
            <w:noWrap/>
          </w:tcPr>
          <w:p w14:paraId="61653A47" w14:textId="7A4F246B" w:rsidR="00C44447" w:rsidRDefault="00C44447" w:rsidP="00C44447">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122648">
              <w:rPr>
                <w:rFonts w:ascii="Calibri" w:hAnsi="Calibri" w:cs="Calibri"/>
                <w:color w:val="000000"/>
                <w:szCs w:val="20"/>
              </w:rPr>
              <w:t>Poster abstract</w:t>
            </w:r>
          </w:p>
        </w:tc>
      </w:tr>
      <w:tr w:rsidR="00C44447" w:rsidRPr="00AA3472" w14:paraId="01CD62D4" w14:textId="77777777" w:rsidTr="00C4444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62" w:type="dxa"/>
            <w:noWrap/>
          </w:tcPr>
          <w:p w14:paraId="0CA4FFE4" w14:textId="68A82674" w:rsidR="00C44447" w:rsidRPr="00AA3472" w:rsidRDefault="00C44447" w:rsidP="00C44447">
            <w:pPr>
              <w:spacing w:after="0"/>
              <w:jc w:val="center"/>
              <w:rPr>
                <w:rFonts w:eastAsia="Times New Roman" w:cs="Calibri"/>
                <w:szCs w:val="20"/>
                <w:lang w:eastAsia="en-AU"/>
              </w:rPr>
            </w:pPr>
            <w:r w:rsidRPr="00AA3472">
              <w:rPr>
                <w:rFonts w:eastAsia="Times New Roman" w:cs="Calibri"/>
                <w:szCs w:val="20"/>
                <w:lang w:eastAsia="en-AU"/>
              </w:rPr>
              <w:t>5</w:t>
            </w:r>
          </w:p>
        </w:tc>
        <w:tc>
          <w:tcPr>
            <w:tcW w:w="851" w:type="dxa"/>
            <w:noWrap/>
          </w:tcPr>
          <w:p w14:paraId="30F98773" w14:textId="06A6F33D" w:rsidR="00C44447" w:rsidRPr="00AA3472" w:rsidRDefault="00C44447" w:rsidP="00C44447">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2020</w:t>
            </w:r>
          </w:p>
        </w:tc>
        <w:tc>
          <w:tcPr>
            <w:tcW w:w="10064" w:type="dxa"/>
            <w:noWrap/>
          </w:tcPr>
          <w:p w14:paraId="6FCE1467" w14:textId="0D310866" w:rsidR="00C44447" w:rsidRPr="00AA3472" w:rsidRDefault="00C44447" w:rsidP="00C44447">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BC13E0">
              <w:rPr>
                <w:rFonts w:ascii="Calibri" w:hAnsi="Calibri" w:cs="Calibri"/>
                <w:color w:val="000000"/>
                <w:szCs w:val="20"/>
              </w:rPr>
              <w:t>Kayser, R. R.</w:t>
            </w:r>
            <w:r>
              <w:rPr>
                <w:rFonts w:ascii="Calibri" w:hAnsi="Calibri" w:cs="Calibri"/>
                <w:color w:val="000000"/>
                <w:szCs w:val="20"/>
              </w:rPr>
              <w:t>,</w:t>
            </w:r>
            <w:r w:rsidRPr="00BC13E0">
              <w:rPr>
                <w:rFonts w:ascii="Calibri" w:hAnsi="Calibri" w:cs="Calibri"/>
                <w:color w:val="000000"/>
                <w:szCs w:val="20"/>
              </w:rPr>
              <w:t xml:space="preserve"> Raskin, M.</w:t>
            </w:r>
            <w:r>
              <w:rPr>
                <w:rFonts w:ascii="Calibri" w:hAnsi="Calibri" w:cs="Calibri"/>
                <w:color w:val="000000"/>
                <w:szCs w:val="20"/>
              </w:rPr>
              <w:t>,</w:t>
            </w:r>
            <w:r w:rsidRPr="00BC13E0">
              <w:rPr>
                <w:rFonts w:ascii="Calibri" w:hAnsi="Calibri" w:cs="Calibri"/>
                <w:color w:val="000000"/>
                <w:szCs w:val="20"/>
              </w:rPr>
              <w:t xml:space="preserve"> Snorrason, I.</w:t>
            </w:r>
            <w:r>
              <w:rPr>
                <w:rFonts w:ascii="Calibri" w:hAnsi="Calibri" w:cs="Calibri"/>
                <w:color w:val="000000"/>
                <w:szCs w:val="20"/>
              </w:rPr>
              <w:t>,</w:t>
            </w:r>
            <w:r w:rsidRPr="00BC13E0">
              <w:rPr>
                <w:rFonts w:ascii="Calibri" w:hAnsi="Calibri" w:cs="Calibri"/>
                <w:color w:val="000000"/>
                <w:szCs w:val="20"/>
              </w:rPr>
              <w:t xml:space="preserve"> Hezel, D. M.</w:t>
            </w:r>
            <w:r>
              <w:rPr>
                <w:rFonts w:ascii="Calibri" w:hAnsi="Calibri" w:cs="Calibri"/>
                <w:color w:val="000000"/>
                <w:szCs w:val="20"/>
              </w:rPr>
              <w:t>,</w:t>
            </w:r>
            <w:r w:rsidRPr="00BC13E0">
              <w:rPr>
                <w:rFonts w:ascii="Calibri" w:hAnsi="Calibri" w:cs="Calibri"/>
                <w:color w:val="000000"/>
                <w:szCs w:val="20"/>
              </w:rPr>
              <w:t xml:space="preserve"> Haney, M.</w:t>
            </w:r>
            <w:r>
              <w:rPr>
                <w:rFonts w:ascii="Calibri" w:hAnsi="Calibri" w:cs="Calibri"/>
                <w:color w:val="000000"/>
                <w:szCs w:val="20"/>
              </w:rPr>
              <w:t>,</w:t>
            </w:r>
            <w:r w:rsidRPr="00BC13E0">
              <w:rPr>
                <w:rFonts w:ascii="Calibri" w:hAnsi="Calibri" w:cs="Calibri"/>
                <w:color w:val="000000"/>
                <w:szCs w:val="20"/>
              </w:rPr>
              <w:t xml:space="preserve"> </w:t>
            </w:r>
            <w:r w:rsidR="00360484">
              <w:rPr>
                <w:rFonts w:ascii="Calibri" w:hAnsi="Calibri" w:cs="Calibri"/>
                <w:color w:val="000000"/>
                <w:szCs w:val="20"/>
              </w:rPr>
              <w:t xml:space="preserve">&amp; </w:t>
            </w:r>
            <w:r w:rsidRPr="00BC13E0">
              <w:rPr>
                <w:rFonts w:ascii="Calibri" w:hAnsi="Calibri" w:cs="Calibri"/>
                <w:color w:val="000000"/>
                <w:szCs w:val="20"/>
              </w:rPr>
              <w:t>Simpson, H. B.</w:t>
            </w:r>
            <w:r>
              <w:rPr>
                <w:rFonts w:ascii="Calibri" w:hAnsi="Calibri" w:cs="Calibri"/>
                <w:color w:val="000000"/>
                <w:szCs w:val="20"/>
              </w:rPr>
              <w:t xml:space="preserve"> (2020). </w:t>
            </w:r>
            <w:r w:rsidRPr="00BC13E0">
              <w:rPr>
                <w:rFonts w:ascii="Calibri" w:hAnsi="Calibri" w:cs="Calibri"/>
                <w:color w:val="000000"/>
                <w:szCs w:val="20"/>
              </w:rPr>
              <w:t xml:space="preserve">Cannabinoid </w:t>
            </w:r>
            <w:r w:rsidR="006F4948">
              <w:rPr>
                <w:rFonts w:ascii="Calibri" w:hAnsi="Calibri" w:cs="Calibri"/>
                <w:color w:val="000000"/>
                <w:szCs w:val="20"/>
              </w:rPr>
              <w:t>a</w:t>
            </w:r>
            <w:r w:rsidRPr="00BC13E0">
              <w:rPr>
                <w:rFonts w:ascii="Calibri" w:hAnsi="Calibri" w:cs="Calibri"/>
                <w:color w:val="000000"/>
                <w:szCs w:val="20"/>
              </w:rPr>
              <w:t xml:space="preserve">ugmentation of </w:t>
            </w:r>
            <w:r w:rsidR="006F4948">
              <w:rPr>
                <w:rFonts w:ascii="Calibri" w:hAnsi="Calibri" w:cs="Calibri"/>
                <w:color w:val="000000"/>
                <w:szCs w:val="20"/>
              </w:rPr>
              <w:t>e</w:t>
            </w:r>
            <w:r w:rsidRPr="00BC13E0">
              <w:rPr>
                <w:rFonts w:ascii="Calibri" w:hAnsi="Calibri" w:cs="Calibri"/>
                <w:color w:val="000000"/>
                <w:szCs w:val="20"/>
              </w:rPr>
              <w:t>xposure-</w:t>
            </w:r>
            <w:r w:rsidR="006F4948">
              <w:rPr>
                <w:rFonts w:ascii="Calibri" w:hAnsi="Calibri" w:cs="Calibri"/>
                <w:color w:val="000000"/>
                <w:szCs w:val="20"/>
              </w:rPr>
              <w:t>b</w:t>
            </w:r>
            <w:r w:rsidRPr="00BC13E0">
              <w:rPr>
                <w:rFonts w:ascii="Calibri" w:hAnsi="Calibri" w:cs="Calibri"/>
                <w:color w:val="000000"/>
                <w:szCs w:val="20"/>
              </w:rPr>
              <w:t xml:space="preserve">ased </w:t>
            </w:r>
            <w:r w:rsidR="006F4948">
              <w:rPr>
                <w:rFonts w:ascii="Calibri" w:hAnsi="Calibri" w:cs="Calibri"/>
                <w:color w:val="000000"/>
                <w:szCs w:val="20"/>
              </w:rPr>
              <w:t>p</w:t>
            </w:r>
            <w:r w:rsidRPr="00BC13E0">
              <w:rPr>
                <w:rFonts w:ascii="Calibri" w:hAnsi="Calibri" w:cs="Calibri"/>
                <w:color w:val="000000"/>
                <w:szCs w:val="20"/>
              </w:rPr>
              <w:t xml:space="preserve">sychotherapy for </w:t>
            </w:r>
            <w:r w:rsidR="006F4948">
              <w:rPr>
                <w:rFonts w:ascii="Calibri" w:hAnsi="Calibri" w:cs="Calibri"/>
                <w:color w:val="000000"/>
                <w:szCs w:val="20"/>
              </w:rPr>
              <w:t>o</w:t>
            </w:r>
            <w:r w:rsidRPr="00BC13E0">
              <w:rPr>
                <w:rFonts w:ascii="Calibri" w:hAnsi="Calibri" w:cs="Calibri"/>
                <w:color w:val="000000"/>
                <w:szCs w:val="20"/>
              </w:rPr>
              <w:t>bsessive-</w:t>
            </w:r>
            <w:r w:rsidR="006F4948">
              <w:rPr>
                <w:rFonts w:ascii="Calibri" w:hAnsi="Calibri" w:cs="Calibri"/>
                <w:color w:val="000000"/>
                <w:szCs w:val="20"/>
              </w:rPr>
              <w:t>c</w:t>
            </w:r>
            <w:r w:rsidRPr="00BC13E0">
              <w:rPr>
                <w:rFonts w:ascii="Calibri" w:hAnsi="Calibri" w:cs="Calibri"/>
                <w:color w:val="000000"/>
                <w:szCs w:val="20"/>
              </w:rPr>
              <w:t xml:space="preserve">ompulsive </w:t>
            </w:r>
            <w:r w:rsidR="006F4948">
              <w:rPr>
                <w:rFonts w:ascii="Calibri" w:hAnsi="Calibri" w:cs="Calibri"/>
                <w:color w:val="000000"/>
                <w:szCs w:val="20"/>
              </w:rPr>
              <w:t>d</w:t>
            </w:r>
            <w:r w:rsidRPr="00BC13E0">
              <w:rPr>
                <w:rFonts w:ascii="Calibri" w:hAnsi="Calibri" w:cs="Calibri"/>
                <w:color w:val="000000"/>
                <w:szCs w:val="20"/>
              </w:rPr>
              <w:t>isorder</w:t>
            </w:r>
            <w:r>
              <w:rPr>
                <w:rFonts w:ascii="Calibri" w:hAnsi="Calibri" w:cs="Calibri"/>
                <w:color w:val="000000"/>
                <w:szCs w:val="20"/>
              </w:rPr>
              <w:t xml:space="preserve">. </w:t>
            </w:r>
            <w:r w:rsidRPr="00180ECE">
              <w:rPr>
                <w:rFonts w:ascii="Calibri" w:hAnsi="Calibri" w:cs="Calibri"/>
                <w:i/>
                <w:iCs/>
                <w:color w:val="000000"/>
                <w:szCs w:val="20"/>
              </w:rPr>
              <w:t>Journal of Clinical Psychopharmacology</w:t>
            </w:r>
            <w:r>
              <w:rPr>
                <w:rFonts w:ascii="Calibri" w:hAnsi="Calibri" w:cs="Calibri"/>
                <w:color w:val="000000"/>
                <w:szCs w:val="20"/>
              </w:rPr>
              <w:t xml:space="preserve">, </w:t>
            </w:r>
            <w:r w:rsidRPr="00F62917">
              <w:rPr>
                <w:rFonts w:ascii="Calibri" w:hAnsi="Calibri" w:cs="Calibri"/>
                <w:i/>
                <w:iCs/>
                <w:color w:val="000000"/>
                <w:szCs w:val="20"/>
              </w:rPr>
              <w:t>40</w:t>
            </w:r>
            <w:r w:rsidRPr="00BC13E0">
              <w:rPr>
                <w:rFonts w:ascii="Calibri" w:hAnsi="Calibri" w:cs="Calibri"/>
                <w:color w:val="000000"/>
                <w:szCs w:val="20"/>
              </w:rPr>
              <w:t>(2)</w:t>
            </w:r>
            <w:r w:rsidR="006F4948">
              <w:rPr>
                <w:rFonts w:ascii="Calibri" w:hAnsi="Calibri" w:cs="Calibri"/>
                <w:color w:val="000000"/>
                <w:szCs w:val="20"/>
              </w:rPr>
              <w:t>,</w:t>
            </w:r>
            <w:r>
              <w:rPr>
                <w:rFonts w:ascii="Calibri" w:hAnsi="Calibri" w:cs="Calibri"/>
                <w:color w:val="000000"/>
                <w:szCs w:val="20"/>
              </w:rPr>
              <w:t xml:space="preserve"> </w:t>
            </w:r>
            <w:r w:rsidRPr="00BC13E0">
              <w:rPr>
                <w:rFonts w:ascii="Calibri" w:hAnsi="Calibri" w:cs="Calibri"/>
                <w:color w:val="000000"/>
                <w:szCs w:val="20"/>
              </w:rPr>
              <w:t>207‐210</w:t>
            </w:r>
            <w:r>
              <w:rPr>
                <w:rFonts w:ascii="Calibri" w:hAnsi="Calibri" w:cs="Calibri"/>
                <w:color w:val="000000"/>
                <w:szCs w:val="20"/>
              </w:rPr>
              <w:t xml:space="preserve">. </w:t>
            </w:r>
            <w:hyperlink r:id="rId121" w:history="1">
              <w:r w:rsidR="006F4948" w:rsidRPr="007913E4">
                <w:rPr>
                  <w:rStyle w:val="Hyperlink"/>
                  <w:rFonts w:ascii="Calibri" w:hAnsi="Calibri" w:cs="Calibri"/>
                  <w:szCs w:val="20"/>
                </w:rPr>
                <w:t>https://doi.org/10.1097/JCP.0000000000001179</w:t>
              </w:r>
            </w:hyperlink>
            <w:r w:rsidR="006F4948">
              <w:rPr>
                <w:rFonts w:ascii="Calibri" w:hAnsi="Calibri" w:cs="Calibri"/>
                <w:color w:val="000000"/>
                <w:szCs w:val="20"/>
              </w:rPr>
              <w:t xml:space="preserve"> </w:t>
            </w:r>
          </w:p>
        </w:tc>
        <w:tc>
          <w:tcPr>
            <w:tcW w:w="2410" w:type="dxa"/>
            <w:noWrap/>
          </w:tcPr>
          <w:p w14:paraId="4FF19426" w14:textId="76ED4B38" w:rsidR="00C44447" w:rsidRDefault="00C44447" w:rsidP="00C44447">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Letter to the editor</w:t>
            </w:r>
          </w:p>
        </w:tc>
      </w:tr>
      <w:tr w:rsidR="00C44447" w:rsidRPr="00AA3472" w14:paraId="58026EDF" w14:textId="77777777" w:rsidTr="00C44447">
        <w:trPr>
          <w:trHeight w:val="288"/>
        </w:trPr>
        <w:tc>
          <w:tcPr>
            <w:cnfStyle w:val="001000000000" w:firstRow="0" w:lastRow="0" w:firstColumn="1" w:lastColumn="0" w:oddVBand="0" w:evenVBand="0" w:oddHBand="0" w:evenHBand="0" w:firstRowFirstColumn="0" w:firstRowLastColumn="0" w:lastRowFirstColumn="0" w:lastRowLastColumn="0"/>
            <w:tcW w:w="562" w:type="dxa"/>
            <w:noWrap/>
          </w:tcPr>
          <w:p w14:paraId="05B3280A" w14:textId="15D80CAE" w:rsidR="00C44447" w:rsidRPr="00AA3472" w:rsidRDefault="00C44447" w:rsidP="00C44447">
            <w:pPr>
              <w:spacing w:after="0"/>
              <w:jc w:val="center"/>
              <w:rPr>
                <w:rFonts w:eastAsia="Times New Roman" w:cs="Calibri"/>
                <w:szCs w:val="20"/>
                <w:lang w:eastAsia="en-AU"/>
              </w:rPr>
            </w:pPr>
            <w:r w:rsidRPr="00AA3472">
              <w:rPr>
                <w:rFonts w:eastAsia="Times New Roman" w:cs="Calibri"/>
                <w:szCs w:val="20"/>
                <w:lang w:eastAsia="en-AU"/>
              </w:rPr>
              <w:t>6</w:t>
            </w:r>
          </w:p>
        </w:tc>
        <w:tc>
          <w:tcPr>
            <w:tcW w:w="851" w:type="dxa"/>
            <w:noWrap/>
          </w:tcPr>
          <w:p w14:paraId="4513B39E" w14:textId="58A0EB41" w:rsidR="00C44447" w:rsidRPr="00AA3472" w:rsidRDefault="00C44447" w:rsidP="00247423">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AA3472">
              <w:rPr>
                <w:rFonts w:ascii="Calibri" w:hAnsi="Calibri" w:cs="Calibri"/>
                <w:color w:val="000000"/>
                <w:szCs w:val="20"/>
              </w:rPr>
              <w:t>2020</w:t>
            </w:r>
          </w:p>
        </w:tc>
        <w:tc>
          <w:tcPr>
            <w:tcW w:w="10064" w:type="dxa"/>
            <w:noWrap/>
          </w:tcPr>
          <w:p w14:paraId="1FDE7FC7" w14:textId="2A6316CC" w:rsidR="00C44447" w:rsidRPr="00AA3472" w:rsidRDefault="00C44447" w:rsidP="00C44447">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AA3472">
              <w:rPr>
                <w:rFonts w:ascii="Calibri" w:hAnsi="Calibri" w:cs="Calibri"/>
                <w:color w:val="000000"/>
                <w:szCs w:val="20"/>
              </w:rPr>
              <w:t xml:space="preserve">Bonn-Miller, M. O., Brunstetter, M., Simonian, A., Loflin, M. J., Vandrey, R., Babson, K. A., &amp; Wortzel, H. (2020). The </w:t>
            </w:r>
            <w:r w:rsidR="006F4948">
              <w:rPr>
                <w:rFonts w:ascii="Calibri" w:hAnsi="Calibri" w:cs="Calibri"/>
                <w:color w:val="000000"/>
                <w:szCs w:val="20"/>
              </w:rPr>
              <w:t>l</w:t>
            </w:r>
            <w:r w:rsidRPr="00AA3472">
              <w:rPr>
                <w:rFonts w:ascii="Calibri" w:hAnsi="Calibri" w:cs="Calibri"/>
                <w:color w:val="000000"/>
                <w:szCs w:val="20"/>
              </w:rPr>
              <w:t>ong-</w:t>
            </w:r>
            <w:r w:rsidR="006F4948">
              <w:rPr>
                <w:rFonts w:ascii="Calibri" w:hAnsi="Calibri" w:cs="Calibri"/>
                <w:color w:val="000000"/>
                <w:szCs w:val="20"/>
              </w:rPr>
              <w:t>t</w:t>
            </w:r>
            <w:r w:rsidRPr="00AA3472">
              <w:rPr>
                <w:rFonts w:ascii="Calibri" w:hAnsi="Calibri" w:cs="Calibri"/>
                <w:color w:val="000000"/>
                <w:szCs w:val="20"/>
              </w:rPr>
              <w:t xml:space="preserve">erm, </w:t>
            </w:r>
            <w:r w:rsidR="006F4948">
              <w:rPr>
                <w:rFonts w:ascii="Calibri" w:hAnsi="Calibri" w:cs="Calibri"/>
                <w:color w:val="000000"/>
                <w:szCs w:val="20"/>
              </w:rPr>
              <w:t>p</w:t>
            </w:r>
            <w:r w:rsidRPr="00AA3472">
              <w:rPr>
                <w:rFonts w:ascii="Calibri" w:hAnsi="Calibri" w:cs="Calibri"/>
                <w:color w:val="000000"/>
                <w:szCs w:val="20"/>
              </w:rPr>
              <w:t xml:space="preserve">rospective, </w:t>
            </w:r>
            <w:r w:rsidR="006F4948">
              <w:rPr>
                <w:rFonts w:ascii="Calibri" w:hAnsi="Calibri" w:cs="Calibri"/>
                <w:color w:val="000000"/>
                <w:szCs w:val="20"/>
              </w:rPr>
              <w:t>t</w:t>
            </w:r>
            <w:r w:rsidRPr="00AA3472">
              <w:rPr>
                <w:rFonts w:ascii="Calibri" w:hAnsi="Calibri" w:cs="Calibri"/>
                <w:color w:val="000000"/>
                <w:szCs w:val="20"/>
              </w:rPr>
              <w:t xml:space="preserve">herapeutic </w:t>
            </w:r>
            <w:r w:rsidR="006F4948">
              <w:rPr>
                <w:rFonts w:ascii="Calibri" w:hAnsi="Calibri" w:cs="Calibri"/>
                <w:color w:val="000000"/>
                <w:szCs w:val="20"/>
              </w:rPr>
              <w:t>i</w:t>
            </w:r>
            <w:r w:rsidRPr="00AA3472">
              <w:rPr>
                <w:rFonts w:ascii="Calibri" w:hAnsi="Calibri" w:cs="Calibri"/>
                <w:color w:val="000000"/>
                <w:szCs w:val="20"/>
              </w:rPr>
              <w:t xml:space="preserve">mpact of </w:t>
            </w:r>
            <w:r w:rsidR="006F4948">
              <w:rPr>
                <w:rFonts w:ascii="Calibri" w:hAnsi="Calibri" w:cs="Calibri"/>
                <w:color w:val="000000"/>
                <w:szCs w:val="20"/>
              </w:rPr>
              <w:t>c</w:t>
            </w:r>
            <w:r w:rsidRPr="00AA3472">
              <w:rPr>
                <w:rFonts w:ascii="Calibri" w:hAnsi="Calibri" w:cs="Calibri"/>
                <w:color w:val="000000"/>
                <w:szCs w:val="20"/>
              </w:rPr>
              <w:t xml:space="preserve">annabis on </w:t>
            </w:r>
            <w:r w:rsidR="006F4948">
              <w:rPr>
                <w:rFonts w:ascii="Calibri" w:hAnsi="Calibri" w:cs="Calibri"/>
                <w:color w:val="000000"/>
                <w:szCs w:val="20"/>
              </w:rPr>
              <w:t>p</w:t>
            </w:r>
            <w:r w:rsidRPr="00AA3472">
              <w:rPr>
                <w:rFonts w:ascii="Calibri" w:hAnsi="Calibri" w:cs="Calibri"/>
                <w:color w:val="000000"/>
                <w:szCs w:val="20"/>
              </w:rPr>
              <w:t>ost-</w:t>
            </w:r>
            <w:r w:rsidR="006F4948">
              <w:rPr>
                <w:rFonts w:ascii="Calibri" w:hAnsi="Calibri" w:cs="Calibri"/>
                <w:color w:val="000000"/>
                <w:szCs w:val="20"/>
              </w:rPr>
              <w:t>t</w:t>
            </w:r>
            <w:r w:rsidRPr="00AA3472">
              <w:rPr>
                <w:rFonts w:ascii="Calibri" w:hAnsi="Calibri" w:cs="Calibri"/>
                <w:color w:val="000000"/>
                <w:szCs w:val="20"/>
              </w:rPr>
              <w:t xml:space="preserve">raumatic </w:t>
            </w:r>
            <w:r w:rsidR="006F4948">
              <w:rPr>
                <w:rFonts w:ascii="Calibri" w:hAnsi="Calibri" w:cs="Calibri"/>
                <w:color w:val="000000"/>
                <w:szCs w:val="20"/>
              </w:rPr>
              <w:t>s</w:t>
            </w:r>
            <w:r w:rsidRPr="00AA3472">
              <w:rPr>
                <w:rFonts w:ascii="Calibri" w:hAnsi="Calibri" w:cs="Calibri"/>
                <w:color w:val="000000"/>
                <w:szCs w:val="20"/>
              </w:rPr>
              <w:t xml:space="preserve">tress </w:t>
            </w:r>
            <w:r w:rsidR="006F4948">
              <w:rPr>
                <w:rFonts w:ascii="Calibri" w:hAnsi="Calibri" w:cs="Calibri"/>
                <w:color w:val="000000"/>
                <w:szCs w:val="20"/>
              </w:rPr>
              <w:t>d</w:t>
            </w:r>
            <w:r w:rsidRPr="00AA3472">
              <w:rPr>
                <w:rFonts w:ascii="Calibri" w:hAnsi="Calibri" w:cs="Calibri"/>
                <w:color w:val="000000"/>
                <w:szCs w:val="20"/>
              </w:rPr>
              <w:t xml:space="preserve">isorder. </w:t>
            </w:r>
            <w:r w:rsidRPr="00180ECE">
              <w:rPr>
                <w:rFonts w:ascii="Calibri" w:hAnsi="Calibri" w:cs="Calibri"/>
                <w:i/>
                <w:iCs/>
                <w:color w:val="000000"/>
                <w:szCs w:val="20"/>
              </w:rPr>
              <w:t>Cannabis Cannabinoid Research.</w:t>
            </w:r>
            <w:r w:rsidRPr="00AA3472">
              <w:rPr>
                <w:rFonts w:ascii="Calibri" w:hAnsi="Calibri" w:cs="Calibri"/>
                <w:color w:val="000000"/>
                <w:szCs w:val="20"/>
              </w:rPr>
              <w:t xml:space="preserve"> </w:t>
            </w:r>
            <w:r w:rsidRPr="004810E8">
              <w:rPr>
                <w:rFonts w:ascii="Calibri" w:hAnsi="Calibri" w:cs="Calibri"/>
                <w:color w:val="000000"/>
                <w:szCs w:val="20"/>
              </w:rPr>
              <w:t>Online ahead of print.</w:t>
            </w:r>
            <w:r w:rsidRPr="00AA3472">
              <w:rPr>
                <w:rFonts w:ascii="Calibri" w:hAnsi="Calibri" w:cs="Calibri"/>
                <w:color w:val="000000"/>
                <w:szCs w:val="20"/>
              </w:rPr>
              <w:t xml:space="preserve"> </w:t>
            </w:r>
            <w:hyperlink r:id="rId122" w:history="1">
              <w:r w:rsidR="006F4948" w:rsidRPr="007913E4">
                <w:rPr>
                  <w:rStyle w:val="Hyperlink"/>
                  <w:rFonts w:ascii="Calibri" w:hAnsi="Calibri" w:cs="Calibri"/>
                  <w:szCs w:val="20"/>
                </w:rPr>
                <w:t>https://doi.org/10.1089/can.2020.0056</w:t>
              </w:r>
            </w:hyperlink>
            <w:r w:rsidR="006F4948">
              <w:rPr>
                <w:rFonts w:ascii="Calibri" w:hAnsi="Calibri" w:cs="Calibri"/>
                <w:color w:val="000000"/>
                <w:szCs w:val="20"/>
              </w:rPr>
              <w:t xml:space="preserve"> </w:t>
            </w:r>
          </w:p>
        </w:tc>
        <w:tc>
          <w:tcPr>
            <w:tcW w:w="2410" w:type="dxa"/>
            <w:noWrap/>
          </w:tcPr>
          <w:p w14:paraId="35D8C4CB" w14:textId="1643136F" w:rsidR="00C44447" w:rsidRPr="00AA3472" w:rsidRDefault="00C44447" w:rsidP="00C44447">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 xml:space="preserve">Observational study; </w:t>
            </w:r>
            <w:r w:rsidRPr="00740C94">
              <w:rPr>
                <w:rFonts w:ascii="Calibri" w:hAnsi="Calibri" w:cs="Calibri"/>
                <w:color w:val="000000"/>
                <w:szCs w:val="20"/>
              </w:rPr>
              <w:t xml:space="preserve">Cannabis </w:t>
            </w:r>
            <w:r>
              <w:rPr>
                <w:rFonts w:ascii="Calibri" w:hAnsi="Calibri" w:cs="Calibri"/>
                <w:color w:val="000000"/>
                <w:szCs w:val="20"/>
              </w:rPr>
              <w:t>use as</w:t>
            </w:r>
            <w:r w:rsidRPr="00740C94">
              <w:rPr>
                <w:rFonts w:ascii="Calibri" w:hAnsi="Calibri" w:cs="Calibri"/>
                <w:color w:val="000000"/>
                <w:szCs w:val="20"/>
              </w:rPr>
              <w:t xml:space="preserve"> a variable of interest</w:t>
            </w:r>
            <w:r>
              <w:rPr>
                <w:rFonts w:ascii="Calibri" w:hAnsi="Calibri" w:cs="Calibri"/>
                <w:color w:val="000000"/>
                <w:szCs w:val="20"/>
              </w:rPr>
              <w:t xml:space="preserve"> rather than intervention</w:t>
            </w:r>
          </w:p>
        </w:tc>
      </w:tr>
      <w:tr w:rsidR="00C44447" w:rsidRPr="00AA3472" w14:paraId="1DE26531" w14:textId="77777777" w:rsidTr="00C4444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62" w:type="dxa"/>
            <w:noWrap/>
          </w:tcPr>
          <w:p w14:paraId="3702E5E1" w14:textId="1C6B2F34" w:rsidR="00C44447" w:rsidRPr="00AA3472" w:rsidRDefault="00C44447" w:rsidP="00C44447">
            <w:pPr>
              <w:spacing w:after="0"/>
              <w:jc w:val="center"/>
              <w:rPr>
                <w:rFonts w:eastAsia="Times New Roman" w:cs="Calibri"/>
                <w:szCs w:val="20"/>
                <w:lang w:eastAsia="en-AU"/>
              </w:rPr>
            </w:pPr>
            <w:r w:rsidRPr="00AA3472">
              <w:rPr>
                <w:rFonts w:eastAsia="Times New Roman" w:cs="Calibri"/>
                <w:szCs w:val="20"/>
                <w:lang w:eastAsia="en-AU"/>
              </w:rPr>
              <w:t>7</w:t>
            </w:r>
          </w:p>
        </w:tc>
        <w:tc>
          <w:tcPr>
            <w:tcW w:w="851" w:type="dxa"/>
            <w:noWrap/>
          </w:tcPr>
          <w:p w14:paraId="05549174" w14:textId="77777777" w:rsidR="00C44447" w:rsidRPr="00AA3472" w:rsidRDefault="00C44447" w:rsidP="00247423">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AA3472">
              <w:rPr>
                <w:rFonts w:ascii="Calibri" w:hAnsi="Calibri" w:cs="Calibri"/>
                <w:color w:val="000000"/>
                <w:szCs w:val="20"/>
              </w:rPr>
              <w:t>2020</w:t>
            </w:r>
          </w:p>
          <w:p w14:paraId="0539AFA0" w14:textId="264D3C81" w:rsidR="00C44447" w:rsidRPr="00AA3472" w:rsidRDefault="00C44447" w:rsidP="0024742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p>
        </w:tc>
        <w:tc>
          <w:tcPr>
            <w:tcW w:w="10064" w:type="dxa"/>
            <w:noWrap/>
          </w:tcPr>
          <w:p w14:paraId="11133A29" w14:textId="2B35B77E" w:rsidR="00C44447" w:rsidRPr="00AA3472" w:rsidRDefault="00C44447" w:rsidP="00C44447">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AA3472">
              <w:rPr>
                <w:rFonts w:ascii="Calibri" w:hAnsi="Calibri" w:cs="Calibri"/>
                <w:color w:val="000000"/>
                <w:szCs w:val="20"/>
              </w:rPr>
              <w:t xml:space="preserve">Van Ameringen, M., Zhang, J., Patterson, B., &amp; Turna, J. (2020). The role of cannabis in treating anxiety: An update. </w:t>
            </w:r>
            <w:r w:rsidRPr="00180ECE">
              <w:rPr>
                <w:rFonts w:ascii="Calibri" w:hAnsi="Calibri" w:cs="Calibri"/>
                <w:i/>
                <w:iCs/>
                <w:color w:val="000000"/>
                <w:szCs w:val="20"/>
              </w:rPr>
              <w:t>Current Opinion in Psychiatry</w:t>
            </w:r>
            <w:r w:rsidRPr="006F4948">
              <w:rPr>
                <w:rFonts w:ascii="Calibri" w:hAnsi="Calibri" w:cs="Calibri"/>
                <w:i/>
                <w:iCs/>
                <w:color w:val="000000"/>
                <w:szCs w:val="20"/>
              </w:rPr>
              <w:t xml:space="preserve">, </w:t>
            </w:r>
            <w:r w:rsidRPr="00F62917">
              <w:rPr>
                <w:rFonts w:ascii="Calibri" w:hAnsi="Calibri" w:cs="Calibri"/>
                <w:i/>
                <w:iCs/>
                <w:color w:val="000000"/>
                <w:szCs w:val="20"/>
              </w:rPr>
              <w:t>33</w:t>
            </w:r>
            <w:r w:rsidRPr="00AA3472">
              <w:rPr>
                <w:rFonts w:ascii="Calibri" w:hAnsi="Calibri" w:cs="Calibri"/>
                <w:color w:val="000000"/>
                <w:szCs w:val="20"/>
              </w:rPr>
              <w:t xml:space="preserve">(1), </w:t>
            </w:r>
            <w:r w:rsidRPr="00BC50CB">
              <w:rPr>
                <w:rFonts w:ascii="Calibri" w:hAnsi="Calibri" w:cs="Calibri"/>
                <w:color w:val="000000"/>
                <w:szCs w:val="20"/>
              </w:rPr>
              <w:t>1-7.</w:t>
            </w:r>
            <w:r w:rsidRPr="00AA3472">
              <w:rPr>
                <w:rFonts w:ascii="Calibri" w:hAnsi="Calibri" w:cs="Calibri"/>
                <w:color w:val="000000"/>
                <w:szCs w:val="20"/>
              </w:rPr>
              <w:t xml:space="preserve"> </w:t>
            </w:r>
            <w:hyperlink r:id="rId123" w:history="1">
              <w:r w:rsidR="006F4948" w:rsidRPr="007913E4">
                <w:rPr>
                  <w:rStyle w:val="Hyperlink"/>
                  <w:rFonts w:ascii="Calibri" w:hAnsi="Calibri" w:cs="Calibri"/>
                  <w:szCs w:val="20"/>
                </w:rPr>
                <w:t>https://doi.org/10.1097/YCO.0000000000000566</w:t>
              </w:r>
            </w:hyperlink>
            <w:r w:rsidR="006F4948">
              <w:rPr>
                <w:rFonts w:ascii="Calibri" w:hAnsi="Calibri" w:cs="Calibri"/>
                <w:color w:val="000000"/>
                <w:szCs w:val="20"/>
              </w:rPr>
              <w:t xml:space="preserve">   </w:t>
            </w:r>
          </w:p>
        </w:tc>
        <w:tc>
          <w:tcPr>
            <w:tcW w:w="2410" w:type="dxa"/>
            <w:noWrap/>
          </w:tcPr>
          <w:p w14:paraId="29AAF0BE" w14:textId="05234B08" w:rsidR="00C44447" w:rsidRPr="00AA3472" w:rsidRDefault="00C44447" w:rsidP="00C44447">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A33115">
              <w:rPr>
                <w:rFonts w:ascii="Calibri" w:hAnsi="Calibri" w:cs="Calibri"/>
                <w:color w:val="000000"/>
                <w:szCs w:val="20"/>
              </w:rPr>
              <w:t>Narrative review</w:t>
            </w:r>
          </w:p>
        </w:tc>
      </w:tr>
      <w:tr w:rsidR="00C44447" w:rsidRPr="00AA3472" w14:paraId="712FE8B9" w14:textId="77777777" w:rsidTr="00C44447">
        <w:trPr>
          <w:trHeight w:val="288"/>
        </w:trPr>
        <w:tc>
          <w:tcPr>
            <w:cnfStyle w:val="001000000000" w:firstRow="0" w:lastRow="0" w:firstColumn="1" w:lastColumn="0" w:oddVBand="0" w:evenVBand="0" w:oddHBand="0" w:evenHBand="0" w:firstRowFirstColumn="0" w:firstRowLastColumn="0" w:lastRowFirstColumn="0" w:lastRowLastColumn="0"/>
            <w:tcW w:w="562" w:type="dxa"/>
            <w:noWrap/>
          </w:tcPr>
          <w:p w14:paraId="1150DD2C" w14:textId="5F682245" w:rsidR="00C44447" w:rsidRPr="00AA3472" w:rsidRDefault="00C44447" w:rsidP="00C44447">
            <w:pPr>
              <w:spacing w:after="0"/>
              <w:jc w:val="center"/>
              <w:rPr>
                <w:rFonts w:eastAsia="Times New Roman" w:cs="Calibri"/>
                <w:szCs w:val="20"/>
                <w:lang w:eastAsia="en-AU"/>
              </w:rPr>
            </w:pPr>
            <w:r w:rsidRPr="00AA3472">
              <w:rPr>
                <w:rFonts w:eastAsia="Times New Roman" w:cs="Calibri"/>
                <w:szCs w:val="20"/>
                <w:lang w:eastAsia="en-AU"/>
              </w:rPr>
              <w:t>8</w:t>
            </w:r>
          </w:p>
        </w:tc>
        <w:tc>
          <w:tcPr>
            <w:tcW w:w="851" w:type="dxa"/>
            <w:noWrap/>
          </w:tcPr>
          <w:p w14:paraId="6641A8B0" w14:textId="306E0E95" w:rsidR="00C44447" w:rsidRPr="00AA3472" w:rsidRDefault="00C44447" w:rsidP="0024742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AA3472">
              <w:rPr>
                <w:rFonts w:ascii="Calibri" w:hAnsi="Calibri" w:cs="Calibri"/>
                <w:color w:val="000000"/>
                <w:szCs w:val="20"/>
              </w:rPr>
              <w:t>2020</w:t>
            </w:r>
          </w:p>
        </w:tc>
        <w:tc>
          <w:tcPr>
            <w:tcW w:w="10064" w:type="dxa"/>
            <w:noWrap/>
          </w:tcPr>
          <w:p w14:paraId="7FF1619E" w14:textId="03B977CE" w:rsidR="00C44447" w:rsidRPr="00AA3472" w:rsidRDefault="00C44447" w:rsidP="00C44447">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AA3472">
              <w:rPr>
                <w:rFonts w:ascii="Calibri" w:hAnsi="Calibri" w:cs="Calibri"/>
                <w:color w:val="000000"/>
                <w:szCs w:val="20"/>
              </w:rPr>
              <w:t xml:space="preserve">Urits, I., Gress, K., Charipova, K., Li, N., Berger, A. A., Cornett, E. M., Hasoon, J., Kassem, H., Kaye, A. D., &amp; Viswanath, O. (2020). Cannabis </w:t>
            </w:r>
            <w:r w:rsidR="006F4948">
              <w:rPr>
                <w:rFonts w:ascii="Calibri" w:hAnsi="Calibri" w:cs="Calibri"/>
                <w:color w:val="000000"/>
                <w:szCs w:val="20"/>
              </w:rPr>
              <w:t>u</w:t>
            </w:r>
            <w:r w:rsidRPr="00AA3472">
              <w:rPr>
                <w:rFonts w:ascii="Calibri" w:hAnsi="Calibri" w:cs="Calibri"/>
                <w:color w:val="000000"/>
                <w:szCs w:val="20"/>
              </w:rPr>
              <w:t xml:space="preserve">se and its </w:t>
            </w:r>
            <w:r w:rsidR="006F4948">
              <w:rPr>
                <w:rFonts w:ascii="Calibri" w:hAnsi="Calibri" w:cs="Calibri"/>
                <w:color w:val="000000"/>
                <w:szCs w:val="20"/>
              </w:rPr>
              <w:t>a</w:t>
            </w:r>
            <w:r w:rsidRPr="00AA3472">
              <w:rPr>
                <w:rFonts w:ascii="Calibri" w:hAnsi="Calibri" w:cs="Calibri"/>
                <w:color w:val="000000"/>
                <w:szCs w:val="20"/>
              </w:rPr>
              <w:t xml:space="preserve">ssociation with </w:t>
            </w:r>
            <w:r w:rsidR="006F4948">
              <w:rPr>
                <w:rFonts w:ascii="Calibri" w:hAnsi="Calibri" w:cs="Calibri"/>
                <w:color w:val="000000"/>
                <w:szCs w:val="20"/>
              </w:rPr>
              <w:t>p</w:t>
            </w:r>
            <w:r w:rsidRPr="00AA3472">
              <w:rPr>
                <w:rFonts w:ascii="Calibri" w:hAnsi="Calibri" w:cs="Calibri"/>
                <w:color w:val="000000"/>
                <w:szCs w:val="20"/>
              </w:rPr>
              <w:t xml:space="preserve">sychological </w:t>
            </w:r>
            <w:r w:rsidR="006F4948">
              <w:rPr>
                <w:rFonts w:ascii="Calibri" w:hAnsi="Calibri" w:cs="Calibri"/>
                <w:color w:val="000000"/>
                <w:szCs w:val="20"/>
              </w:rPr>
              <w:t>d</w:t>
            </w:r>
            <w:r w:rsidRPr="00AA3472">
              <w:rPr>
                <w:rFonts w:ascii="Calibri" w:hAnsi="Calibri" w:cs="Calibri"/>
                <w:color w:val="000000"/>
                <w:szCs w:val="20"/>
              </w:rPr>
              <w:t xml:space="preserve">isorders. </w:t>
            </w:r>
            <w:r w:rsidRPr="00180ECE">
              <w:rPr>
                <w:rFonts w:ascii="Calibri" w:hAnsi="Calibri" w:cs="Calibri"/>
                <w:i/>
                <w:iCs/>
                <w:color w:val="000000"/>
                <w:szCs w:val="20"/>
              </w:rPr>
              <w:t>Psychopharmacology Bulletin</w:t>
            </w:r>
            <w:r w:rsidRPr="00F62917">
              <w:rPr>
                <w:rFonts w:ascii="Calibri" w:hAnsi="Calibri" w:cs="Calibri"/>
                <w:i/>
                <w:iCs/>
                <w:color w:val="000000"/>
                <w:szCs w:val="20"/>
              </w:rPr>
              <w:t>, 50</w:t>
            </w:r>
            <w:r w:rsidRPr="00AA3472">
              <w:rPr>
                <w:rFonts w:ascii="Calibri" w:hAnsi="Calibri" w:cs="Calibri"/>
                <w:color w:val="000000"/>
                <w:szCs w:val="20"/>
              </w:rPr>
              <w:t xml:space="preserve">(2), 56-67. </w:t>
            </w:r>
            <w:r w:rsidRPr="00F779DC">
              <w:rPr>
                <w:rFonts w:ascii="Calibri" w:hAnsi="Calibri" w:cs="Calibri"/>
                <w:color w:val="000000"/>
                <w:szCs w:val="20"/>
              </w:rPr>
              <w:t>PMID: 32508368</w:t>
            </w:r>
            <w:r>
              <w:rPr>
                <w:rFonts w:ascii="Calibri" w:hAnsi="Calibri" w:cs="Calibri"/>
                <w:color w:val="000000"/>
                <w:szCs w:val="20"/>
              </w:rPr>
              <w:t>.</w:t>
            </w:r>
          </w:p>
        </w:tc>
        <w:tc>
          <w:tcPr>
            <w:tcW w:w="2410" w:type="dxa"/>
            <w:noWrap/>
          </w:tcPr>
          <w:p w14:paraId="6A3AEA00" w14:textId="3C8C5768" w:rsidR="00C44447" w:rsidRPr="00AA3472" w:rsidRDefault="00C44447" w:rsidP="00C44447">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1F2EE0">
              <w:rPr>
                <w:rFonts w:eastAsia="Times New Roman" w:cs="Calibri"/>
                <w:color w:val="000000"/>
                <w:szCs w:val="20"/>
                <w:lang w:eastAsia="en-AU"/>
              </w:rPr>
              <w:t>Narrative review</w:t>
            </w:r>
          </w:p>
        </w:tc>
      </w:tr>
      <w:tr w:rsidR="00C44447" w:rsidRPr="00AA3472" w14:paraId="7A8BF36F" w14:textId="77777777" w:rsidTr="00C44447">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62" w:type="dxa"/>
            <w:noWrap/>
          </w:tcPr>
          <w:p w14:paraId="56000288" w14:textId="38F78C7B" w:rsidR="00C44447" w:rsidRPr="00AA3472" w:rsidRDefault="00C44447" w:rsidP="00C44447">
            <w:pPr>
              <w:spacing w:after="0"/>
              <w:jc w:val="center"/>
              <w:rPr>
                <w:rFonts w:eastAsia="Times New Roman" w:cs="Calibri"/>
                <w:szCs w:val="20"/>
                <w:lang w:eastAsia="en-AU"/>
              </w:rPr>
            </w:pPr>
            <w:r w:rsidRPr="00AA3472">
              <w:rPr>
                <w:rFonts w:eastAsia="Times New Roman" w:cs="Calibri"/>
                <w:szCs w:val="20"/>
                <w:lang w:eastAsia="en-AU"/>
              </w:rPr>
              <w:t>9</w:t>
            </w:r>
          </w:p>
        </w:tc>
        <w:tc>
          <w:tcPr>
            <w:tcW w:w="851" w:type="dxa"/>
            <w:noWrap/>
          </w:tcPr>
          <w:p w14:paraId="596E0906" w14:textId="6F020393" w:rsidR="00C44447" w:rsidRPr="00AA3472" w:rsidRDefault="00C44447" w:rsidP="0024742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ascii="Calibri" w:hAnsi="Calibri" w:cs="Calibri"/>
                <w:color w:val="000000"/>
                <w:szCs w:val="20"/>
              </w:rPr>
              <w:t>2020</w:t>
            </w:r>
          </w:p>
        </w:tc>
        <w:tc>
          <w:tcPr>
            <w:tcW w:w="10064" w:type="dxa"/>
            <w:noWrap/>
          </w:tcPr>
          <w:p w14:paraId="6D5D216A" w14:textId="773AFAC4" w:rsidR="00C44447" w:rsidRPr="00AA3472" w:rsidRDefault="00C44447" w:rsidP="00C44447">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AA3472">
              <w:rPr>
                <w:rFonts w:ascii="Calibri" w:hAnsi="Calibri" w:cs="Calibri"/>
                <w:color w:val="000000"/>
                <w:szCs w:val="20"/>
              </w:rPr>
              <w:t xml:space="preserve">Chadwick, V. L., Rohleder, C., Koethe, D., &amp; Leweke, F. M. (2020). Cannabinoids and the endocannabinoid system in anxiety, depression, and dysregulation of emotion in humans. </w:t>
            </w:r>
            <w:r w:rsidRPr="00180ECE">
              <w:rPr>
                <w:rFonts w:ascii="Calibri" w:hAnsi="Calibri" w:cs="Calibri"/>
                <w:i/>
                <w:iCs/>
                <w:color w:val="000000"/>
                <w:szCs w:val="20"/>
              </w:rPr>
              <w:t>Current Opinions in Psychiatry</w:t>
            </w:r>
            <w:r w:rsidRPr="006F4948">
              <w:rPr>
                <w:rFonts w:ascii="Calibri" w:hAnsi="Calibri" w:cs="Calibri"/>
                <w:i/>
                <w:iCs/>
                <w:color w:val="000000"/>
                <w:szCs w:val="20"/>
              </w:rPr>
              <w:t>,</w:t>
            </w:r>
            <w:r w:rsidRPr="00F62917">
              <w:rPr>
                <w:rFonts w:ascii="Calibri" w:hAnsi="Calibri" w:cs="Calibri"/>
                <w:i/>
                <w:iCs/>
                <w:color w:val="000000"/>
                <w:szCs w:val="20"/>
              </w:rPr>
              <w:t xml:space="preserve"> 33</w:t>
            </w:r>
            <w:r w:rsidRPr="00AA3472">
              <w:rPr>
                <w:rFonts w:ascii="Calibri" w:hAnsi="Calibri" w:cs="Calibri"/>
                <w:color w:val="000000"/>
                <w:szCs w:val="20"/>
              </w:rPr>
              <w:t xml:space="preserve">(1), 20-42. </w:t>
            </w:r>
            <w:hyperlink r:id="rId124" w:history="1">
              <w:r w:rsidR="006F4948" w:rsidRPr="007913E4">
                <w:rPr>
                  <w:rStyle w:val="Hyperlink"/>
                  <w:rFonts w:ascii="Calibri" w:hAnsi="Calibri" w:cs="Calibri"/>
                  <w:szCs w:val="20"/>
                </w:rPr>
                <w:t>https://doi.org/10.1097/yco.0000000000000562</w:t>
              </w:r>
            </w:hyperlink>
            <w:r w:rsidR="006F4948">
              <w:rPr>
                <w:rFonts w:ascii="Calibri" w:hAnsi="Calibri" w:cs="Calibri"/>
                <w:color w:val="000000"/>
                <w:szCs w:val="20"/>
              </w:rPr>
              <w:t xml:space="preserve"> </w:t>
            </w:r>
          </w:p>
        </w:tc>
        <w:tc>
          <w:tcPr>
            <w:tcW w:w="2410" w:type="dxa"/>
            <w:noWrap/>
          </w:tcPr>
          <w:p w14:paraId="28D7D17A" w14:textId="32A3B341" w:rsidR="00C44447" w:rsidRPr="00AA3472" w:rsidRDefault="00C44447" w:rsidP="00C44447">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ascii="Calibri" w:hAnsi="Calibri" w:cs="Calibri"/>
                <w:color w:val="000000"/>
                <w:szCs w:val="20"/>
              </w:rPr>
              <w:t>Not systematic</w:t>
            </w:r>
          </w:p>
        </w:tc>
      </w:tr>
      <w:tr w:rsidR="00C44447" w:rsidRPr="00AA3472" w14:paraId="3F396694" w14:textId="77777777" w:rsidTr="00C44447">
        <w:trPr>
          <w:trHeight w:val="288"/>
        </w:trPr>
        <w:tc>
          <w:tcPr>
            <w:cnfStyle w:val="001000000000" w:firstRow="0" w:lastRow="0" w:firstColumn="1" w:lastColumn="0" w:oddVBand="0" w:evenVBand="0" w:oddHBand="0" w:evenHBand="0" w:firstRowFirstColumn="0" w:firstRowLastColumn="0" w:lastRowFirstColumn="0" w:lastRowLastColumn="0"/>
            <w:tcW w:w="562" w:type="dxa"/>
            <w:noWrap/>
          </w:tcPr>
          <w:p w14:paraId="6606D96A" w14:textId="0BD5153E" w:rsidR="00C44447" w:rsidRPr="00AA3472" w:rsidRDefault="00C44447" w:rsidP="00C44447">
            <w:pPr>
              <w:spacing w:after="0"/>
              <w:jc w:val="center"/>
              <w:rPr>
                <w:rFonts w:eastAsia="Times New Roman" w:cs="Calibri"/>
                <w:szCs w:val="20"/>
                <w:lang w:eastAsia="en-AU"/>
              </w:rPr>
            </w:pPr>
            <w:r>
              <w:rPr>
                <w:rFonts w:eastAsia="Times New Roman" w:cs="Calibri"/>
                <w:szCs w:val="20"/>
                <w:lang w:eastAsia="en-AU"/>
              </w:rPr>
              <w:t>10</w:t>
            </w:r>
          </w:p>
        </w:tc>
        <w:tc>
          <w:tcPr>
            <w:tcW w:w="851" w:type="dxa"/>
            <w:noWrap/>
          </w:tcPr>
          <w:p w14:paraId="2FCFAD85" w14:textId="4D209EAD" w:rsidR="00C44447" w:rsidRPr="00AA3472" w:rsidRDefault="00C44447" w:rsidP="0024742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AA3472">
              <w:rPr>
                <w:rFonts w:ascii="Calibri" w:hAnsi="Calibri" w:cs="Calibri"/>
                <w:color w:val="000000"/>
                <w:szCs w:val="20"/>
              </w:rPr>
              <w:t>2020</w:t>
            </w:r>
          </w:p>
        </w:tc>
        <w:tc>
          <w:tcPr>
            <w:tcW w:w="10064" w:type="dxa"/>
            <w:noWrap/>
          </w:tcPr>
          <w:p w14:paraId="4D40A460" w14:textId="78576648" w:rsidR="00C44447" w:rsidRPr="00AA3472" w:rsidRDefault="00C44447" w:rsidP="00C44447">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AA3472">
              <w:rPr>
                <w:rFonts w:ascii="Calibri" w:hAnsi="Calibri" w:cs="Calibri"/>
                <w:color w:val="000000"/>
                <w:szCs w:val="20"/>
              </w:rPr>
              <w:t xml:space="preserve">Garakani, A., Murrough, J. W., Freire, R. C., Thom, R. P., Larkin, K., Buono, F. D., &amp; Iosifescu, D. V. (2020). Pharmacotherapy of </w:t>
            </w:r>
            <w:r w:rsidR="006F4948">
              <w:rPr>
                <w:rFonts w:ascii="Calibri" w:hAnsi="Calibri" w:cs="Calibri"/>
                <w:color w:val="000000"/>
                <w:szCs w:val="20"/>
              </w:rPr>
              <w:t>a</w:t>
            </w:r>
            <w:r w:rsidRPr="00AA3472">
              <w:rPr>
                <w:rFonts w:ascii="Calibri" w:hAnsi="Calibri" w:cs="Calibri"/>
                <w:color w:val="000000"/>
                <w:szCs w:val="20"/>
              </w:rPr>
              <w:t xml:space="preserve">nxiety </w:t>
            </w:r>
            <w:r w:rsidR="006F4948">
              <w:rPr>
                <w:rFonts w:ascii="Calibri" w:hAnsi="Calibri" w:cs="Calibri"/>
                <w:color w:val="000000"/>
                <w:szCs w:val="20"/>
              </w:rPr>
              <w:t>d</w:t>
            </w:r>
            <w:r w:rsidRPr="00AA3472">
              <w:rPr>
                <w:rFonts w:ascii="Calibri" w:hAnsi="Calibri" w:cs="Calibri"/>
                <w:color w:val="000000"/>
                <w:szCs w:val="20"/>
              </w:rPr>
              <w:t xml:space="preserve">isorders: Current and </w:t>
            </w:r>
            <w:r w:rsidR="006F4948">
              <w:rPr>
                <w:rFonts w:ascii="Calibri" w:hAnsi="Calibri" w:cs="Calibri"/>
                <w:color w:val="000000"/>
                <w:szCs w:val="20"/>
              </w:rPr>
              <w:t>e</w:t>
            </w:r>
            <w:r w:rsidRPr="00AA3472">
              <w:rPr>
                <w:rFonts w:ascii="Calibri" w:hAnsi="Calibri" w:cs="Calibri"/>
                <w:color w:val="000000"/>
                <w:szCs w:val="20"/>
              </w:rPr>
              <w:t xml:space="preserve">merging </w:t>
            </w:r>
            <w:r w:rsidR="006F4948">
              <w:rPr>
                <w:rFonts w:ascii="Calibri" w:hAnsi="Calibri" w:cs="Calibri"/>
                <w:color w:val="000000"/>
                <w:szCs w:val="20"/>
              </w:rPr>
              <w:t>t</w:t>
            </w:r>
            <w:r w:rsidRPr="00AA3472">
              <w:rPr>
                <w:rFonts w:ascii="Calibri" w:hAnsi="Calibri" w:cs="Calibri"/>
                <w:color w:val="000000"/>
                <w:szCs w:val="20"/>
              </w:rPr>
              <w:t xml:space="preserve">reatment </w:t>
            </w:r>
            <w:r w:rsidR="006F4948">
              <w:rPr>
                <w:rFonts w:ascii="Calibri" w:hAnsi="Calibri" w:cs="Calibri"/>
                <w:color w:val="000000"/>
                <w:szCs w:val="20"/>
              </w:rPr>
              <w:t>o</w:t>
            </w:r>
            <w:r w:rsidRPr="00AA3472">
              <w:rPr>
                <w:rFonts w:ascii="Calibri" w:hAnsi="Calibri" w:cs="Calibri"/>
                <w:color w:val="000000"/>
                <w:szCs w:val="20"/>
              </w:rPr>
              <w:t xml:space="preserve">ptions. </w:t>
            </w:r>
            <w:r w:rsidRPr="00180ECE">
              <w:rPr>
                <w:rFonts w:ascii="Calibri" w:hAnsi="Calibri" w:cs="Calibri"/>
                <w:i/>
                <w:iCs/>
                <w:color w:val="000000"/>
                <w:szCs w:val="20"/>
              </w:rPr>
              <w:t>Frontiers in Psychiatry</w:t>
            </w:r>
            <w:r w:rsidRPr="006F4948">
              <w:rPr>
                <w:rFonts w:ascii="Calibri" w:hAnsi="Calibri" w:cs="Calibri"/>
                <w:i/>
                <w:iCs/>
                <w:color w:val="000000"/>
                <w:szCs w:val="20"/>
              </w:rPr>
              <w:t>,</w:t>
            </w:r>
            <w:r w:rsidRPr="00F62917">
              <w:rPr>
                <w:rFonts w:ascii="Calibri" w:hAnsi="Calibri" w:cs="Calibri"/>
                <w:i/>
                <w:iCs/>
                <w:color w:val="000000"/>
                <w:szCs w:val="20"/>
              </w:rPr>
              <w:t xml:space="preserve"> 11</w:t>
            </w:r>
            <w:r w:rsidRPr="00AA3472">
              <w:rPr>
                <w:rFonts w:ascii="Calibri" w:hAnsi="Calibri" w:cs="Calibri"/>
                <w:color w:val="000000"/>
                <w:szCs w:val="20"/>
              </w:rPr>
              <w:t xml:space="preserve">, </w:t>
            </w:r>
            <w:r w:rsidR="006F4948">
              <w:rPr>
                <w:rFonts w:ascii="Calibri" w:hAnsi="Calibri" w:cs="Calibri"/>
                <w:color w:val="000000"/>
                <w:szCs w:val="20"/>
              </w:rPr>
              <w:t xml:space="preserve">Article </w:t>
            </w:r>
            <w:r w:rsidRPr="00AA3472">
              <w:rPr>
                <w:rFonts w:ascii="Calibri" w:hAnsi="Calibri" w:cs="Calibri"/>
                <w:color w:val="000000"/>
                <w:szCs w:val="20"/>
              </w:rPr>
              <w:t xml:space="preserve">595584. </w:t>
            </w:r>
            <w:hyperlink r:id="rId125" w:history="1">
              <w:r w:rsidR="006F4948" w:rsidRPr="007913E4">
                <w:rPr>
                  <w:rStyle w:val="Hyperlink"/>
                  <w:rFonts w:ascii="Calibri" w:hAnsi="Calibri" w:cs="Calibri"/>
                  <w:szCs w:val="20"/>
                </w:rPr>
                <w:t>https://doi.org/10.3389/fpsyt.2020.595584</w:t>
              </w:r>
            </w:hyperlink>
            <w:r w:rsidR="006F4948">
              <w:rPr>
                <w:rFonts w:ascii="Calibri" w:hAnsi="Calibri" w:cs="Calibri"/>
                <w:color w:val="000000"/>
                <w:szCs w:val="20"/>
              </w:rPr>
              <w:t xml:space="preserve"> </w:t>
            </w:r>
          </w:p>
        </w:tc>
        <w:tc>
          <w:tcPr>
            <w:tcW w:w="2410" w:type="dxa"/>
            <w:noWrap/>
          </w:tcPr>
          <w:p w14:paraId="43EEE7A4" w14:textId="68430209" w:rsidR="00C44447" w:rsidRPr="00AA3472" w:rsidRDefault="00C44447" w:rsidP="00C44447">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B2446B">
              <w:rPr>
                <w:rFonts w:ascii="Calibri" w:hAnsi="Calibri" w:cs="Calibri"/>
                <w:color w:val="000000"/>
                <w:szCs w:val="20"/>
              </w:rPr>
              <w:t>Narrative review</w:t>
            </w:r>
          </w:p>
        </w:tc>
      </w:tr>
      <w:tr w:rsidR="00C44447" w:rsidRPr="00AA3472" w14:paraId="41673B43" w14:textId="77777777" w:rsidTr="00C4444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62" w:type="dxa"/>
            <w:noWrap/>
          </w:tcPr>
          <w:p w14:paraId="3580C3B1" w14:textId="089C94BD" w:rsidR="00C44447" w:rsidRPr="00AA3472" w:rsidRDefault="00C44447" w:rsidP="00C44447">
            <w:pPr>
              <w:spacing w:after="0"/>
              <w:jc w:val="center"/>
              <w:rPr>
                <w:rFonts w:eastAsia="Times New Roman" w:cs="Calibri"/>
                <w:szCs w:val="20"/>
                <w:lang w:eastAsia="en-AU"/>
              </w:rPr>
            </w:pPr>
            <w:r>
              <w:rPr>
                <w:rFonts w:eastAsia="Times New Roman" w:cs="Calibri"/>
                <w:szCs w:val="20"/>
                <w:lang w:eastAsia="en-AU"/>
              </w:rPr>
              <w:t>11</w:t>
            </w:r>
          </w:p>
        </w:tc>
        <w:tc>
          <w:tcPr>
            <w:tcW w:w="851" w:type="dxa"/>
            <w:noWrap/>
          </w:tcPr>
          <w:p w14:paraId="27E01F21" w14:textId="67759685" w:rsidR="00C44447" w:rsidRPr="00AA3472" w:rsidRDefault="00C44447" w:rsidP="00C44447">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AD7E12">
              <w:rPr>
                <w:rFonts w:ascii="Calibri" w:hAnsi="Calibri" w:cs="Calibri"/>
                <w:color w:val="000000"/>
                <w:szCs w:val="20"/>
              </w:rPr>
              <w:t>2020</w:t>
            </w:r>
          </w:p>
        </w:tc>
        <w:tc>
          <w:tcPr>
            <w:tcW w:w="10064" w:type="dxa"/>
            <w:noWrap/>
          </w:tcPr>
          <w:p w14:paraId="5C16EB3C" w14:textId="729208B6" w:rsidR="00C44447" w:rsidRPr="00AA3472" w:rsidRDefault="00C44447" w:rsidP="00C44447">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9B4D43">
              <w:rPr>
                <w:rFonts w:ascii="Calibri" w:hAnsi="Calibri" w:cs="Calibri"/>
                <w:color w:val="000000"/>
                <w:szCs w:val="20"/>
              </w:rPr>
              <w:t>Kwee, C., Baas, J. M. P., Van Balkom, A</w:t>
            </w:r>
            <w:r w:rsidR="00341D2E">
              <w:rPr>
                <w:rFonts w:ascii="Calibri" w:hAnsi="Calibri" w:cs="Calibri"/>
                <w:color w:val="000000"/>
                <w:szCs w:val="20"/>
              </w:rPr>
              <w:t>. J. L. M.</w:t>
            </w:r>
            <w:r w:rsidRPr="009B4D43">
              <w:rPr>
                <w:rFonts w:ascii="Calibri" w:hAnsi="Calibri" w:cs="Calibri"/>
                <w:color w:val="000000"/>
                <w:szCs w:val="20"/>
              </w:rPr>
              <w:t xml:space="preserve">, Batelaan, N. M., Van der Veen, D. C., Moerkbeek, M., &amp; Cath, D. C. (2020). P.102 Cannabidiol enhancement of exposure therapy in treatment refractory patients with phobias: </w:t>
            </w:r>
            <w:r w:rsidR="006F4948">
              <w:rPr>
                <w:rFonts w:ascii="Calibri" w:hAnsi="Calibri" w:cs="Calibri"/>
                <w:color w:val="000000"/>
                <w:szCs w:val="20"/>
              </w:rPr>
              <w:t>F</w:t>
            </w:r>
            <w:r w:rsidRPr="009B4D43">
              <w:rPr>
                <w:rFonts w:ascii="Calibri" w:hAnsi="Calibri" w:cs="Calibri"/>
                <w:color w:val="000000"/>
                <w:szCs w:val="20"/>
              </w:rPr>
              <w:t xml:space="preserve">irst results </w:t>
            </w:r>
            <w:r w:rsidRPr="009B4D43">
              <w:rPr>
                <w:rFonts w:ascii="Calibri" w:hAnsi="Calibri" w:cs="Calibri"/>
                <w:color w:val="000000"/>
                <w:szCs w:val="20"/>
              </w:rPr>
              <w:lastRenderedPageBreak/>
              <w:t xml:space="preserve">after augmented in vivo exposure therapy. </w:t>
            </w:r>
            <w:r w:rsidRPr="00180ECE">
              <w:rPr>
                <w:rFonts w:ascii="Calibri" w:hAnsi="Calibri" w:cs="Calibri"/>
                <w:i/>
                <w:iCs/>
                <w:color w:val="000000"/>
                <w:szCs w:val="20"/>
              </w:rPr>
              <w:t xml:space="preserve">European </w:t>
            </w:r>
            <w:r w:rsidRPr="006F4948">
              <w:rPr>
                <w:rFonts w:ascii="Calibri" w:hAnsi="Calibri" w:cs="Calibri"/>
                <w:i/>
                <w:iCs/>
                <w:color w:val="000000"/>
                <w:szCs w:val="20"/>
              </w:rPr>
              <w:t>Neuropsychopharmacology</w:t>
            </w:r>
            <w:r w:rsidRPr="00F62917">
              <w:rPr>
                <w:rFonts w:ascii="Calibri" w:hAnsi="Calibri" w:cs="Calibri"/>
                <w:i/>
                <w:iCs/>
                <w:color w:val="000000"/>
                <w:szCs w:val="20"/>
              </w:rPr>
              <w:t>, 40</w:t>
            </w:r>
            <w:r w:rsidRPr="003C1441">
              <w:rPr>
                <w:rFonts w:ascii="Calibri" w:hAnsi="Calibri" w:cs="Calibri"/>
                <w:color w:val="000000"/>
                <w:szCs w:val="20"/>
              </w:rPr>
              <w:t xml:space="preserve">, S66. </w:t>
            </w:r>
            <w:hyperlink r:id="rId126" w:history="1">
              <w:r w:rsidR="005156B1" w:rsidRPr="007913E4">
                <w:rPr>
                  <w:rStyle w:val="Hyperlink"/>
                  <w:rFonts w:ascii="Calibri" w:hAnsi="Calibri" w:cs="Calibri"/>
                  <w:szCs w:val="20"/>
                </w:rPr>
                <w:t>https://doi.org/10.1016/j.euroneuro.2020.09.089</w:t>
              </w:r>
            </w:hyperlink>
            <w:r w:rsidR="005156B1">
              <w:rPr>
                <w:rFonts w:ascii="Calibri" w:hAnsi="Calibri" w:cs="Calibri"/>
                <w:color w:val="000000"/>
                <w:szCs w:val="20"/>
              </w:rPr>
              <w:t xml:space="preserve"> </w:t>
            </w:r>
          </w:p>
        </w:tc>
        <w:tc>
          <w:tcPr>
            <w:tcW w:w="2410" w:type="dxa"/>
            <w:noWrap/>
          </w:tcPr>
          <w:p w14:paraId="764B4A1D" w14:textId="4D9EBCF3" w:rsidR="00C44447" w:rsidRPr="00B2446B" w:rsidRDefault="00C44447" w:rsidP="00C44447">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562748">
              <w:rPr>
                <w:rFonts w:ascii="Calibri" w:hAnsi="Calibri" w:cs="Calibri"/>
                <w:color w:val="000000"/>
                <w:szCs w:val="20"/>
              </w:rPr>
              <w:lastRenderedPageBreak/>
              <w:t>Poster abstract</w:t>
            </w:r>
          </w:p>
        </w:tc>
      </w:tr>
      <w:tr w:rsidR="00C44447" w:rsidRPr="00AA3472" w14:paraId="399AC962" w14:textId="77777777" w:rsidTr="00C44447">
        <w:trPr>
          <w:trHeight w:val="288"/>
        </w:trPr>
        <w:tc>
          <w:tcPr>
            <w:cnfStyle w:val="001000000000" w:firstRow="0" w:lastRow="0" w:firstColumn="1" w:lastColumn="0" w:oddVBand="0" w:evenVBand="0" w:oddHBand="0" w:evenHBand="0" w:firstRowFirstColumn="0" w:firstRowLastColumn="0" w:lastRowFirstColumn="0" w:lastRowLastColumn="0"/>
            <w:tcW w:w="562" w:type="dxa"/>
            <w:noWrap/>
          </w:tcPr>
          <w:p w14:paraId="18211A1A" w14:textId="7A02C663" w:rsidR="00C44447" w:rsidRPr="00AA3472" w:rsidRDefault="00C44447" w:rsidP="00C44447">
            <w:pPr>
              <w:spacing w:after="0"/>
              <w:jc w:val="center"/>
              <w:rPr>
                <w:rFonts w:eastAsia="Times New Roman" w:cs="Calibri"/>
                <w:szCs w:val="20"/>
                <w:lang w:eastAsia="en-AU"/>
              </w:rPr>
            </w:pPr>
            <w:r>
              <w:rPr>
                <w:rFonts w:eastAsia="Times New Roman" w:cs="Calibri"/>
                <w:szCs w:val="20"/>
                <w:lang w:eastAsia="en-AU"/>
              </w:rPr>
              <w:t>12</w:t>
            </w:r>
          </w:p>
        </w:tc>
        <w:tc>
          <w:tcPr>
            <w:tcW w:w="851" w:type="dxa"/>
            <w:noWrap/>
          </w:tcPr>
          <w:p w14:paraId="48F32538" w14:textId="3C73532D" w:rsidR="00C44447" w:rsidRPr="00AA3472" w:rsidRDefault="00C44447" w:rsidP="0024742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AD7E12">
              <w:rPr>
                <w:rFonts w:ascii="Calibri" w:hAnsi="Calibri" w:cs="Calibri"/>
                <w:color w:val="000000"/>
                <w:szCs w:val="20"/>
              </w:rPr>
              <w:t>2019</w:t>
            </w:r>
          </w:p>
        </w:tc>
        <w:tc>
          <w:tcPr>
            <w:tcW w:w="10064" w:type="dxa"/>
            <w:noWrap/>
          </w:tcPr>
          <w:p w14:paraId="32E7C404" w14:textId="0FC413F2" w:rsidR="00C44447" w:rsidRPr="00AA3472" w:rsidRDefault="00C44447" w:rsidP="00C44447">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AD7E12">
              <w:rPr>
                <w:rFonts w:ascii="Calibri" w:hAnsi="Calibri" w:cs="Calibri"/>
                <w:color w:val="000000"/>
                <w:szCs w:val="20"/>
              </w:rPr>
              <w:t>van der Flier, F. E., Kwee, C. M. B., Cath, D. C., Batelaan, N. M., Groenink, L., Duits, P., van der Veen, D. C., van Balkom, A.</w:t>
            </w:r>
            <w:r w:rsidR="00604B18">
              <w:rPr>
                <w:rFonts w:ascii="Calibri" w:hAnsi="Calibri" w:cs="Calibri"/>
                <w:color w:val="000000"/>
                <w:szCs w:val="20"/>
              </w:rPr>
              <w:t xml:space="preserve"> J. L. M.</w:t>
            </w:r>
            <w:r w:rsidRPr="00AD7E12">
              <w:rPr>
                <w:rFonts w:ascii="Calibri" w:hAnsi="Calibri" w:cs="Calibri"/>
                <w:color w:val="000000"/>
                <w:szCs w:val="20"/>
              </w:rPr>
              <w:t xml:space="preserve">, &amp; Baas, J. M. P. (2019). Cannabidiol enhancement of exposure therapy in treatment refractory patients with phobias: </w:t>
            </w:r>
            <w:r w:rsidR="00583BCB">
              <w:rPr>
                <w:rFonts w:ascii="Calibri" w:hAnsi="Calibri" w:cs="Calibri"/>
                <w:color w:val="000000"/>
                <w:szCs w:val="20"/>
              </w:rPr>
              <w:t>S</w:t>
            </w:r>
            <w:r w:rsidRPr="00AD7E12">
              <w:rPr>
                <w:rFonts w:ascii="Calibri" w:hAnsi="Calibri" w:cs="Calibri"/>
                <w:color w:val="000000"/>
                <w:szCs w:val="20"/>
              </w:rPr>
              <w:t xml:space="preserve">tudy protocol of a randomized controlled trial. </w:t>
            </w:r>
            <w:r w:rsidRPr="00180ECE">
              <w:rPr>
                <w:rFonts w:ascii="Calibri" w:hAnsi="Calibri" w:cs="Calibri"/>
                <w:i/>
                <w:iCs/>
                <w:color w:val="000000"/>
                <w:szCs w:val="20"/>
              </w:rPr>
              <w:t>BMC Psychiatry</w:t>
            </w:r>
            <w:r w:rsidRPr="00F62917">
              <w:rPr>
                <w:rFonts w:ascii="Calibri" w:hAnsi="Calibri" w:cs="Calibri"/>
                <w:i/>
                <w:iCs/>
                <w:color w:val="000000"/>
                <w:szCs w:val="20"/>
              </w:rPr>
              <w:t>, 19</w:t>
            </w:r>
            <w:r w:rsidRPr="00AD7E12">
              <w:rPr>
                <w:rFonts w:ascii="Calibri" w:hAnsi="Calibri" w:cs="Calibri"/>
                <w:color w:val="000000"/>
                <w:szCs w:val="20"/>
              </w:rPr>
              <w:t xml:space="preserve">(1), 69. </w:t>
            </w:r>
            <w:hyperlink r:id="rId127" w:history="1">
              <w:r w:rsidR="009A65A4" w:rsidRPr="007913E4">
                <w:rPr>
                  <w:rStyle w:val="Hyperlink"/>
                  <w:rFonts w:ascii="Calibri" w:hAnsi="Calibri" w:cs="Calibri"/>
                  <w:szCs w:val="20"/>
                </w:rPr>
                <w:t>https://doi.org/10.1186/s12888-019-2022-x</w:t>
              </w:r>
            </w:hyperlink>
            <w:r w:rsidR="009A65A4">
              <w:rPr>
                <w:rFonts w:ascii="Calibri" w:hAnsi="Calibri" w:cs="Calibri"/>
                <w:color w:val="000000"/>
                <w:szCs w:val="20"/>
              </w:rPr>
              <w:t xml:space="preserve"> </w:t>
            </w:r>
          </w:p>
        </w:tc>
        <w:tc>
          <w:tcPr>
            <w:tcW w:w="2410" w:type="dxa"/>
            <w:noWrap/>
          </w:tcPr>
          <w:p w14:paraId="00578BCC" w14:textId="6310D509" w:rsidR="00C44447" w:rsidRPr="00AA3472" w:rsidRDefault="00C44447" w:rsidP="00C44447">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ascii="Calibri" w:hAnsi="Calibri" w:cs="Calibri"/>
                <w:color w:val="000000"/>
                <w:szCs w:val="20"/>
              </w:rPr>
              <w:t>Protocol only</w:t>
            </w:r>
          </w:p>
        </w:tc>
      </w:tr>
      <w:tr w:rsidR="00C44447" w:rsidRPr="00AA3472" w14:paraId="243854FC" w14:textId="77777777" w:rsidTr="00C4444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62" w:type="dxa"/>
            <w:noWrap/>
          </w:tcPr>
          <w:p w14:paraId="022C77E5" w14:textId="5781B8DA" w:rsidR="00C44447" w:rsidRPr="00AA3472" w:rsidRDefault="00C44447" w:rsidP="00C44447">
            <w:pPr>
              <w:spacing w:after="0"/>
              <w:jc w:val="center"/>
              <w:rPr>
                <w:rFonts w:eastAsia="Times New Roman" w:cs="Calibri"/>
                <w:szCs w:val="20"/>
                <w:lang w:eastAsia="en-AU"/>
              </w:rPr>
            </w:pPr>
            <w:r>
              <w:rPr>
                <w:rFonts w:eastAsia="Times New Roman" w:cs="Calibri"/>
                <w:szCs w:val="20"/>
                <w:lang w:eastAsia="en-AU"/>
              </w:rPr>
              <w:t>13</w:t>
            </w:r>
          </w:p>
        </w:tc>
        <w:tc>
          <w:tcPr>
            <w:tcW w:w="851" w:type="dxa"/>
            <w:noWrap/>
          </w:tcPr>
          <w:p w14:paraId="7F002C08" w14:textId="17C9B322" w:rsidR="00C44447" w:rsidRPr="00AA3472" w:rsidRDefault="00C44447" w:rsidP="0024742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AA3472">
              <w:rPr>
                <w:rFonts w:ascii="Calibri" w:hAnsi="Calibri" w:cs="Calibri"/>
                <w:color w:val="000000"/>
                <w:szCs w:val="20"/>
              </w:rPr>
              <w:t>2018</w:t>
            </w:r>
          </w:p>
        </w:tc>
        <w:tc>
          <w:tcPr>
            <w:tcW w:w="10064" w:type="dxa"/>
            <w:noWrap/>
          </w:tcPr>
          <w:p w14:paraId="44A636AE" w14:textId="0E267E23" w:rsidR="00C44447" w:rsidRPr="00AA3472" w:rsidRDefault="00C44447" w:rsidP="00C44447">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AA3472">
              <w:rPr>
                <w:rFonts w:ascii="Calibri" w:hAnsi="Calibri" w:cs="Calibri"/>
                <w:color w:val="000000"/>
                <w:szCs w:val="20"/>
              </w:rPr>
              <w:t xml:space="preserve">El-Solh, A. A. (2018). Management of nightmares in patients with posttraumatic stress disorder: </w:t>
            </w:r>
            <w:r w:rsidR="00C10D75">
              <w:rPr>
                <w:rFonts w:ascii="Calibri" w:hAnsi="Calibri" w:cs="Calibri"/>
                <w:color w:val="000000"/>
                <w:szCs w:val="20"/>
              </w:rPr>
              <w:t>C</w:t>
            </w:r>
            <w:r w:rsidRPr="00AA3472">
              <w:rPr>
                <w:rFonts w:ascii="Calibri" w:hAnsi="Calibri" w:cs="Calibri"/>
                <w:color w:val="000000"/>
                <w:szCs w:val="20"/>
              </w:rPr>
              <w:t xml:space="preserve">urrent perspectives. </w:t>
            </w:r>
            <w:r w:rsidRPr="00180ECE">
              <w:rPr>
                <w:rFonts w:ascii="Calibri" w:hAnsi="Calibri" w:cs="Calibri"/>
                <w:i/>
                <w:iCs/>
                <w:color w:val="000000"/>
                <w:szCs w:val="20"/>
              </w:rPr>
              <w:t>Nature and Science of Sleep</w:t>
            </w:r>
            <w:r w:rsidRPr="008E64D2">
              <w:rPr>
                <w:rFonts w:ascii="Calibri" w:hAnsi="Calibri" w:cs="Calibri"/>
                <w:i/>
                <w:iCs/>
                <w:color w:val="000000"/>
                <w:szCs w:val="20"/>
              </w:rPr>
              <w:t>,</w:t>
            </w:r>
            <w:r w:rsidRPr="00F62917">
              <w:rPr>
                <w:rFonts w:ascii="Calibri" w:hAnsi="Calibri" w:cs="Calibri"/>
                <w:i/>
                <w:iCs/>
                <w:color w:val="000000"/>
                <w:szCs w:val="20"/>
              </w:rPr>
              <w:t xml:space="preserve"> 10</w:t>
            </w:r>
            <w:r w:rsidRPr="00AA3472">
              <w:rPr>
                <w:rFonts w:ascii="Calibri" w:hAnsi="Calibri" w:cs="Calibri"/>
                <w:color w:val="000000"/>
                <w:szCs w:val="20"/>
              </w:rPr>
              <w:t xml:space="preserve">, 409-420. </w:t>
            </w:r>
            <w:hyperlink r:id="rId128" w:history="1">
              <w:r w:rsidR="00C10D75" w:rsidRPr="007913E4">
                <w:rPr>
                  <w:rStyle w:val="Hyperlink"/>
                  <w:rFonts w:ascii="Calibri" w:hAnsi="Calibri" w:cs="Calibri"/>
                  <w:szCs w:val="20"/>
                </w:rPr>
                <w:t>https://doi.org/10.2147/NSS.S166089</w:t>
              </w:r>
            </w:hyperlink>
            <w:r w:rsidR="00C10D75">
              <w:rPr>
                <w:rFonts w:ascii="Calibri" w:hAnsi="Calibri" w:cs="Calibri"/>
                <w:color w:val="000000"/>
                <w:szCs w:val="20"/>
              </w:rPr>
              <w:t xml:space="preserve"> </w:t>
            </w:r>
          </w:p>
        </w:tc>
        <w:tc>
          <w:tcPr>
            <w:tcW w:w="2410" w:type="dxa"/>
            <w:noWrap/>
          </w:tcPr>
          <w:p w14:paraId="378C80DC" w14:textId="3835C198" w:rsidR="00C44447" w:rsidRPr="00AA3472" w:rsidRDefault="00C44447" w:rsidP="00C44447">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B2446B">
              <w:rPr>
                <w:rFonts w:ascii="Calibri" w:hAnsi="Calibri" w:cs="Calibri"/>
                <w:color w:val="000000"/>
                <w:szCs w:val="20"/>
              </w:rPr>
              <w:t>Narrative review</w:t>
            </w:r>
          </w:p>
        </w:tc>
      </w:tr>
      <w:tr w:rsidR="00C44447" w:rsidRPr="00AA3472" w14:paraId="12AD0A3F" w14:textId="77777777" w:rsidTr="00C44447">
        <w:trPr>
          <w:trHeight w:val="288"/>
        </w:trPr>
        <w:tc>
          <w:tcPr>
            <w:cnfStyle w:val="001000000000" w:firstRow="0" w:lastRow="0" w:firstColumn="1" w:lastColumn="0" w:oddVBand="0" w:evenVBand="0" w:oddHBand="0" w:evenHBand="0" w:firstRowFirstColumn="0" w:firstRowLastColumn="0" w:lastRowFirstColumn="0" w:lastRowLastColumn="0"/>
            <w:tcW w:w="562" w:type="dxa"/>
            <w:noWrap/>
          </w:tcPr>
          <w:p w14:paraId="16A82F10" w14:textId="269D6AD3" w:rsidR="00C44447" w:rsidRPr="00AA3472" w:rsidRDefault="00C44447" w:rsidP="00C44447">
            <w:pPr>
              <w:spacing w:after="0"/>
              <w:jc w:val="center"/>
              <w:rPr>
                <w:rFonts w:eastAsia="Times New Roman" w:cs="Calibri"/>
                <w:szCs w:val="20"/>
                <w:lang w:eastAsia="en-AU"/>
              </w:rPr>
            </w:pPr>
            <w:r>
              <w:rPr>
                <w:rFonts w:eastAsia="Times New Roman" w:cs="Calibri"/>
                <w:szCs w:val="20"/>
                <w:lang w:eastAsia="en-AU"/>
              </w:rPr>
              <w:t>14</w:t>
            </w:r>
          </w:p>
        </w:tc>
        <w:tc>
          <w:tcPr>
            <w:tcW w:w="851" w:type="dxa"/>
            <w:noWrap/>
          </w:tcPr>
          <w:p w14:paraId="4D2226D1" w14:textId="5C7176B1" w:rsidR="00C44447" w:rsidRPr="00AA3472" w:rsidRDefault="00C44447" w:rsidP="00247423">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AD7E12">
              <w:rPr>
                <w:rFonts w:ascii="Calibri" w:hAnsi="Calibri" w:cs="Calibri"/>
                <w:color w:val="000000"/>
                <w:szCs w:val="20"/>
              </w:rPr>
              <w:t>2018</w:t>
            </w:r>
          </w:p>
        </w:tc>
        <w:tc>
          <w:tcPr>
            <w:tcW w:w="10064" w:type="dxa"/>
            <w:noWrap/>
          </w:tcPr>
          <w:p w14:paraId="32380DFF" w14:textId="3C78BD25" w:rsidR="00C44447" w:rsidRPr="00AA3472" w:rsidRDefault="00C44447" w:rsidP="00C44447">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9B4D43">
              <w:rPr>
                <w:rFonts w:ascii="Calibri" w:hAnsi="Calibri" w:cs="Calibri"/>
                <w:color w:val="000000"/>
                <w:szCs w:val="20"/>
              </w:rPr>
              <w:t xml:space="preserve">Rabinak, C., Peters, C., Elrahal, F., Milad, M., Rauch, S., Phan, K. L., &amp; Greenwald, M. (2018). </w:t>
            </w:r>
            <w:r w:rsidRPr="00A67263">
              <w:rPr>
                <w:rFonts w:ascii="Calibri" w:hAnsi="Calibri" w:cs="Calibri"/>
                <w:color w:val="000000"/>
                <w:szCs w:val="20"/>
              </w:rPr>
              <w:t xml:space="preserve">Cannabinoid </w:t>
            </w:r>
            <w:r w:rsidR="00C10D75">
              <w:rPr>
                <w:rFonts w:ascii="Calibri" w:hAnsi="Calibri" w:cs="Calibri"/>
                <w:color w:val="000000"/>
                <w:szCs w:val="20"/>
              </w:rPr>
              <w:t>f</w:t>
            </w:r>
            <w:r w:rsidRPr="00A67263">
              <w:rPr>
                <w:rFonts w:ascii="Calibri" w:hAnsi="Calibri" w:cs="Calibri"/>
                <w:color w:val="000000"/>
                <w:szCs w:val="20"/>
              </w:rPr>
              <w:t xml:space="preserve">acilitation of </w:t>
            </w:r>
            <w:r w:rsidR="00C10D75">
              <w:rPr>
                <w:rFonts w:ascii="Calibri" w:hAnsi="Calibri" w:cs="Calibri"/>
                <w:color w:val="000000"/>
                <w:szCs w:val="20"/>
              </w:rPr>
              <w:t>f</w:t>
            </w:r>
            <w:r w:rsidRPr="00A67263">
              <w:rPr>
                <w:rFonts w:ascii="Calibri" w:hAnsi="Calibri" w:cs="Calibri"/>
                <w:color w:val="000000"/>
                <w:szCs w:val="20"/>
              </w:rPr>
              <w:t xml:space="preserve">ear </w:t>
            </w:r>
            <w:r w:rsidR="00C10D75">
              <w:rPr>
                <w:rFonts w:ascii="Calibri" w:hAnsi="Calibri" w:cs="Calibri"/>
                <w:color w:val="000000"/>
                <w:szCs w:val="20"/>
              </w:rPr>
              <w:t>e</w:t>
            </w:r>
            <w:r w:rsidRPr="00A67263">
              <w:rPr>
                <w:rFonts w:ascii="Calibri" w:hAnsi="Calibri" w:cs="Calibri"/>
                <w:color w:val="000000"/>
                <w:szCs w:val="20"/>
              </w:rPr>
              <w:t xml:space="preserve">xtinction in </w:t>
            </w:r>
            <w:r w:rsidR="00C10D75">
              <w:rPr>
                <w:rFonts w:ascii="Calibri" w:hAnsi="Calibri" w:cs="Calibri"/>
                <w:color w:val="000000"/>
                <w:szCs w:val="20"/>
              </w:rPr>
              <w:t>p</w:t>
            </w:r>
            <w:r w:rsidRPr="00A67263">
              <w:rPr>
                <w:rFonts w:ascii="Calibri" w:hAnsi="Calibri" w:cs="Calibri"/>
                <w:color w:val="000000"/>
                <w:szCs w:val="20"/>
              </w:rPr>
              <w:t xml:space="preserve">osttraumatic </w:t>
            </w:r>
            <w:r w:rsidR="00C10D75">
              <w:rPr>
                <w:rFonts w:ascii="Calibri" w:hAnsi="Calibri" w:cs="Calibri"/>
                <w:color w:val="000000"/>
                <w:szCs w:val="20"/>
              </w:rPr>
              <w:t>s</w:t>
            </w:r>
            <w:r w:rsidRPr="00A67263">
              <w:rPr>
                <w:rFonts w:ascii="Calibri" w:hAnsi="Calibri" w:cs="Calibri"/>
                <w:color w:val="000000"/>
                <w:szCs w:val="20"/>
              </w:rPr>
              <w:t xml:space="preserve">tress </w:t>
            </w:r>
            <w:r w:rsidR="00C10D75">
              <w:rPr>
                <w:rFonts w:ascii="Calibri" w:hAnsi="Calibri" w:cs="Calibri"/>
                <w:color w:val="000000"/>
                <w:szCs w:val="20"/>
              </w:rPr>
              <w:t>d</w:t>
            </w:r>
            <w:r w:rsidRPr="00A67263">
              <w:rPr>
                <w:rFonts w:ascii="Calibri" w:hAnsi="Calibri" w:cs="Calibri"/>
                <w:color w:val="000000"/>
                <w:szCs w:val="20"/>
              </w:rPr>
              <w:t xml:space="preserve">isorder. </w:t>
            </w:r>
            <w:r w:rsidRPr="00180ECE">
              <w:rPr>
                <w:rFonts w:ascii="Calibri" w:hAnsi="Calibri" w:cs="Calibri"/>
                <w:i/>
                <w:iCs/>
                <w:color w:val="000000"/>
                <w:szCs w:val="20"/>
              </w:rPr>
              <w:t xml:space="preserve">Biological </w:t>
            </w:r>
            <w:r w:rsidRPr="00CA18FC">
              <w:rPr>
                <w:rFonts w:ascii="Calibri" w:hAnsi="Calibri" w:cs="Calibri"/>
                <w:i/>
                <w:iCs/>
                <w:color w:val="000000"/>
                <w:szCs w:val="20"/>
              </w:rPr>
              <w:t>Psychiatry</w:t>
            </w:r>
            <w:r w:rsidR="00C10D75" w:rsidRPr="00CA18FC">
              <w:rPr>
                <w:rFonts w:ascii="Calibri" w:hAnsi="Calibri" w:cs="Calibri"/>
                <w:i/>
                <w:iCs/>
                <w:color w:val="000000"/>
                <w:szCs w:val="20"/>
              </w:rPr>
              <w:t xml:space="preserve">, </w:t>
            </w:r>
            <w:r w:rsidRPr="00F62917">
              <w:rPr>
                <w:rFonts w:ascii="Calibri" w:hAnsi="Calibri" w:cs="Calibri"/>
                <w:i/>
                <w:iCs/>
                <w:color w:val="000000"/>
                <w:szCs w:val="20"/>
              </w:rPr>
              <w:t>83</w:t>
            </w:r>
            <w:r w:rsidRPr="00A67263">
              <w:rPr>
                <w:rFonts w:ascii="Calibri" w:hAnsi="Calibri" w:cs="Calibri"/>
                <w:color w:val="000000"/>
                <w:szCs w:val="20"/>
              </w:rPr>
              <w:t>(9</w:t>
            </w:r>
            <w:r w:rsidR="00C10D75">
              <w:rPr>
                <w:rFonts w:ascii="Calibri" w:hAnsi="Calibri" w:cs="Calibri"/>
                <w:color w:val="000000"/>
                <w:szCs w:val="20"/>
              </w:rPr>
              <w:t>)</w:t>
            </w:r>
            <w:r w:rsidRPr="00A67263">
              <w:rPr>
                <w:rFonts w:ascii="Calibri" w:hAnsi="Calibri" w:cs="Calibri"/>
                <w:color w:val="000000"/>
                <w:szCs w:val="20"/>
              </w:rPr>
              <w:t>,</w:t>
            </w:r>
            <w:r w:rsidR="00DA18C8">
              <w:rPr>
                <w:rFonts w:ascii="Calibri" w:hAnsi="Calibri" w:cs="Calibri"/>
                <w:color w:val="000000"/>
                <w:szCs w:val="20"/>
              </w:rPr>
              <w:t xml:space="preserve"> </w:t>
            </w:r>
            <w:r w:rsidRPr="00A67263">
              <w:rPr>
                <w:rFonts w:ascii="Calibri" w:hAnsi="Calibri" w:cs="Calibri"/>
                <w:color w:val="000000"/>
                <w:szCs w:val="20"/>
              </w:rPr>
              <w:t>S21.</w:t>
            </w:r>
            <w:r w:rsidR="00DA18C8">
              <w:rPr>
                <w:rFonts w:ascii="Calibri" w:hAnsi="Calibri" w:cs="Calibri"/>
                <w:color w:val="000000"/>
                <w:szCs w:val="20"/>
              </w:rPr>
              <w:t xml:space="preserve"> </w:t>
            </w:r>
            <w:hyperlink r:id="rId129" w:history="1">
              <w:r w:rsidR="00693DD3" w:rsidRPr="007913E4">
                <w:rPr>
                  <w:rStyle w:val="Hyperlink"/>
                  <w:rFonts w:ascii="Calibri" w:hAnsi="Calibri" w:cs="Calibri"/>
                  <w:szCs w:val="20"/>
                </w:rPr>
                <w:t>https://doi.org/10.1016/j.biopsych.2018.02.069</w:t>
              </w:r>
            </w:hyperlink>
            <w:r w:rsidR="00693DD3">
              <w:rPr>
                <w:rFonts w:ascii="Calibri" w:hAnsi="Calibri" w:cs="Calibri"/>
                <w:color w:val="000000"/>
                <w:szCs w:val="20"/>
              </w:rPr>
              <w:t xml:space="preserve"> </w:t>
            </w:r>
          </w:p>
        </w:tc>
        <w:tc>
          <w:tcPr>
            <w:tcW w:w="2410" w:type="dxa"/>
            <w:noWrap/>
          </w:tcPr>
          <w:p w14:paraId="2B7DC2F5" w14:textId="370FAE82" w:rsidR="00C44447" w:rsidRPr="00AA3472" w:rsidRDefault="00C44447" w:rsidP="00C44447">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027439">
              <w:rPr>
                <w:rFonts w:eastAsia="Times New Roman" w:cs="Calibri"/>
                <w:color w:val="000000"/>
                <w:szCs w:val="20"/>
                <w:lang w:eastAsia="en-AU"/>
              </w:rPr>
              <w:t xml:space="preserve">Poster abstract </w:t>
            </w:r>
          </w:p>
        </w:tc>
      </w:tr>
    </w:tbl>
    <w:p w14:paraId="4F5686AB" w14:textId="066D1453" w:rsidR="00BB0D21" w:rsidRPr="009B4D43" w:rsidRDefault="008873AC" w:rsidP="00BB0D21">
      <w:pPr>
        <w:pStyle w:val="Heading3"/>
      </w:pPr>
      <w:bookmarkStart w:id="293" w:name="_Toc99653109"/>
      <w:bookmarkStart w:id="294" w:name="_Toc101536700"/>
      <w:bookmarkStart w:id="295" w:name="_Toc103944913"/>
      <w:bookmarkStart w:id="296" w:name="_Toc121096125"/>
      <w:bookmarkStart w:id="297" w:name="_Toc165018232"/>
      <w:r>
        <w:t>Ineligible</w:t>
      </w:r>
      <w:r w:rsidR="00BB0D21" w:rsidRPr="009B4D43">
        <w:t xml:space="preserve"> </w:t>
      </w:r>
      <w:r w:rsidR="00E801E9" w:rsidRPr="009B4D43">
        <w:t>intervention (n = 4</w:t>
      </w:r>
      <w:r w:rsidR="00BB0D21" w:rsidRPr="009B4D43">
        <w:t>)</w:t>
      </w:r>
      <w:bookmarkEnd w:id="293"/>
      <w:bookmarkEnd w:id="294"/>
      <w:bookmarkEnd w:id="295"/>
      <w:bookmarkEnd w:id="296"/>
      <w:bookmarkEnd w:id="297"/>
    </w:p>
    <w:tbl>
      <w:tblPr>
        <w:tblStyle w:val="GridTable5Dark-Accent5"/>
        <w:tblW w:w="4978" w:type="pct"/>
        <w:tblLayout w:type="fixed"/>
        <w:tblLook w:val="04A0" w:firstRow="1" w:lastRow="0" w:firstColumn="1" w:lastColumn="0" w:noHBand="0" w:noVBand="1"/>
      </w:tblPr>
      <w:tblGrid>
        <w:gridCol w:w="560"/>
        <w:gridCol w:w="853"/>
        <w:gridCol w:w="10063"/>
        <w:gridCol w:w="2411"/>
      </w:tblGrid>
      <w:tr w:rsidR="00BB0D21" w:rsidRPr="009B4D43" w14:paraId="5B8B0DAB" w14:textId="77777777" w:rsidTr="00290E91">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202" w:type="pct"/>
            <w:noWrap/>
            <w:hideMark/>
          </w:tcPr>
          <w:p w14:paraId="457932C0" w14:textId="77777777" w:rsidR="00BB0D21" w:rsidRPr="009B4D43" w:rsidRDefault="00BB0D21" w:rsidP="00BB0D21">
            <w:pPr>
              <w:spacing w:after="0"/>
              <w:jc w:val="center"/>
              <w:rPr>
                <w:rFonts w:eastAsia="Times New Roman" w:cs="Calibri"/>
                <w:szCs w:val="20"/>
                <w:lang w:eastAsia="en-AU"/>
              </w:rPr>
            </w:pPr>
            <w:r w:rsidRPr="009B4D43">
              <w:rPr>
                <w:rFonts w:eastAsia="Times New Roman" w:cs="Calibri"/>
                <w:szCs w:val="20"/>
                <w:lang w:eastAsia="en-AU"/>
              </w:rPr>
              <w:t>#</w:t>
            </w:r>
          </w:p>
        </w:tc>
        <w:tc>
          <w:tcPr>
            <w:tcW w:w="307" w:type="pct"/>
            <w:noWrap/>
            <w:hideMark/>
          </w:tcPr>
          <w:p w14:paraId="559CC76A" w14:textId="46C7BEED" w:rsidR="00BB0D21" w:rsidRPr="009B4D43" w:rsidRDefault="00053761" w:rsidP="0024742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en-AU"/>
              </w:rPr>
            </w:pPr>
            <w:r>
              <w:rPr>
                <w:rFonts w:eastAsia="Times New Roman" w:cs="Calibri"/>
                <w:szCs w:val="20"/>
                <w:lang w:eastAsia="en-AU"/>
              </w:rPr>
              <w:t>YEAR</w:t>
            </w:r>
          </w:p>
        </w:tc>
        <w:tc>
          <w:tcPr>
            <w:tcW w:w="3623" w:type="pct"/>
            <w:noWrap/>
            <w:hideMark/>
          </w:tcPr>
          <w:p w14:paraId="7A9B1B46" w14:textId="77777777" w:rsidR="00BB0D21" w:rsidRPr="009B4D43" w:rsidRDefault="00BB0D21" w:rsidP="00BB0D21">
            <w:pPr>
              <w:spacing w:after="0"/>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en-AU"/>
              </w:rPr>
            </w:pPr>
            <w:r w:rsidRPr="009B4D43">
              <w:rPr>
                <w:rFonts w:eastAsia="Times New Roman" w:cs="Calibri"/>
                <w:szCs w:val="20"/>
                <w:lang w:eastAsia="en-AU"/>
              </w:rPr>
              <w:t>Reference</w:t>
            </w:r>
          </w:p>
        </w:tc>
        <w:tc>
          <w:tcPr>
            <w:tcW w:w="868" w:type="pct"/>
            <w:noWrap/>
            <w:hideMark/>
          </w:tcPr>
          <w:p w14:paraId="2B72509B" w14:textId="04812585" w:rsidR="00BB0D21" w:rsidRPr="009B4D43" w:rsidRDefault="005574DE" w:rsidP="00BB0D21">
            <w:pPr>
              <w:spacing w:after="0"/>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en-AU"/>
              </w:rPr>
            </w:pPr>
            <w:r w:rsidRPr="005574DE">
              <w:rPr>
                <w:rFonts w:eastAsia="Times New Roman" w:cs="Calibri"/>
                <w:szCs w:val="20"/>
                <w:lang w:eastAsia="en-AU"/>
              </w:rPr>
              <w:t>Exclusion reason</w:t>
            </w:r>
          </w:p>
        </w:tc>
      </w:tr>
      <w:tr w:rsidR="007B0A76" w:rsidRPr="009B4D43" w14:paraId="2D709856" w14:textId="77777777" w:rsidTr="00C4444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2" w:type="pct"/>
            <w:noWrap/>
            <w:hideMark/>
          </w:tcPr>
          <w:p w14:paraId="00983E47" w14:textId="77777777" w:rsidR="007B0A76" w:rsidRPr="009B4D43" w:rsidRDefault="007B0A76" w:rsidP="007B0A76">
            <w:pPr>
              <w:spacing w:after="0"/>
              <w:jc w:val="center"/>
              <w:rPr>
                <w:rFonts w:eastAsia="Times New Roman" w:cs="Calibri"/>
                <w:szCs w:val="20"/>
                <w:lang w:eastAsia="en-AU"/>
              </w:rPr>
            </w:pPr>
            <w:r w:rsidRPr="009B4D43">
              <w:rPr>
                <w:rFonts w:eastAsia="Times New Roman" w:cs="Calibri"/>
                <w:szCs w:val="20"/>
                <w:lang w:eastAsia="en-AU"/>
              </w:rPr>
              <w:t>1</w:t>
            </w:r>
          </w:p>
        </w:tc>
        <w:tc>
          <w:tcPr>
            <w:tcW w:w="307" w:type="pct"/>
            <w:noWrap/>
          </w:tcPr>
          <w:p w14:paraId="6B99E582" w14:textId="26E57D00" w:rsidR="007B0A76" w:rsidRPr="009B4D43" w:rsidRDefault="007B0A76" w:rsidP="0024742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ascii="Calibri" w:hAnsi="Calibri" w:cs="Calibri"/>
                <w:color w:val="000000"/>
                <w:szCs w:val="20"/>
              </w:rPr>
              <w:t>2020</w:t>
            </w:r>
          </w:p>
        </w:tc>
        <w:tc>
          <w:tcPr>
            <w:tcW w:w="3623" w:type="pct"/>
            <w:noWrap/>
          </w:tcPr>
          <w:p w14:paraId="0A06A384" w14:textId="5B56844C" w:rsidR="007B0A76" w:rsidRPr="009B4D43" w:rsidRDefault="007B0A76" w:rsidP="007B0A76">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9B4D43">
              <w:rPr>
                <w:rFonts w:ascii="Calibri" w:hAnsi="Calibri" w:cs="Calibri"/>
                <w:color w:val="000000"/>
                <w:szCs w:val="20"/>
              </w:rPr>
              <w:t xml:space="preserve">Prajapati, S. K., Bhaseen, S., Krishnamurthy, S., &amp; Sahu, A. N. (2020). Neurochemical </w:t>
            </w:r>
            <w:r w:rsidR="009D60DE">
              <w:rPr>
                <w:rFonts w:ascii="Calibri" w:hAnsi="Calibri" w:cs="Calibri"/>
                <w:color w:val="000000"/>
                <w:szCs w:val="20"/>
              </w:rPr>
              <w:t>e</w:t>
            </w:r>
            <w:r w:rsidRPr="009B4D43">
              <w:rPr>
                <w:rFonts w:ascii="Calibri" w:hAnsi="Calibri" w:cs="Calibri"/>
                <w:color w:val="000000"/>
                <w:szCs w:val="20"/>
              </w:rPr>
              <w:t xml:space="preserve">vidence of </w:t>
            </w:r>
            <w:r w:rsidR="009D60DE">
              <w:rPr>
                <w:rFonts w:ascii="Calibri" w:hAnsi="Calibri" w:cs="Calibri"/>
                <w:color w:val="000000"/>
                <w:szCs w:val="20"/>
              </w:rPr>
              <w:t>p</w:t>
            </w:r>
            <w:r w:rsidRPr="009B4D43">
              <w:rPr>
                <w:rFonts w:ascii="Calibri" w:hAnsi="Calibri" w:cs="Calibri"/>
                <w:color w:val="000000"/>
                <w:szCs w:val="20"/>
              </w:rPr>
              <w:t xml:space="preserve">reclinical and </w:t>
            </w:r>
            <w:r w:rsidR="009D60DE">
              <w:rPr>
                <w:rFonts w:ascii="Calibri" w:hAnsi="Calibri" w:cs="Calibri"/>
                <w:color w:val="000000"/>
                <w:szCs w:val="20"/>
              </w:rPr>
              <w:t>c</w:t>
            </w:r>
            <w:r w:rsidRPr="009B4D43">
              <w:rPr>
                <w:rFonts w:ascii="Calibri" w:hAnsi="Calibri" w:cs="Calibri"/>
                <w:color w:val="000000"/>
                <w:szCs w:val="20"/>
              </w:rPr>
              <w:t xml:space="preserve">linical </w:t>
            </w:r>
            <w:r w:rsidR="009D60DE">
              <w:rPr>
                <w:rFonts w:ascii="Calibri" w:hAnsi="Calibri" w:cs="Calibri"/>
                <w:color w:val="000000"/>
                <w:szCs w:val="20"/>
              </w:rPr>
              <w:t>r</w:t>
            </w:r>
            <w:r w:rsidRPr="009B4D43">
              <w:rPr>
                <w:rFonts w:ascii="Calibri" w:hAnsi="Calibri" w:cs="Calibri"/>
                <w:color w:val="000000"/>
                <w:szCs w:val="20"/>
              </w:rPr>
              <w:t xml:space="preserve">eports on </w:t>
            </w:r>
            <w:r w:rsidR="009D60DE">
              <w:rPr>
                <w:rFonts w:ascii="Calibri" w:hAnsi="Calibri" w:cs="Calibri"/>
                <w:color w:val="000000"/>
                <w:szCs w:val="20"/>
              </w:rPr>
              <w:t>t</w:t>
            </w:r>
            <w:r w:rsidRPr="009B4D43">
              <w:rPr>
                <w:rFonts w:ascii="Calibri" w:hAnsi="Calibri" w:cs="Calibri"/>
                <w:color w:val="000000"/>
                <w:szCs w:val="20"/>
              </w:rPr>
              <w:t>arget-</w:t>
            </w:r>
            <w:r w:rsidR="009D60DE">
              <w:rPr>
                <w:rFonts w:ascii="Calibri" w:hAnsi="Calibri" w:cs="Calibri"/>
                <w:color w:val="000000"/>
                <w:szCs w:val="20"/>
              </w:rPr>
              <w:t>b</w:t>
            </w:r>
            <w:r w:rsidRPr="009B4D43">
              <w:rPr>
                <w:rFonts w:ascii="Calibri" w:hAnsi="Calibri" w:cs="Calibri"/>
                <w:color w:val="000000"/>
                <w:szCs w:val="20"/>
              </w:rPr>
              <w:t xml:space="preserve">ased </w:t>
            </w:r>
            <w:r w:rsidR="009D60DE">
              <w:rPr>
                <w:rFonts w:ascii="Calibri" w:hAnsi="Calibri" w:cs="Calibri"/>
                <w:color w:val="000000"/>
                <w:szCs w:val="20"/>
              </w:rPr>
              <w:t>t</w:t>
            </w:r>
            <w:r w:rsidRPr="009B4D43">
              <w:rPr>
                <w:rFonts w:ascii="Calibri" w:hAnsi="Calibri" w:cs="Calibri"/>
                <w:color w:val="000000"/>
                <w:szCs w:val="20"/>
              </w:rPr>
              <w:t xml:space="preserve">herapy in </w:t>
            </w:r>
            <w:r w:rsidR="009D60DE">
              <w:rPr>
                <w:rFonts w:ascii="Calibri" w:hAnsi="Calibri" w:cs="Calibri"/>
                <w:color w:val="000000"/>
                <w:szCs w:val="20"/>
              </w:rPr>
              <w:t>a</w:t>
            </w:r>
            <w:r w:rsidRPr="009B4D43">
              <w:rPr>
                <w:rFonts w:ascii="Calibri" w:hAnsi="Calibri" w:cs="Calibri"/>
                <w:color w:val="000000"/>
                <w:szCs w:val="20"/>
              </w:rPr>
              <w:t xml:space="preserve">lcohol </w:t>
            </w:r>
            <w:r w:rsidR="009D60DE">
              <w:rPr>
                <w:rFonts w:ascii="Calibri" w:hAnsi="Calibri" w:cs="Calibri"/>
                <w:color w:val="000000"/>
                <w:szCs w:val="20"/>
              </w:rPr>
              <w:t>u</w:t>
            </w:r>
            <w:r w:rsidRPr="009B4D43">
              <w:rPr>
                <w:rFonts w:ascii="Calibri" w:hAnsi="Calibri" w:cs="Calibri"/>
                <w:color w:val="000000"/>
                <w:szCs w:val="20"/>
              </w:rPr>
              <w:t xml:space="preserve">se </w:t>
            </w:r>
            <w:r w:rsidR="009D60DE">
              <w:rPr>
                <w:rFonts w:ascii="Calibri" w:hAnsi="Calibri" w:cs="Calibri"/>
                <w:color w:val="000000"/>
                <w:szCs w:val="20"/>
              </w:rPr>
              <w:t>d</w:t>
            </w:r>
            <w:r w:rsidRPr="009B4D43">
              <w:rPr>
                <w:rFonts w:ascii="Calibri" w:hAnsi="Calibri" w:cs="Calibri"/>
                <w:color w:val="000000"/>
                <w:szCs w:val="20"/>
              </w:rPr>
              <w:t xml:space="preserve">isorder. </w:t>
            </w:r>
            <w:r w:rsidRPr="00180ECE">
              <w:rPr>
                <w:rFonts w:ascii="Calibri" w:hAnsi="Calibri" w:cs="Calibri"/>
                <w:i/>
                <w:iCs/>
                <w:color w:val="000000"/>
                <w:szCs w:val="20"/>
              </w:rPr>
              <w:t>Neurochemical Research</w:t>
            </w:r>
            <w:r w:rsidRPr="00F62917">
              <w:rPr>
                <w:rFonts w:ascii="Calibri" w:hAnsi="Calibri" w:cs="Calibri"/>
                <w:i/>
                <w:iCs/>
                <w:color w:val="000000"/>
                <w:szCs w:val="20"/>
              </w:rPr>
              <w:t>, 45</w:t>
            </w:r>
            <w:r w:rsidRPr="009B4D43">
              <w:rPr>
                <w:rFonts w:ascii="Calibri" w:hAnsi="Calibri" w:cs="Calibri"/>
                <w:color w:val="000000"/>
                <w:szCs w:val="20"/>
              </w:rPr>
              <w:t xml:space="preserve">(2), 491-507. </w:t>
            </w:r>
            <w:hyperlink r:id="rId130" w:history="1">
              <w:r w:rsidR="00CD5FD0" w:rsidRPr="007913E4">
                <w:rPr>
                  <w:rStyle w:val="Hyperlink"/>
                  <w:rFonts w:ascii="Calibri" w:hAnsi="Calibri" w:cs="Calibri"/>
                  <w:szCs w:val="20"/>
                </w:rPr>
                <w:t>https://doi.org/10.1007/s11064-019-02944-9</w:t>
              </w:r>
            </w:hyperlink>
            <w:r w:rsidR="00CD5FD0">
              <w:rPr>
                <w:rFonts w:ascii="Calibri" w:hAnsi="Calibri" w:cs="Calibri"/>
                <w:color w:val="000000"/>
                <w:szCs w:val="20"/>
              </w:rPr>
              <w:t xml:space="preserve"> </w:t>
            </w:r>
          </w:p>
        </w:tc>
        <w:tc>
          <w:tcPr>
            <w:tcW w:w="868" w:type="pct"/>
            <w:noWrap/>
          </w:tcPr>
          <w:p w14:paraId="3BBBC490" w14:textId="614B67CE" w:rsidR="007B0A76" w:rsidRPr="009B4D43" w:rsidRDefault="007B0A76" w:rsidP="007B0A76">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ascii="Calibri" w:hAnsi="Calibri" w:cs="Calibri"/>
                <w:color w:val="000000"/>
                <w:szCs w:val="20"/>
              </w:rPr>
              <w:t>N</w:t>
            </w:r>
            <w:r w:rsidRPr="00E57579">
              <w:rPr>
                <w:rFonts w:ascii="Calibri" w:hAnsi="Calibri" w:cs="Calibri"/>
                <w:color w:val="000000"/>
                <w:szCs w:val="20"/>
              </w:rPr>
              <w:t>o cannabis related studies - only "Cannabinoid modulating treatments" e.g.</w:t>
            </w:r>
            <w:r w:rsidR="00C358EE">
              <w:rPr>
                <w:rFonts w:ascii="Calibri" w:hAnsi="Calibri" w:cs="Calibri"/>
                <w:color w:val="000000"/>
                <w:szCs w:val="20"/>
              </w:rPr>
              <w:t>,</w:t>
            </w:r>
            <w:r w:rsidRPr="00E57579">
              <w:rPr>
                <w:rFonts w:ascii="Calibri" w:hAnsi="Calibri" w:cs="Calibri"/>
                <w:color w:val="000000"/>
                <w:szCs w:val="20"/>
              </w:rPr>
              <w:t xml:space="preserve"> rimonabant; an anti</w:t>
            </w:r>
            <w:r w:rsidR="00C358EE">
              <w:rPr>
                <w:rFonts w:ascii="Calibri" w:hAnsi="Calibri" w:cs="Calibri"/>
                <w:color w:val="000000"/>
                <w:szCs w:val="20"/>
              </w:rPr>
              <w:t>-</w:t>
            </w:r>
            <w:r w:rsidRPr="00E57579">
              <w:rPr>
                <w:rFonts w:ascii="Calibri" w:hAnsi="Calibri" w:cs="Calibri"/>
                <w:color w:val="000000"/>
                <w:szCs w:val="20"/>
              </w:rPr>
              <w:t>obesity anorectic</w:t>
            </w:r>
          </w:p>
        </w:tc>
      </w:tr>
      <w:tr w:rsidR="007B0A76" w:rsidRPr="009B4D43" w14:paraId="36E75A3E" w14:textId="77777777" w:rsidTr="00C44447">
        <w:trPr>
          <w:trHeight w:val="288"/>
        </w:trPr>
        <w:tc>
          <w:tcPr>
            <w:cnfStyle w:val="001000000000" w:firstRow="0" w:lastRow="0" w:firstColumn="1" w:lastColumn="0" w:oddVBand="0" w:evenVBand="0" w:oddHBand="0" w:evenHBand="0" w:firstRowFirstColumn="0" w:firstRowLastColumn="0" w:lastRowFirstColumn="0" w:lastRowLastColumn="0"/>
            <w:tcW w:w="202" w:type="pct"/>
            <w:noWrap/>
            <w:hideMark/>
          </w:tcPr>
          <w:p w14:paraId="5390F4C8" w14:textId="77777777" w:rsidR="007B0A76" w:rsidRPr="009B4D43" w:rsidRDefault="007B0A76" w:rsidP="007B0A76">
            <w:pPr>
              <w:spacing w:after="0"/>
              <w:jc w:val="center"/>
              <w:rPr>
                <w:rFonts w:eastAsia="Times New Roman" w:cs="Calibri"/>
                <w:szCs w:val="20"/>
                <w:lang w:eastAsia="en-AU"/>
              </w:rPr>
            </w:pPr>
            <w:r w:rsidRPr="009B4D43">
              <w:rPr>
                <w:rFonts w:eastAsia="Times New Roman" w:cs="Calibri"/>
                <w:szCs w:val="20"/>
                <w:lang w:eastAsia="en-AU"/>
              </w:rPr>
              <w:t>2</w:t>
            </w:r>
          </w:p>
        </w:tc>
        <w:tc>
          <w:tcPr>
            <w:tcW w:w="307" w:type="pct"/>
            <w:noWrap/>
          </w:tcPr>
          <w:p w14:paraId="7B0B78D1" w14:textId="110DB3AD" w:rsidR="007B0A76" w:rsidRPr="009B4D43" w:rsidRDefault="007B0A76" w:rsidP="0024742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9B4D43">
              <w:rPr>
                <w:rFonts w:ascii="Calibri" w:hAnsi="Calibri" w:cs="Calibri"/>
                <w:color w:val="000000"/>
                <w:szCs w:val="20"/>
              </w:rPr>
              <w:t>2020</w:t>
            </w:r>
          </w:p>
        </w:tc>
        <w:tc>
          <w:tcPr>
            <w:tcW w:w="3623" w:type="pct"/>
            <w:noWrap/>
          </w:tcPr>
          <w:p w14:paraId="0226D3CE" w14:textId="51CADA67" w:rsidR="007B0A76" w:rsidRPr="009B4D43" w:rsidRDefault="007B0A76" w:rsidP="007B0A76">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9B4D43">
              <w:rPr>
                <w:rFonts w:ascii="Calibri" w:hAnsi="Calibri" w:cs="Calibri"/>
                <w:color w:val="000000"/>
                <w:szCs w:val="20"/>
              </w:rPr>
              <w:t xml:space="preserve">Varker, T., Watson, L., Gibson, K., Forbes, D., </w:t>
            </w:r>
            <w:r w:rsidR="00A36763">
              <w:rPr>
                <w:rFonts w:ascii="Calibri" w:hAnsi="Calibri" w:cs="Calibri"/>
                <w:color w:val="000000"/>
                <w:szCs w:val="20"/>
              </w:rPr>
              <w:t xml:space="preserve">&amp; </w:t>
            </w:r>
            <w:r w:rsidRPr="009B4D43">
              <w:rPr>
                <w:rFonts w:ascii="Calibri" w:hAnsi="Calibri" w:cs="Calibri"/>
                <w:color w:val="000000"/>
                <w:szCs w:val="20"/>
              </w:rPr>
              <w:t xml:space="preserve">O'Donnell, M. (2020). Efficacy of psychoactive drugs for the treatment of posttraumatic stress disorder: </w:t>
            </w:r>
            <w:r w:rsidR="005110E2">
              <w:rPr>
                <w:rFonts w:ascii="Calibri" w:hAnsi="Calibri" w:cs="Calibri"/>
                <w:color w:val="000000"/>
                <w:szCs w:val="20"/>
              </w:rPr>
              <w:t>A</w:t>
            </w:r>
            <w:r w:rsidRPr="009B4D43">
              <w:rPr>
                <w:rFonts w:ascii="Calibri" w:hAnsi="Calibri" w:cs="Calibri"/>
                <w:color w:val="000000"/>
                <w:szCs w:val="20"/>
              </w:rPr>
              <w:t xml:space="preserve"> systematic review of MDMA, ketamine, LSD and psilocybin. </w:t>
            </w:r>
            <w:r w:rsidRPr="00180ECE">
              <w:rPr>
                <w:rFonts w:ascii="Calibri" w:hAnsi="Calibri" w:cs="Calibri"/>
                <w:i/>
                <w:iCs/>
                <w:color w:val="000000"/>
                <w:szCs w:val="20"/>
              </w:rPr>
              <w:t xml:space="preserve">Journal of Psychoactive </w:t>
            </w:r>
            <w:r w:rsidRPr="005110E2">
              <w:rPr>
                <w:rFonts w:ascii="Calibri" w:hAnsi="Calibri" w:cs="Calibri"/>
                <w:i/>
                <w:iCs/>
                <w:color w:val="000000"/>
                <w:szCs w:val="20"/>
              </w:rPr>
              <w:t>Drugs</w:t>
            </w:r>
            <w:r w:rsidRPr="00F62917">
              <w:rPr>
                <w:rFonts w:ascii="Calibri" w:hAnsi="Calibri" w:cs="Calibri"/>
                <w:i/>
                <w:iCs/>
                <w:color w:val="000000"/>
                <w:szCs w:val="20"/>
              </w:rPr>
              <w:t>, 53</w:t>
            </w:r>
            <w:r w:rsidRPr="0004012E">
              <w:rPr>
                <w:rFonts w:ascii="Calibri" w:hAnsi="Calibri" w:cs="Calibri"/>
                <w:color w:val="000000"/>
                <w:szCs w:val="20"/>
              </w:rPr>
              <w:t>(1)</w:t>
            </w:r>
            <w:r w:rsidR="00A20B0C">
              <w:rPr>
                <w:rFonts w:ascii="Calibri" w:hAnsi="Calibri" w:cs="Calibri"/>
                <w:color w:val="000000"/>
                <w:szCs w:val="20"/>
              </w:rPr>
              <w:t xml:space="preserve">, </w:t>
            </w:r>
            <w:r w:rsidRPr="0004012E">
              <w:rPr>
                <w:rFonts w:ascii="Calibri" w:hAnsi="Calibri" w:cs="Calibri"/>
                <w:color w:val="000000"/>
                <w:szCs w:val="20"/>
              </w:rPr>
              <w:t>85-95</w:t>
            </w:r>
            <w:r>
              <w:rPr>
                <w:rFonts w:ascii="Calibri" w:hAnsi="Calibri" w:cs="Calibri"/>
                <w:color w:val="000000"/>
                <w:szCs w:val="20"/>
              </w:rPr>
              <w:t xml:space="preserve">. </w:t>
            </w:r>
            <w:hyperlink r:id="rId131" w:history="1">
              <w:r w:rsidR="005110E2" w:rsidRPr="007913E4">
                <w:rPr>
                  <w:rStyle w:val="Hyperlink"/>
                  <w:rFonts w:ascii="Calibri" w:hAnsi="Calibri" w:cs="Calibri"/>
                  <w:szCs w:val="20"/>
                </w:rPr>
                <w:t>https://doi.org/10.1080/02791072.2020.1817639</w:t>
              </w:r>
            </w:hyperlink>
            <w:r w:rsidR="005110E2">
              <w:rPr>
                <w:rFonts w:ascii="Calibri" w:hAnsi="Calibri" w:cs="Calibri"/>
                <w:color w:val="000000"/>
                <w:szCs w:val="20"/>
              </w:rPr>
              <w:t xml:space="preserve"> </w:t>
            </w:r>
          </w:p>
        </w:tc>
        <w:tc>
          <w:tcPr>
            <w:tcW w:w="868" w:type="pct"/>
            <w:noWrap/>
          </w:tcPr>
          <w:p w14:paraId="26982C47" w14:textId="4869A106" w:rsidR="007B0A76" w:rsidRPr="009B4D43" w:rsidRDefault="007B0A76" w:rsidP="007B0A76">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660A03">
              <w:rPr>
                <w:rFonts w:ascii="Calibri" w:hAnsi="Calibri" w:cs="Calibri"/>
                <w:color w:val="000000"/>
                <w:szCs w:val="20"/>
              </w:rPr>
              <w:t>No cannabis related studies</w:t>
            </w:r>
          </w:p>
        </w:tc>
      </w:tr>
      <w:tr w:rsidR="007B0A76" w:rsidRPr="009B4D43" w14:paraId="70994C89" w14:textId="77777777" w:rsidTr="00C4444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2" w:type="pct"/>
            <w:noWrap/>
            <w:hideMark/>
          </w:tcPr>
          <w:p w14:paraId="647DBAB6" w14:textId="77777777" w:rsidR="007B0A76" w:rsidRPr="009B4D43" w:rsidRDefault="007B0A76" w:rsidP="007B0A76">
            <w:pPr>
              <w:spacing w:after="0"/>
              <w:jc w:val="center"/>
              <w:rPr>
                <w:rFonts w:eastAsia="Times New Roman" w:cs="Calibri"/>
                <w:szCs w:val="20"/>
                <w:lang w:eastAsia="en-AU"/>
              </w:rPr>
            </w:pPr>
            <w:r w:rsidRPr="009B4D43">
              <w:rPr>
                <w:rFonts w:eastAsia="Times New Roman" w:cs="Calibri"/>
                <w:szCs w:val="20"/>
                <w:lang w:eastAsia="en-AU"/>
              </w:rPr>
              <w:t>3</w:t>
            </w:r>
          </w:p>
        </w:tc>
        <w:tc>
          <w:tcPr>
            <w:tcW w:w="307" w:type="pct"/>
            <w:noWrap/>
          </w:tcPr>
          <w:p w14:paraId="4670CF2E" w14:textId="17D13FA5" w:rsidR="007B0A76" w:rsidRPr="009B4D43" w:rsidRDefault="007B0A76" w:rsidP="0024742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9B4D43">
              <w:rPr>
                <w:rFonts w:ascii="Calibri" w:hAnsi="Calibri" w:cs="Calibri"/>
                <w:color w:val="000000"/>
                <w:szCs w:val="20"/>
              </w:rPr>
              <w:t>2019</w:t>
            </w:r>
          </w:p>
        </w:tc>
        <w:tc>
          <w:tcPr>
            <w:tcW w:w="3623" w:type="pct"/>
            <w:noWrap/>
          </w:tcPr>
          <w:p w14:paraId="70C8E33C" w14:textId="7B4C2BEA" w:rsidR="007B0A76" w:rsidRPr="00433597" w:rsidRDefault="007B0A76" w:rsidP="007B0A76">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9B4D43">
              <w:rPr>
                <w:rFonts w:ascii="Calibri" w:hAnsi="Calibri" w:cs="Calibri"/>
                <w:color w:val="000000"/>
                <w:szCs w:val="20"/>
              </w:rPr>
              <w:t xml:space="preserve">Yang, B., Lin, L., Bazinet, R. P., Chien, Y-C., Chang, J. P-C., Satyanarayanan, S. K., Su, H., &amp; Su, K-P. (2019). Clinical efficacy and biological regulations of </w:t>
            </w:r>
            <w:r w:rsidRPr="00CB4B6C">
              <w:rPr>
                <w:rFonts w:ascii="Calibri" w:hAnsi="Calibri" w:cs="Calibri"/>
                <w:color w:val="000000"/>
                <w:szCs w:val="20"/>
              </w:rPr>
              <w:t xml:space="preserve">ω-3 </w:t>
            </w:r>
            <w:r w:rsidRPr="009B4D43">
              <w:rPr>
                <w:rFonts w:ascii="Calibri" w:hAnsi="Calibri" w:cs="Calibri"/>
                <w:color w:val="000000"/>
                <w:szCs w:val="20"/>
              </w:rPr>
              <w:t xml:space="preserve">PUFA-derived endocannabinoids in major depressive disorder. </w:t>
            </w:r>
            <w:r w:rsidRPr="00180ECE">
              <w:rPr>
                <w:rFonts w:ascii="Calibri" w:hAnsi="Calibri" w:cs="Calibri"/>
                <w:i/>
                <w:iCs/>
                <w:color w:val="000000"/>
                <w:szCs w:val="20"/>
              </w:rPr>
              <w:t>Psychother</w:t>
            </w:r>
            <w:r w:rsidR="00EE6658">
              <w:rPr>
                <w:rFonts w:ascii="Calibri" w:hAnsi="Calibri" w:cs="Calibri"/>
                <w:i/>
                <w:iCs/>
                <w:color w:val="000000"/>
                <w:szCs w:val="20"/>
              </w:rPr>
              <w:t>apy and</w:t>
            </w:r>
            <w:r w:rsidRPr="00180ECE">
              <w:rPr>
                <w:rFonts w:ascii="Calibri" w:hAnsi="Calibri" w:cs="Calibri"/>
                <w:i/>
                <w:iCs/>
                <w:color w:val="000000"/>
                <w:szCs w:val="20"/>
              </w:rPr>
              <w:t xml:space="preserve"> </w:t>
            </w:r>
            <w:r w:rsidRPr="0007173E">
              <w:rPr>
                <w:rFonts w:ascii="Calibri" w:hAnsi="Calibri" w:cs="Calibri"/>
                <w:i/>
                <w:iCs/>
                <w:color w:val="000000"/>
                <w:szCs w:val="20"/>
              </w:rPr>
              <w:t>Psychosom</w:t>
            </w:r>
            <w:r w:rsidR="00EE6658" w:rsidRPr="0007173E">
              <w:rPr>
                <w:rFonts w:ascii="Calibri" w:hAnsi="Calibri" w:cs="Calibri"/>
                <w:i/>
                <w:iCs/>
                <w:color w:val="000000"/>
                <w:szCs w:val="20"/>
              </w:rPr>
              <w:t>atics</w:t>
            </w:r>
            <w:r w:rsidRPr="00F62917">
              <w:rPr>
                <w:rFonts w:ascii="Calibri" w:hAnsi="Calibri" w:cs="Calibri"/>
                <w:i/>
                <w:iCs/>
                <w:color w:val="000000"/>
                <w:szCs w:val="20"/>
              </w:rPr>
              <w:t>, 88</w:t>
            </w:r>
            <w:r w:rsidR="0007173E" w:rsidRPr="00F62917">
              <w:rPr>
                <w:rFonts w:ascii="Calibri" w:hAnsi="Calibri" w:cs="Calibri"/>
                <w:color w:val="000000"/>
                <w:szCs w:val="20"/>
              </w:rPr>
              <w:t>(4)</w:t>
            </w:r>
            <w:r w:rsidRPr="009B4D43">
              <w:rPr>
                <w:rFonts w:ascii="Calibri" w:hAnsi="Calibri" w:cs="Calibri"/>
                <w:color w:val="000000"/>
                <w:szCs w:val="20"/>
              </w:rPr>
              <w:t xml:space="preserve">, 215-224. </w:t>
            </w:r>
            <w:hyperlink r:id="rId132" w:history="1">
              <w:r w:rsidR="00383592" w:rsidRPr="007913E4">
                <w:rPr>
                  <w:rStyle w:val="Hyperlink"/>
                  <w:rFonts w:ascii="Calibri" w:hAnsi="Calibri" w:cs="Calibri"/>
                  <w:szCs w:val="20"/>
                </w:rPr>
                <w:t>https://doi.org/10.1159/000501158</w:t>
              </w:r>
            </w:hyperlink>
            <w:r w:rsidR="00383592">
              <w:rPr>
                <w:rFonts w:ascii="Calibri" w:hAnsi="Calibri" w:cs="Calibri"/>
                <w:color w:val="000000"/>
                <w:szCs w:val="20"/>
              </w:rPr>
              <w:t xml:space="preserve"> </w:t>
            </w:r>
          </w:p>
        </w:tc>
        <w:tc>
          <w:tcPr>
            <w:tcW w:w="868" w:type="pct"/>
            <w:noWrap/>
          </w:tcPr>
          <w:p w14:paraId="65C27898" w14:textId="70D4296A" w:rsidR="007B0A76" w:rsidRPr="009B4D43" w:rsidRDefault="007B0A76" w:rsidP="007B0A76">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ascii="Calibri" w:hAnsi="Calibri" w:cs="Calibri"/>
                <w:color w:val="000000"/>
                <w:szCs w:val="20"/>
              </w:rPr>
              <w:t>E</w:t>
            </w:r>
            <w:r w:rsidRPr="00E46AF7">
              <w:rPr>
                <w:rFonts w:ascii="Calibri" w:hAnsi="Calibri" w:cs="Calibri"/>
                <w:color w:val="000000"/>
                <w:szCs w:val="20"/>
              </w:rPr>
              <w:t>ndocannabinoids</w:t>
            </w:r>
            <w:r>
              <w:rPr>
                <w:rFonts w:ascii="Calibri" w:hAnsi="Calibri" w:cs="Calibri"/>
                <w:color w:val="000000"/>
                <w:szCs w:val="20"/>
              </w:rPr>
              <w:t xml:space="preserve"> – endogenously produced from </w:t>
            </w:r>
            <w:r w:rsidRPr="008D6DBF">
              <w:rPr>
                <w:rFonts w:ascii="Calibri" w:hAnsi="Calibri" w:cs="Calibri"/>
                <w:color w:val="000000"/>
                <w:szCs w:val="20"/>
              </w:rPr>
              <w:t>polyunsaturated fatty acids</w:t>
            </w:r>
            <w:r>
              <w:rPr>
                <w:rFonts w:ascii="Calibri" w:hAnsi="Calibri" w:cs="Calibri"/>
                <w:color w:val="000000"/>
                <w:szCs w:val="20"/>
              </w:rPr>
              <w:t xml:space="preserve"> </w:t>
            </w:r>
          </w:p>
        </w:tc>
      </w:tr>
      <w:tr w:rsidR="007B0A76" w:rsidRPr="009B4D43" w14:paraId="46C35FF9" w14:textId="77777777" w:rsidTr="00C44447">
        <w:trPr>
          <w:trHeight w:val="288"/>
        </w:trPr>
        <w:tc>
          <w:tcPr>
            <w:cnfStyle w:val="001000000000" w:firstRow="0" w:lastRow="0" w:firstColumn="1" w:lastColumn="0" w:oddVBand="0" w:evenVBand="0" w:oddHBand="0" w:evenHBand="0" w:firstRowFirstColumn="0" w:firstRowLastColumn="0" w:lastRowFirstColumn="0" w:lastRowLastColumn="0"/>
            <w:tcW w:w="202" w:type="pct"/>
            <w:noWrap/>
            <w:hideMark/>
          </w:tcPr>
          <w:p w14:paraId="441A247F" w14:textId="77777777" w:rsidR="007B0A76" w:rsidRPr="009B4D43" w:rsidRDefault="007B0A76" w:rsidP="007B0A76">
            <w:pPr>
              <w:spacing w:after="0"/>
              <w:jc w:val="center"/>
              <w:rPr>
                <w:rFonts w:eastAsia="Times New Roman" w:cs="Calibri"/>
                <w:szCs w:val="20"/>
                <w:lang w:eastAsia="en-AU"/>
              </w:rPr>
            </w:pPr>
            <w:r w:rsidRPr="009B4D43">
              <w:rPr>
                <w:rFonts w:eastAsia="Times New Roman" w:cs="Calibri"/>
                <w:szCs w:val="20"/>
                <w:lang w:eastAsia="en-AU"/>
              </w:rPr>
              <w:t>4</w:t>
            </w:r>
          </w:p>
        </w:tc>
        <w:tc>
          <w:tcPr>
            <w:tcW w:w="307" w:type="pct"/>
            <w:noWrap/>
          </w:tcPr>
          <w:p w14:paraId="39F6F860" w14:textId="39799F6D" w:rsidR="007B0A76" w:rsidRPr="009B4D43" w:rsidRDefault="007B0A76" w:rsidP="0024742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ascii="Calibri" w:hAnsi="Calibri" w:cs="Calibri"/>
                <w:color w:val="000000"/>
                <w:szCs w:val="20"/>
              </w:rPr>
              <w:t>2018</w:t>
            </w:r>
          </w:p>
        </w:tc>
        <w:tc>
          <w:tcPr>
            <w:tcW w:w="3623" w:type="pct"/>
            <w:noWrap/>
          </w:tcPr>
          <w:p w14:paraId="52A3455A" w14:textId="7B7E370E" w:rsidR="007B0A76" w:rsidRPr="009B4D43" w:rsidRDefault="007B0A76" w:rsidP="007B0A76">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9B4D43">
              <w:rPr>
                <w:rFonts w:ascii="Calibri" w:hAnsi="Calibri" w:cs="Calibri"/>
                <w:color w:val="000000"/>
                <w:szCs w:val="20"/>
              </w:rPr>
              <w:t xml:space="preserve">Bahorik, A. L., Sterling, S. A., Campbell, C. I., Weisner, C., Ramo, D., &amp; Satre, D. D. (2018). Medical and non-medical marijuana use in depression: Longitudinal associations with suicidal ideation, everyday functioning, and psychiatry service utilization. </w:t>
            </w:r>
            <w:r w:rsidRPr="00180ECE">
              <w:rPr>
                <w:rFonts w:ascii="Calibri" w:hAnsi="Calibri" w:cs="Calibri"/>
                <w:i/>
                <w:iCs/>
                <w:color w:val="000000"/>
                <w:szCs w:val="20"/>
              </w:rPr>
              <w:t xml:space="preserve">Journal of Affective </w:t>
            </w:r>
            <w:r w:rsidRPr="00383592">
              <w:rPr>
                <w:rFonts w:ascii="Calibri" w:hAnsi="Calibri" w:cs="Calibri"/>
                <w:i/>
                <w:iCs/>
                <w:color w:val="000000"/>
                <w:szCs w:val="20"/>
              </w:rPr>
              <w:t>Disorders</w:t>
            </w:r>
            <w:r w:rsidRPr="00F62917">
              <w:rPr>
                <w:rFonts w:ascii="Calibri" w:hAnsi="Calibri" w:cs="Calibri"/>
                <w:i/>
                <w:iCs/>
                <w:color w:val="000000"/>
                <w:szCs w:val="20"/>
              </w:rPr>
              <w:t>, 241</w:t>
            </w:r>
            <w:r w:rsidRPr="009B4D43">
              <w:rPr>
                <w:rFonts w:ascii="Calibri" w:hAnsi="Calibri" w:cs="Calibri"/>
                <w:color w:val="000000"/>
                <w:szCs w:val="20"/>
              </w:rPr>
              <w:t>,</w:t>
            </w:r>
            <w:r>
              <w:t xml:space="preserve"> </w:t>
            </w:r>
            <w:r w:rsidRPr="00A85F68">
              <w:rPr>
                <w:rFonts w:ascii="Calibri" w:hAnsi="Calibri" w:cs="Calibri"/>
                <w:color w:val="000000"/>
                <w:szCs w:val="20"/>
              </w:rPr>
              <w:t>8-14</w:t>
            </w:r>
            <w:r w:rsidRPr="009B4D43">
              <w:rPr>
                <w:rFonts w:ascii="Calibri" w:hAnsi="Calibri" w:cs="Calibri"/>
                <w:color w:val="000000"/>
                <w:szCs w:val="20"/>
              </w:rPr>
              <w:t xml:space="preserve">. </w:t>
            </w:r>
            <w:hyperlink r:id="rId133" w:history="1">
              <w:r w:rsidR="00377954" w:rsidRPr="007913E4">
                <w:rPr>
                  <w:rStyle w:val="Hyperlink"/>
                  <w:rFonts w:ascii="Calibri" w:hAnsi="Calibri" w:cs="Calibri"/>
                  <w:szCs w:val="20"/>
                </w:rPr>
                <w:t>https://doi.org/10.1016/j.jad.2018.05.065</w:t>
              </w:r>
            </w:hyperlink>
            <w:r w:rsidR="00377954">
              <w:rPr>
                <w:rFonts w:ascii="Calibri" w:hAnsi="Calibri" w:cs="Calibri"/>
                <w:color w:val="000000"/>
                <w:szCs w:val="20"/>
              </w:rPr>
              <w:t xml:space="preserve"> </w:t>
            </w:r>
          </w:p>
        </w:tc>
        <w:tc>
          <w:tcPr>
            <w:tcW w:w="868" w:type="pct"/>
            <w:noWrap/>
          </w:tcPr>
          <w:p w14:paraId="5CA87CAA" w14:textId="1645C05F" w:rsidR="007B0A76" w:rsidRPr="009B4D43" w:rsidRDefault="007B0A76" w:rsidP="007B0A76">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ascii="Calibri" w:hAnsi="Calibri" w:cs="Calibri"/>
                <w:color w:val="000000"/>
                <w:szCs w:val="20"/>
              </w:rPr>
              <w:t>M</w:t>
            </w:r>
            <w:r w:rsidRPr="00BC2915">
              <w:rPr>
                <w:rFonts w:ascii="Calibri" w:hAnsi="Calibri" w:cs="Calibri"/>
                <w:color w:val="000000"/>
                <w:szCs w:val="20"/>
              </w:rPr>
              <w:t xml:space="preserve">edical and non-medical marijuana use </w:t>
            </w:r>
            <w:r>
              <w:rPr>
                <w:rFonts w:ascii="Calibri" w:hAnsi="Calibri" w:cs="Calibri"/>
                <w:color w:val="000000"/>
                <w:szCs w:val="20"/>
              </w:rPr>
              <w:t>is</w:t>
            </w:r>
            <w:r w:rsidRPr="00BC2915">
              <w:rPr>
                <w:rFonts w:ascii="Calibri" w:hAnsi="Calibri" w:cs="Calibri"/>
                <w:color w:val="000000"/>
                <w:szCs w:val="20"/>
              </w:rPr>
              <w:t xml:space="preserve"> a predictor </w:t>
            </w:r>
            <w:r>
              <w:rPr>
                <w:rFonts w:ascii="Calibri" w:hAnsi="Calibri" w:cs="Calibri"/>
                <w:color w:val="000000"/>
                <w:szCs w:val="20"/>
              </w:rPr>
              <w:t>of effect of motivational interviewing rather than intervention of interest</w:t>
            </w:r>
            <w:r w:rsidRPr="00BC2915">
              <w:rPr>
                <w:rFonts w:ascii="Calibri" w:hAnsi="Calibri" w:cs="Calibri"/>
                <w:color w:val="000000"/>
                <w:szCs w:val="20"/>
              </w:rPr>
              <w:t>.</w:t>
            </w:r>
          </w:p>
        </w:tc>
      </w:tr>
    </w:tbl>
    <w:p w14:paraId="2DF3F9F4" w14:textId="77777777" w:rsidR="005F5C38" w:rsidRDefault="005F5C38" w:rsidP="00F62917">
      <w:bookmarkStart w:id="298" w:name="_Toc99653110"/>
      <w:bookmarkStart w:id="299" w:name="_Toc101536701"/>
      <w:bookmarkStart w:id="300" w:name="_Toc103944914"/>
      <w:bookmarkStart w:id="301" w:name="_Toc121096126"/>
    </w:p>
    <w:p w14:paraId="447BA747" w14:textId="03C8C3D6" w:rsidR="00BB0D21" w:rsidRPr="009B4D43" w:rsidRDefault="008873AC" w:rsidP="00BB0D21">
      <w:pPr>
        <w:pStyle w:val="Heading3"/>
      </w:pPr>
      <w:bookmarkStart w:id="302" w:name="_Toc165018233"/>
      <w:r>
        <w:lastRenderedPageBreak/>
        <w:t>Ineligible</w:t>
      </w:r>
      <w:r w:rsidR="00BB0D21" w:rsidRPr="009B4D43">
        <w:t xml:space="preserve"> </w:t>
      </w:r>
      <w:r w:rsidR="001B7DE5">
        <w:t>population</w:t>
      </w:r>
      <w:r w:rsidR="004B5C58" w:rsidRPr="009B4D43">
        <w:t xml:space="preserve"> (n = </w:t>
      </w:r>
      <w:r w:rsidR="001B7DE5">
        <w:t>1</w:t>
      </w:r>
      <w:r w:rsidR="00BB0D21" w:rsidRPr="009B4D43">
        <w:t>)</w:t>
      </w:r>
      <w:bookmarkEnd w:id="298"/>
      <w:bookmarkEnd w:id="299"/>
      <w:bookmarkEnd w:id="300"/>
      <w:bookmarkEnd w:id="301"/>
      <w:bookmarkEnd w:id="302"/>
    </w:p>
    <w:tbl>
      <w:tblPr>
        <w:tblStyle w:val="GridTable5Dark-Accent5"/>
        <w:tblW w:w="5000" w:type="pct"/>
        <w:tblLayout w:type="fixed"/>
        <w:tblLook w:val="04A0" w:firstRow="1" w:lastRow="0" w:firstColumn="1" w:lastColumn="0" w:noHBand="0" w:noVBand="1"/>
      </w:tblPr>
      <w:tblGrid>
        <w:gridCol w:w="560"/>
        <w:gridCol w:w="851"/>
        <w:gridCol w:w="10065"/>
        <w:gridCol w:w="2472"/>
      </w:tblGrid>
      <w:tr w:rsidR="00BB0D21" w:rsidRPr="009B4D43" w14:paraId="329B0572" w14:textId="77777777" w:rsidTr="00290E91">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201" w:type="pct"/>
            <w:noWrap/>
            <w:hideMark/>
          </w:tcPr>
          <w:p w14:paraId="56CD160C" w14:textId="77777777" w:rsidR="00BB0D21" w:rsidRPr="009B4D43" w:rsidRDefault="00BB0D21" w:rsidP="00BB0D21">
            <w:pPr>
              <w:spacing w:after="0"/>
              <w:jc w:val="center"/>
              <w:rPr>
                <w:rFonts w:eastAsia="Times New Roman" w:cs="Calibri"/>
                <w:szCs w:val="20"/>
                <w:lang w:eastAsia="en-AU"/>
              </w:rPr>
            </w:pPr>
            <w:r w:rsidRPr="009B4D43">
              <w:rPr>
                <w:rFonts w:eastAsia="Times New Roman" w:cs="Calibri"/>
                <w:szCs w:val="20"/>
                <w:lang w:eastAsia="en-AU"/>
              </w:rPr>
              <w:t>#</w:t>
            </w:r>
          </w:p>
        </w:tc>
        <w:tc>
          <w:tcPr>
            <w:tcW w:w="305" w:type="pct"/>
            <w:noWrap/>
            <w:hideMark/>
          </w:tcPr>
          <w:p w14:paraId="14D3C099" w14:textId="239ACF28" w:rsidR="00BB0D21" w:rsidRPr="009B4D43" w:rsidRDefault="00053761" w:rsidP="0024742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en-AU"/>
              </w:rPr>
            </w:pPr>
            <w:r>
              <w:rPr>
                <w:rFonts w:eastAsia="Times New Roman" w:cs="Calibri"/>
                <w:szCs w:val="20"/>
                <w:lang w:eastAsia="en-AU"/>
              </w:rPr>
              <w:t>YEAR</w:t>
            </w:r>
          </w:p>
        </w:tc>
        <w:tc>
          <w:tcPr>
            <w:tcW w:w="3608" w:type="pct"/>
            <w:noWrap/>
            <w:hideMark/>
          </w:tcPr>
          <w:p w14:paraId="1A907930" w14:textId="77777777" w:rsidR="00BB0D21" w:rsidRPr="009B4D43" w:rsidRDefault="00BB0D21" w:rsidP="00BB0D21">
            <w:pPr>
              <w:spacing w:after="0"/>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en-AU"/>
              </w:rPr>
            </w:pPr>
            <w:r w:rsidRPr="009B4D43">
              <w:rPr>
                <w:rFonts w:eastAsia="Times New Roman" w:cs="Calibri"/>
                <w:szCs w:val="20"/>
                <w:lang w:eastAsia="en-AU"/>
              </w:rPr>
              <w:t>Reference</w:t>
            </w:r>
          </w:p>
        </w:tc>
        <w:tc>
          <w:tcPr>
            <w:tcW w:w="886" w:type="pct"/>
            <w:noWrap/>
            <w:hideMark/>
          </w:tcPr>
          <w:p w14:paraId="3385E47B" w14:textId="4034A2B2" w:rsidR="00BB0D21" w:rsidRPr="009B4D43" w:rsidRDefault="005574DE" w:rsidP="00BB0D21">
            <w:pPr>
              <w:spacing w:after="0"/>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en-AU"/>
              </w:rPr>
            </w:pPr>
            <w:r w:rsidRPr="005574DE">
              <w:rPr>
                <w:rFonts w:eastAsia="Times New Roman" w:cs="Calibri"/>
                <w:szCs w:val="20"/>
                <w:lang w:eastAsia="en-AU"/>
              </w:rPr>
              <w:t>Exclusion reason</w:t>
            </w:r>
          </w:p>
        </w:tc>
      </w:tr>
      <w:tr w:rsidR="001B7DE5" w:rsidRPr="009B4D43" w14:paraId="15BA24E5" w14:textId="77777777" w:rsidTr="00C4444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 w:type="pct"/>
            <w:noWrap/>
          </w:tcPr>
          <w:p w14:paraId="31C532A2" w14:textId="4D14D23F" w:rsidR="001B7DE5" w:rsidRPr="009B4D43" w:rsidRDefault="001B7DE5" w:rsidP="001B7DE5">
            <w:pPr>
              <w:spacing w:after="0"/>
              <w:jc w:val="center"/>
              <w:rPr>
                <w:rFonts w:eastAsia="Times New Roman" w:cs="Calibri"/>
                <w:szCs w:val="20"/>
                <w:lang w:eastAsia="en-AU"/>
              </w:rPr>
            </w:pPr>
            <w:r w:rsidRPr="009B4D43">
              <w:rPr>
                <w:rFonts w:eastAsia="Times New Roman" w:cs="Calibri"/>
                <w:szCs w:val="20"/>
                <w:lang w:eastAsia="en-AU"/>
              </w:rPr>
              <w:t>1</w:t>
            </w:r>
          </w:p>
        </w:tc>
        <w:tc>
          <w:tcPr>
            <w:tcW w:w="305" w:type="pct"/>
            <w:noWrap/>
          </w:tcPr>
          <w:p w14:paraId="75344F09" w14:textId="3E5267B2" w:rsidR="001B7DE5" w:rsidRPr="009B4D43" w:rsidRDefault="001B7DE5" w:rsidP="00247423">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AA3472">
              <w:rPr>
                <w:rFonts w:ascii="Calibri" w:hAnsi="Calibri" w:cs="Calibri"/>
                <w:color w:val="000000"/>
                <w:szCs w:val="20"/>
              </w:rPr>
              <w:t>2022</w:t>
            </w:r>
          </w:p>
        </w:tc>
        <w:tc>
          <w:tcPr>
            <w:tcW w:w="3608" w:type="pct"/>
            <w:noWrap/>
          </w:tcPr>
          <w:p w14:paraId="72C8F278" w14:textId="181509DF" w:rsidR="001B7DE5" w:rsidRPr="009B4D43" w:rsidRDefault="001B7DE5" w:rsidP="001B7DE5">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AA3472">
              <w:rPr>
                <w:rFonts w:ascii="Calibri" w:hAnsi="Calibri" w:cs="Calibri"/>
                <w:color w:val="000000"/>
                <w:szCs w:val="20"/>
              </w:rPr>
              <w:t xml:space="preserve">Oppong-Damoah, A., Gannon, B. M., Murnane, K. S. (2022). The </w:t>
            </w:r>
            <w:r w:rsidR="00352FC0">
              <w:rPr>
                <w:rFonts w:ascii="Calibri" w:hAnsi="Calibri" w:cs="Calibri"/>
                <w:color w:val="000000"/>
                <w:szCs w:val="20"/>
              </w:rPr>
              <w:t>e</w:t>
            </w:r>
            <w:r w:rsidRPr="00AA3472">
              <w:rPr>
                <w:rFonts w:ascii="Calibri" w:hAnsi="Calibri" w:cs="Calibri"/>
                <w:color w:val="000000"/>
                <w:szCs w:val="20"/>
              </w:rPr>
              <w:t xml:space="preserve">ndocannabinoid </w:t>
            </w:r>
            <w:r w:rsidR="00352FC0">
              <w:rPr>
                <w:rFonts w:ascii="Calibri" w:hAnsi="Calibri" w:cs="Calibri"/>
                <w:color w:val="000000"/>
                <w:szCs w:val="20"/>
              </w:rPr>
              <w:t>s</w:t>
            </w:r>
            <w:r w:rsidRPr="00AA3472">
              <w:rPr>
                <w:rFonts w:ascii="Calibri" w:hAnsi="Calibri" w:cs="Calibri"/>
                <w:color w:val="000000"/>
                <w:szCs w:val="20"/>
              </w:rPr>
              <w:t xml:space="preserve">ystem and </w:t>
            </w:r>
            <w:r w:rsidR="00352FC0">
              <w:rPr>
                <w:rFonts w:ascii="Calibri" w:hAnsi="Calibri" w:cs="Calibri"/>
                <w:color w:val="000000"/>
                <w:szCs w:val="20"/>
              </w:rPr>
              <w:t>a</w:t>
            </w:r>
            <w:r w:rsidRPr="00AA3472">
              <w:rPr>
                <w:rFonts w:ascii="Calibri" w:hAnsi="Calibri" w:cs="Calibri"/>
                <w:color w:val="000000"/>
                <w:szCs w:val="20"/>
              </w:rPr>
              <w:t xml:space="preserve">lcohol </w:t>
            </w:r>
            <w:r w:rsidR="00352FC0">
              <w:rPr>
                <w:rFonts w:ascii="Calibri" w:hAnsi="Calibri" w:cs="Calibri"/>
                <w:color w:val="000000"/>
                <w:szCs w:val="20"/>
              </w:rPr>
              <w:t>d</w:t>
            </w:r>
            <w:r w:rsidRPr="00AA3472">
              <w:rPr>
                <w:rFonts w:ascii="Calibri" w:hAnsi="Calibri" w:cs="Calibri"/>
                <w:color w:val="000000"/>
                <w:szCs w:val="20"/>
              </w:rPr>
              <w:t xml:space="preserve">ependence: Will </w:t>
            </w:r>
            <w:r w:rsidR="00352FC0">
              <w:rPr>
                <w:rFonts w:ascii="Calibri" w:hAnsi="Calibri" w:cs="Calibri"/>
                <w:color w:val="000000"/>
                <w:szCs w:val="20"/>
              </w:rPr>
              <w:t>c</w:t>
            </w:r>
            <w:r w:rsidRPr="00AA3472">
              <w:rPr>
                <w:rFonts w:ascii="Calibri" w:hAnsi="Calibri" w:cs="Calibri"/>
                <w:color w:val="000000"/>
                <w:szCs w:val="20"/>
              </w:rPr>
              <w:t xml:space="preserve">annabinoid </w:t>
            </w:r>
            <w:r w:rsidR="00352FC0">
              <w:rPr>
                <w:rFonts w:ascii="Calibri" w:hAnsi="Calibri" w:cs="Calibri"/>
                <w:color w:val="000000"/>
                <w:szCs w:val="20"/>
              </w:rPr>
              <w:t>r</w:t>
            </w:r>
            <w:r w:rsidRPr="00AA3472">
              <w:rPr>
                <w:rFonts w:ascii="Calibri" w:hAnsi="Calibri" w:cs="Calibri"/>
                <w:color w:val="000000"/>
                <w:szCs w:val="20"/>
              </w:rPr>
              <w:t xml:space="preserve">eceptor 2 </w:t>
            </w:r>
            <w:r w:rsidR="00352FC0">
              <w:rPr>
                <w:rFonts w:ascii="Calibri" w:hAnsi="Calibri" w:cs="Calibri"/>
                <w:color w:val="000000"/>
                <w:szCs w:val="20"/>
              </w:rPr>
              <w:t>a</w:t>
            </w:r>
            <w:r w:rsidRPr="00AA3472">
              <w:rPr>
                <w:rFonts w:ascii="Calibri" w:hAnsi="Calibri" w:cs="Calibri"/>
                <w:color w:val="000000"/>
                <w:szCs w:val="20"/>
              </w:rPr>
              <w:t xml:space="preserve">gonism be </w:t>
            </w:r>
            <w:r w:rsidR="00352FC0">
              <w:rPr>
                <w:rFonts w:ascii="Calibri" w:hAnsi="Calibri" w:cs="Calibri"/>
                <w:color w:val="000000"/>
                <w:szCs w:val="20"/>
              </w:rPr>
              <w:t>m</w:t>
            </w:r>
            <w:r w:rsidRPr="00AA3472">
              <w:rPr>
                <w:rFonts w:ascii="Calibri" w:hAnsi="Calibri" w:cs="Calibri"/>
                <w:color w:val="000000"/>
                <w:szCs w:val="20"/>
              </w:rPr>
              <w:t xml:space="preserve">ore </w:t>
            </w:r>
            <w:r w:rsidR="00352FC0">
              <w:rPr>
                <w:rFonts w:ascii="Calibri" w:hAnsi="Calibri" w:cs="Calibri"/>
                <w:color w:val="000000"/>
                <w:szCs w:val="20"/>
              </w:rPr>
              <w:t>f</w:t>
            </w:r>
            <w:r w:rsidRPr="00AA3472">
              <w:rPr>
                <w:rFonts w:ascii="Calibri" w:hAnsi="Calibri" w:cs="Calibri"/>
                <w:color w:val="000000"/>
                <w:szCs w:val="20"/>
              </w:rPr>
              <w:t xml:space="preserve">ruitful than </w:t>
            </w:r>
            <w:r w:rsidR="00352FC0">
              <w:rPr>
                <w:rFonts w:ascii="Calibri" w:hAnsi="Calibri" w:cs="Calibri"/>
                <w:color w:val="000000"/>
                <w:szCs w:val="20"/>
              </w:rPr>
              <w:t>c</w:t>
            </w:r>
            <w:r w:rsidRPr="00AA3472">
              <w:rPr>
                <w:rFonts w:ascii="Calibri" w:hAnsi="Calibri" w:cs="Calibri"/>
                <w:color w:val="000000"/>
                <w:szCs w:val="20"/>
              </w:rPr>
              <w:t xml:space="preserve">annabinoid </w:t>
            </w:r>
            <w:r w:rsidR="00352FC0">
              <w:rPr>
                <w:rFonts w:ascii="Calibri" w:hAnsi="Calibri" w:cs="Calibri"/>
                <w:color w:val="000000"/>
                <w:szCs w:val="20"/>
              </w:rPr>
              <w:t>r</w:t>
            </w:r>
            <w:r w:rsidRPr="00AA3472">
              <w:rPr>
                <w:rFonts w:ascii="Calibri" w:hAnsi="Calibri" w:cs="Calibri"/>
                <w:color w:val="000000"/>
                <w:szCs w:val="20"/>
              </w:rPr>
              <w:t xml:space="preserve">eceptor 1 </w:t>
            </w:r>
            <w:r w:rsidR="00352FC0">
              <w:rPr>
                <w:rFonts w:ascii="Calibri" w:hAnsi="Calibri" w:cs="Calibri"/>
                <w:color w:val="000000"/>
                <w:szCs w:val="20"/>
              </w:rPr>
              <w:t>a</w:t>
            </w:r>
            <w:r w:rsidRPr="00AA3472">
              <w:rPr>
                <w:rFonts w:ascii="Calibri" w:hAnsi="Calibri" w:cs="Calibri"/>
                <w:color w:val="000000"/>
                <w:szCs w:val="20"/>
              </w:rPr>
              <w:t xml:space="preserve">ntagonism? </w:t>
            </w:r>
            <w:r w:rsidRPr="00180ECE">
              <w:rPr>
                <w:rFonts w:ascii="Calibri" w:hAnsi="Calibri" w:cs="Calibri"/>
                <w:i/>
                <w:iCs/>
                <w:color w:val="000000"/>
                <w:szCs w:val="20"/>
              </w:rPr>
              <w:t xml:space="preserve">CNS </w:t>
            </w:r>
            <w:r w:rsidR="009D47B7">
              <w:rPr>
                <w:rFonts w:ascii="Calibri" w:hAnsi="Calibri" w:cs="Calibri"/>
                <w:i/>
                <w:iCs/>
                <w:color w:val="000000"/>
                <w:szCs w:val="20"/>
              </w:rPr>
              <w:t xml:space="preserve">&amp; </w:t>
            </w:r>
            <w:r w:rsidRPr="00180ECE">
              <w:rPr>
                <w:rFonts w:ascii="Calibri" w:hAnsi="Calibri" w:cs="Calibri"/>
                <w:i/>
                <w:iCs/>
                <w:color w:val="000000"/>
                <w:szCs w:val="20"/>
              </w:rPr>
              <w:t>Neurol</w:t>
            </w:r>
            <w:r w:rsidR="009D47B7">
              <w:rPr>
                <w:rFonts w:ascii="Calibri" w:hAnsi="Calibri" w:cs="Calibri"/>
                <w:i/>
                <w:iCs/>
                <w:color w:val="000000"/>
                <w:szCs w:val="20"/>
              </w:rPr>
              <w:t>ogical</w:t>
            </w:r>
            <w:r w:rsidRPr="00180ECE">
              <w:rPr>
                <w:rFonts w:ascii="Calibri" w:hAnsi="Calibri" w:cs="Calibri"/>
                <w:i/>
                <w:iCs/>
                <w:color w:val="000000"/>
                <w:szCs w:val="20"/>
              </w:rPr>
              <w:t xml:space="preserve"> Disord</w:t>
            </w:r>
            <w:r w:rsidR="009D47B7">
              <w:rPr>
                <w:rFonts w:ascii="Calibri" w:hAnsi="Calibri" w:cs="Calibri"/>
                <w:i/>
                <w:iCs/>
                <w:color w:val="000000"/>
                <w:szCs w:val="20"/>
              </w:rPr>
              <w:t>ers –</w:t>
            </w:r>
            <w:r w:rsidRPr="00180ECE">
              <w:rPr>
                <w:rFonts w:ascii="Calibri" w:hAnsi="Calibri" w:cs="Calibri"/>
                <w:i/>
                <w:iCs/>
                <w:color w:val="000000"/>
                <w:szCs w:val="20"/>
              </w:rPr>
              <w:t xml:space="preserve"> Drug</w:t>
            </w:r>
            <w:r w:rsidR="009D47B7">
              <w:rPr>
                <w:rFonts w:ascii="Calibri" w:hAnsi="Calibri" w:cs="Calibri"/>
                <w:i/>
                <w:iCs/>
                <w:color w:val="000000"/>
                <w:szCs w:val="20"/>
              </w:rPr>
              <w:t xml:space="preserve"> </w:t>
            </w:r>
            <w:r w:rsidRPr="009D47B7">
              <w:rPr>
                <w:rFonts w:ascii="Calibri" w:hAnsi="Calibri" w:cs="Calibri"/>
                <w:i/>
                <w:iCs/>
                <w:color w:val="000000"/>
                <w:szCs w:val="20"/>
              </w:rPr>
              <w:t>Targets</w:t>
            </w:r>
            <w:r w:rsidRPr="00F62917">
              <w:rPr>
                <w:rFonts w:ascii="Calibri" w:hAnsi="Calibri" w:cs="Calibri"/>
                <w:i/>
                <w:iCs/>
                <w:color w:val="000000"/>
                <w:szCs w:val="20"/>
              </w:rPr>
              <w:t>, 21</w:t>
            </w:r>
            <w:r w:rsidRPr="00AA3472">
              <w:rPr>
                <w:rFonts w:ascii="Calibri" w:hAnsi="Calibri" w:cs="Calibri"/>
                <w:color w:val="000000"/>
                <w:szCs w:val="20"/>
              </w:rPr>
              <w:t xml:space="preserve">(1), </w:t>
            </w:r>
            <w:r w:rsidRPr="00B73E0C">
              <w:rPr>
                <w:rFonts w:ascii="Calibri" w:hAnsi="Calibri" w:cs="Calibri"/>
                <w:color w:val="000000"/>
                <w:szCs w:val="20"/>
              </w:rPr>
              <w:t>3-13</w:t>
            </w:r>
            <w:r>
              <w:rPr>
                <w:rFonts w:ascii="Calibri" w:hAnsi="Calibri" w:cs="Calibri"/>
                <w:color w:val="000000"/>
                <w:szCs w:val="20"/>
              </w:rPr>
              <w:t>.</w:t>
            </w:r>
            <w:r w:rsidRPr="00AA3472">
              <w:rPr>
                <w:rFonts w:ascii="Calibri" w:hAnsi="Calibri" w:cs="Calibri"/>
                <w:color w:val="000000"/>
                <w:szCs w:val="20"/>
              </w:rPr>
              <w:t xml:space="preserve"> </w:t>
            </w:r>
            <w:hyperlink r:id="rId134" w:history="1">
              <w:r w:rsidR="00CB0689" w:rsidRPr="007913E4">
                <w:rPr>
                  <w:rStyle w:val="Hyperlink"/>
                  <w:rFonts w:ascii="Calibri" w:hAnsi="Calibri" w:cs="Calibri"/>
                  <w:szCs w:val="20"/>
                </w:rPr>
                <w:t>https://doi.org/10.2174/1871527320666210211115007</w:t>
              </w:r>
            </w:hyperlink>
            <w:r w:rsidR="00CB0689">
              <w:rPr>
                <w:rFonts w:ascii="Calibri" w:hAnsi="Calibri" w:cs="Calibri"/>
                <w:color w:val="000000"/>
                <w:szCs w:val="20"/>
              </w:rPr>
              <w:t xml:space="preserve"> </w:t>
            </w:r>
          </w:p>
        </w:tc>
        <w:tc>
          <w:tcPr>
            <w:tcW w:w="886" w:type="pct"/>
            <w:noWrap/>
          </w:tcPr>
          <w:p w14:paraId="220ADC82" w14:textId="1E57305C" w:rsidR="001B7DE5" w:rsidRPr="009B4D43" w:rsidRDefault="00C63BB8" w:rsidP="001B7DE5">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C63BB8">
              <w:rPr>
                <w:rFonts w:ascii="Calibri" w:hAnsi="Calibri" w:cs="Calibri"/>
                <w:color w:val="000000"/>
                <w:szCs w:val="20"/>
              </w:rPr>
              <w:t>Animal studies only</w:t>
            </w:r>
          </w:p>
        </w:tc>
      </w:tr>
    </w:tbl>
    <w:p w14:paraId="70E10A2C" w14:textId="11E70554" w:rsidR="00BB0D21" w:rsidRPr="009B4D43" w:rsidRDefault="008873AC" w:rsidP="00BB0D21">
      <w:pPr>
        <w:pStyle w:val="Heading3"/>
      </w:pPr>
      <w:bookmarkStart w:id="303" w:name="_Toc99653113"/>
      <w:bookmarkStart w:id="304" w:name="_Toc101536703"/>
      <w:bookmarkStart w:id="305" w:name="_Toc103944916"/>
      <w:bookmarkStart w:id="306" w:name="_Toc121096127"/>
      <w:bookmarkStart w:id="307" w:name="_Toc165018234"/>
      <w:r>
        <w:t>Ineligible</w:t>
      </w:r>
      <w:r w:rsidR="00BB0D21" w:rsidRPr="009B4D43">
        <w:t xml:space="preserve"> </w:t>
      </w:r>
      <w:r w:rsidR="004B5C58" w:rsidRPr="009B4D43">
        <w:t>outcomes</w:t>
      </w:r>
      <w:r w:rsidR="00BB0D21" w:rsidRPr="009B4D43">
        <w:t xml:space="preserve"> (n = </w:t>
      </w:r>
      <w:r w:rsidR="002A441F">
        <w:t>2</w:t>
      </w:r>
      <w:r w:rsidR="00BB0D21" w:rsidRPr="009B4D43">
        <w:t>)</w:t>
      </w:r>
      <w:bookmarkEnd w:id="303"/>
      <w:bookmarkEnd w:id="304"/>
      <w:bookmarkEnd w:id="305"/>
      <w:bookmarkEnd w:id="306"/>
      <w:bookmarkEnd w:id="307"/>
    </w:p>
    <w:tbl>
      <w:tblPr>
        <w:tblStyle w:val="GridTable5Dark-Accent5"/>
        <w:tblW w:w="5000" w:type="pct"/>
        <w:tblLayout w:type="fixed"/>
        <w:tblLook w:val="04A0" w:firstRow="1" w:lastRow="0" w:firstColumn="1" w:lastColumn="0" w:noHBand="0" w:noVBand="1"/>
      </w:tblPr>
      <w:tblGrid>
        <w:gridCol w:w="560"/>
        <w:gridCol w:w="851"/>
        <w:gridCol w:w="10065"/>
        <w:gridCol w:w="2472"/>
      </w:tblGrid>
      <w:tr w:rsidR="00BB0D21" w:rsidRPr="009B4D43" w14:paraId="4D370DE2" w14:textId="77777777" w:rsidTr="00290E91">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201" w:type="pct"/>
            <w:noWrap/>
            <w:hideMark/>
          </w:tcPr>
          <w:p w14:paraId="04502D27" w14:textId="77777777" w:rsidR="00BB0D21" w:rsidRPr="009B4D43" w:rsidRDefault="00BB0D21" w:rsidP="00BB0D21">
            <w:pPr>
              <w:spacing w:after="0"/>
              <w:jc w:val="center"/>
              <w:rPr>
                <w:rFonts w:ascii="Calibri" w:eastAsia="Times New Roman" w:hAnsi="Calibri" w:cs="Calibri"/>
                <w:szCs w:val="20"/>
                <w:lang w:eastAsia="en-AU"/>
              </w:rPr>
            </w:pPr>
            <w:r w:rsidRPr="009B4D43">
              <w:rPr>
                <w:rFonts w:ascii="Calibri" w:eastAsia="Times New Roman" w:hAnsi="Calibri" w:cs="Calibri"/>
                <w:szCs w:val="20"/>
                <w:lang w:eastAsia="en-AU"/>
              </w:rPr>
              <w:t>#</w:t>
            </w:r>
          </w:p>
        </w:tc>
        <w:tc>
          <w:tcPr>
            <w:tcW w:w="305" w:type="pct"/>
            <w:noWrap/>
            <w:hideMark/>
          </w:tcPr>
          <w:p w14:paraId="12E0EBB1" w14:textId="27F219A4" w:rsidR="00BB0D21" w:rsidRPr="009B4D43" w:rsidRDefault="00053761" w:rsidP="00247423">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0"/>
                <w:lang w:eastAsia="en-AU"/>
              </w:rPr>
            </w:pPr>
            <w:r>
              <w:rPr>
                <w:rFonts w:ascii="Calibri" w:eastAsia="Times New Roman" w:hAnsi="Calibri" w:cs="Calibri"/>
                <w:szCs w:val="20"/>
                <w:lang w:eastAsia="en-AU"/>
              </w:rPr>
              <w:t>YEAR</w:t>
            </w:r>
          </w:p>
        </w:tc>
        <w:tc>
          <w:tcPr>
            <w:tcW w:w="3608" w:type="pct"/>
            <w:noWrap/>
            <w:hideMark/>
          </w:tcPr>
          <w:p w14:paraId="59BE9375" w14:textId="77777777" w:rsidR="00BB0D21" w:rsidRPr="009B4D43" w:rsidRDefault="00BB0D21" w:rsidP="00BB0D21">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0"/>
                <w:lang w:eastAsia="en-AU"/>
              </w:rPr>
            </w:pPr>
            <w:r w:rsidRPr="009B4D43">
              <w:rPr>
                <w:rFonts w:ascii="Calibri" w:eastAsia="Times New Roman" w:hAnsi="Calibri" w:cs="Calibri"/>
                <w:szCs w:val="20"/>
                <w:lang w:eastAsia="en-AU"/>
              </w:rPr>
              <w:t>Reference</w:t>
            </w:r>
          </w:p>
        </w:tc>
        <w:tc>
          <w:tcPr>
            <w:tcW w:w="886" w:type="pct"/>
            <w:noWrap/>
            <w:hideMark/>
          </w:tcPr>
          <w:p w14:paraId="7F2BC525" w14:textId="23C5BD10" w:rsidR="00BB0D21" w:rsidRPr="009B4D43" w:rsidRDefault="005574DE" w:rsidP="00BB0D21">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0"/>
                <w:lang w:eastAsia="en-AU"/>
              </w:rPr>
            </w:pPr>
            <w:r w:rsidRPr="005574DE">
              <w:rPr>
                <w:rFonts w:ascii="Calibri" w:eastAsia="Times New Roman" w:hAnsi="Calibri" w:cs="Calibri"/>
                <w:szCs w:val="20"/>
                <w:lang w:eastAsia="en-AU"/>
              </w:rPr>
              <w:t>Exclusion reason</w:t>
            </w:r>
          </w:p>
        </w:tc>
      </w:tr>
      <w:tr w:rsidR="00AD65C5" w:rsidRPr="009B4D43" w14:paraId="35088BBF" w14:textId="77777777" w:rsidTr="00C4444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 w:type="pct"/>
            <w:noWrap/>
            <w:hideMark/>
          </w:tcPr>
          <w:p w14:paraId="541C713D" w14:textId="77777777" w:rsidR="00AD65C5" w:rsidRPr="009B4D43" w:rsidRDefault="00AD65C5" w:rsidP="00AD65C5">
            <w:pPr>
              <w:spacing w:after="0"/>
              <w:jc w:val="center"/>
              <w:rPr>
                <w:rFonts w:ascii="Calibri" w:eastAsia="Times New Roman" w:hAnsi="Calibri" w:cs="Calibri"/>
                <w:color w:val="000000"/>
                <w:szCs w:val="20"/>
                <w:lang w:eastAsia="en-AU"/>
              </w:rPr>
            </w:pPr>
            <w:r w:rsidRPr="009B4D43">
              <w:rPr>
                <w:rFonts w:ascii="Calibri" w:eastAsia="Times New Roman" w:hAnsi="Calibri" w:cs="Calibri"/>
                <w:szCs w:val="20"/>
                <w:lang w:eastAsia="en-AU"/>
              </w:rPr>
              <w:t>1</w:t>
            </w:r>
          </w:p>
        </w:tc>
        <w:tc>
          <w:tcPr>
            <w:tcW w:w="305" w:type="pct"/>
            <w:noWrap/>
          </w:tcPr>
          <w:p w14:paraId="1173CEAA" w14:textId="7BAEDB85" w:rsidR="00AD65C5" w:rsidRPr="009B4D43" w:rsidRDefault="00511DFB" w:rsidP="00247423">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en-AU"/>
              </w:rPr>
            </w:pPr>
            <w:r>
              <w:rPr>
                <w:rFonts w:ascii="Calibri" w:hAnsi="Calibri" w:cs="Calibri"/>
                <w:color w:val="000000"/>
                <w:szCs w:val="20"/>
              </w:rPr>
              <w:t>2020</w:t>
            </w:r>
          </w:p>
        </w:tc>
        <w:tc>
          <w:tcPr>
            <w:tcW w:w="3608" w:type="pct"/>
            <w:noWrap/>
          </w:tcPr>
          <w:p w14:paraId="22CBF91F" w14:textId="6E356AA5" w:rsidR="00AD65C5" w:rsidRPr="009B4D43" w:rsidRDefault="00AD65C5" w:rsidP="00AD65C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en-AU"/>
              </w:rPr>
            </w:pPr>
            <w:r w:rsidRPr="009B4D43">
              <w:rPr>
                <w:rFonts w:ascii="Calibri" w:hAnsi="Calibri" w:cs="Calibri"/>
                <w:color w:val="000000"/>
                <w:szCs w:val="20"/>
              </w:rPr>
              <w:t xml:space="preserve">Rabinak, C. A., Blanchette, A., Zabik, N. L., Peters, C., Marusak, H. A., Iadipaolo, A., </w:t>
            </w:r>
            <w:r w:rsidR="00B90605" w:rsidRPr="009B4D43">
              <w:rPr>
                <w:rFonts w:ascii="Calibri" w:hAnsi="Calibri" w:cs="Calibri"/>
                <w:color w:val="000000"/>
                <w:szCs w:val="20"/>
              </w:rPr>
              <w:t xml:space="preserve">&amp; </w:t>
            </w:r>
            <w:r w:rsidRPr="009B4D43">
              <w:rPr>
                <w:rFonts w:ascii="Calibri" w:hAnsi="Calibri" w:cs="Calibri"/>
                <w:color w:val="000000"/>
                <w:szCs w:val="20"/>
              </w:rPr>
              <w:t>Elrahal, F.</w:t>
            </w:r>
            <w:r w:rsidR="00CB0689">
              <w:rPr>
                <w:rFonts w:ascii="Calibri" w:hAnsi="Calibri" w:cs="Calibri"/>
                <w:color w:val="000000"/>
                <w:szCs w:val="20"/>
              </w:rPr>
              <w:t xml:space="preserve"> </w:t>
            </w:r>
            <w:r w:rsidR="00F820A6" w:rsidRPr="009B4D43">
              <w:rPr>
                <w:rFonts w:ascii="Calibri" w:hAnsi="Calibri" w:cs="Calibri"/>
                <w:color w:val="000000"/>
                <w:szCs w:val="20"/>
              </w:rPr>
              <w:t>(</w:t>
            </w:r>
            <w:r w:rsidRPr="009B4D43">
              <w:rPr>
                <w:rFonts w:ascii="Calibri" w:hAnsi="Calibri" w:cs="Calibri"/>
                <w:color w:val="000000"/>
                <w:szCs w:val="20"/>
              </w:rPr>
              <w:t>2020</w:t>
            </w:r>
            <w:r w:rsidR="00F820A6" w:rsidRPr="009B4D43">
              <w:rPr>
                <w:rFonts w:ascii="Calibri" w:hAnsi="Calibri" w:cs="Calibri"/>
                <w:color w:val="000000"/>
                <w:szCs w:val="20"/>
              </w:rPr>
              <w:t xml:space="preserve">). </w:t>
            </w:r>
            <w:r w:rsidRPr="009B4D43">
              <w:rPr>
                <w:rFonts w:ascii="Calibri" w:hAnsi="Calibri" w:cs="Calibri"/>
                <w:color w:val="000000"/>
                <w:szCs w:val="20"/>
              </w:rPr>
              <w:t xml:space="preserve">Cannabinoid modulation of corticolimbic activation to threat in trauma-exposed adults: </w:t>
            </w:r>
            <w:r w:rsidR="006C0767">
              <w:rPr>
                <w:rFonts w:ascii="Calibri" w:hAnsi="Calibri" w:cs="Calibri"/>
                <w:color w:val="000000"/>
                <w:szCs w:val="20"/>
              </w:rPr>
              <w:t>A</w:t>
            </w:r>
            <w:r w:rsidRPr="009B4D43">
              <w:rPr>
                <w:rFonts w:ascii="Calibri" w:hAnsi="Calibri" w:cs="Calibri"/>
                <w:color w:val="000000"/>
                <w:szCs w:val="20"/>
              </w:rPr>
              <w:t xml:space="preserve"> preliminary study</w:t>
            </w:r>
            <w:r w:rsidR="00F820A6" w:rsidRPr="009B4D43">
              <w:rPr>
                <w:rFonts w:ascii="Calibri" w:hAnsi="Calibri" w:cs="Calibri"/>
                <w:color w:val="000000"/>
                <w:szCs w:val="20"/>
              </w:rPr>
              <w:t xml:space="preserve">. </w:t>
            </w:r>
            <w:r w:rsidRPr="00180ECE">
              <w:rPr>
                <w:rFonts w:ascii="Calibri" w:hAnsi="Calibri" w:cs="Calibri"/>
                <w:i/>
                <w:iCs/>
                <w:color w:val="000000"/>
                <w:szCs w:val="20"/>
              </w:rPr>
              <w:t>Psychopharmacology</w:t>
            </w:r>
            <w:r w:rsidR="00F820A6" w:rsidRPr="00F62917">
              <w:rPr>
                <w:rFonts w:ascii="Calibri" w:hAnsi="Calibri" w:cs="Calibri"/>
                <w:i/>
                <w:iCs/>
                <w:color w:val="000000"/>
                <w:szCs w:val="20"/>
              </w:rPr>
              <w:t xml:space="preserve">, </w:t>
            </w:r>
            <w:r w:rsidRPr="00F62917">
              <w:rPr>
                <w:rFonts w:ascii="Calibri" w:hAnsi="Calibri" w:cs="Calibri"/>
                <w:i/>
                <w:iCs/>
                <w:color w:val="000000"/>
                <w:szCs w:val="20"/>
              </w:rPr>
              <w:t>237</w:t>
            </w:r>
            <w:r w:rsidR="00F820A6" w:rsidRPr="009B4D43">
              <w:rPr>
                <w:rFonts w:ascii="Calibri" w:hAnsi="Calibri" w:cs="Calibri"/>
                <w:color w:val="000000"/>
                <w:szCs w:val="20"/>
              </w:rPr>
              <w:t>(</w:t>
            </w:r>
            <w:r w:rsidRPr="009B4D43">
              <w:rPr>
                <w:rFonts w:ascii="Calibri" w:hAnsi="Calibri" w:cs="Calibri"/>
                <w:color w:val="000000"/>
                <w:szCs w:val="20"/>
              </w:rPr>
              <w:t>6</w:t>
            </w:r>
            <w:r w:rsidR="00F820A6" w:rsidRPr="009B4D43">
              <w:rPr>
                <w:rFonts w:ascii="Calibri" w:hAnsi="Calibri" w:cs="Calibri"/>
                <w:color w:val="000000"/>
                <w:szCs w:val="20"/>
              </w:rPr>
              <w:t xml:space="preserve">), </w:t>
            </w:r>
            <w:r w:rsidRPr="009B4D43">
              <w:rPr>
                <w:rFonts w:ascii="Calibri" w:hAnsi="Calibri" w:cs="Calibri"/>
                <w:color w:val="000000"/>
                <w:szCs w:val="20"/>
              </w:rPr>
              <w:t>1813-1826</w:t>
            </w:r>
            <w:r w:rsidR="00F820A6" w:rsidRPr="009B4D43">
              <w:rPr>
                <w:rFonts w:ascii="Calibri" w:hAnsi="Calibri" w:cs="Calibri"/>
                <w:color w:val="000000"/>
                <w:szCs w:val="20"/>
              </w:rPr>
              <w:t xml:space="preserve">. </w:t>
            </w:r>
            <w:hyperlink r:id="rId135" w:history="1">
              <w:r w:rsidR="00B64CAF" w:rsidRPr="007913E4">
                <w:rPr>
                  <w:rStyle w:val="Hyperlink"/>
                  <w:rFonts w:ascii="Calibri" w:hAnsi="Calibri" w:cs="Calibri"/>
                  <w:szCs w:val="20"/>
                </w:rPr>
                <w:t>https://doi.org/10.1007/s00213-020-05499-8</w:t>
              </w:r>
            </w:hyperlink>
            <w:r w:rsidR="00B64CAF">
              <w:rPr>
                <w:rFonts w:ascii="Calibri" w:hAnsi="Calibri" w:cs="Calibri"/>
                <w:color w:val="000000"/>
                <w:szCs w:val="20"/>
              </w:rPr>
              <w:t xml:space="preserve"> </w:t>
            </w:r>
          </w:p>
        </w:tc>
        <w:tc>
          <w:tcPr>
            <w:tcW w:w="886" w:type="pct"/>
            <w:noWrap/>
          </w:tcPr>
          <w:p w14:paraId="0620D7EE" w14:textId="73F2CB34" w:rsidR="00AD65C5" w:rsidRPr="009B4D43" w:rsidRDefault="005574DE" w:rsidP="00AD65C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en-AU"/>
              </w:rPr>
            </w:pPr>
            <w:r w:rsidRPr="005574DE">
              <w:rPr>
                <w:rFonts w:ascii="Calibri" w:hAnsi="Calibri" w:cs="Calibri"/>
                <w:color w:val="000000"/>
                <w:szCs w:val="20"/>
              </w:rPr>
              <w:t>No clinical outcomes: Reaction time to threatening versus non-threatening faces.</w:t>
            </w:r>
          </w:p>
        </w:tc>
      </w:tr>
      <w:tr w:rsidR="002A441F" w:rsidRPr="009B4D43" w14:paraId="0CE38DFF" w14:textId="77777777" w:rsidTr="00247423">
        <w:trPr>
          <w:trHeight w:val="846"/>
        </w:trPr>
        <w:tc>
          <w:tcPr>
            <w:cnfStyle w:val="001000000000" w:firstRow="0" w:lastRow="0" w:firstColumn="1" w:lastColumn="0" w:oddVBand="0" w:evenVBand="0" w:oddHBand="0" w:evenHBand="0" w:firstRowFirstColumn="0" w:firstRowLastColumn="0" w:lastRowFirstColumn="0" w:lastRowLastColumn="0"/>
            <w:tcW w:w="0" w:type="pct"/>
            <w:noWrap/>
          </w:tcPr>
          <w:p w14:paraId="5E868187" w14:textId="618824AA" w:rsidR="002A441F" w:rsidRPr="009B4D43" w:rsidRDefault="002A441F" w:rsidP="00AD65C5">
            <w:pPr>
              <w:spacing w:after="0"/>
              <w:jc w:val="center"/>
              <w:rPr>
                <w:rFonts w:ascii="Calibri" w:eastAsia="Times New Roman" w:hAnsi="Calibri" w:cs="Calibri"/>
                <w:szCs w:val="20"/>
                <w:lang w:eastAsia="en-AU"/>
              </w:rPr>
            </w:pPr>
            <w:r>
              <w:rPr>
                <w:rFonts w:ascii="Calibri" w:eastAsia="Times New Roman" w:hAnsi="Calibri" w:cs="Calibri"/>
                <w:szCs w:val="20"/>
                <w:lang w:eastAsia="en-AU"/>
              </w:rPr>
              <w:t>2</w:t>
            </w:r>
          </w:p>
        </w:tc>
        <w:tc>
          <w:tcPr>
            <w:tcW w:w="0" w:type="pct"/>
            <w:noWrap/>
          </w:tcPr>
          <w:p w14:paraId="692406EF" w14:textId="0F4CDF3E" w:rsidR="002A441F" w:rsidRDefault="00903ED4" w:rsidP="00247423">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2022</w:t>
            </w:r>
          </w:p>
        </w:tc>
        <w:tc>
          <w:tcPr>
            <w:tcW w:w="3608" w:type="pct"/>
            <w:noWrap/>
          </w:tcPr>
          <w:p w14:paraId="262AF86F" w14:textId="473953E4" w:rsidR="002A441F" w:rsidRPr="009B4D43" w:rsidRDefault="001B0A01" w:rsidP="00AD65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1B0A01">
              <w:rPr>
                <w:rFonts w:ascii="Calibri" w:hAnsi="Calibri" w:cs="Calibri"/>
                <w:color w:val="000000"/>
                <w:szCs w:val="20"/>
              </w:rPr>
              <w:t>Bolsoni, L. M.</w:t>
            </w:r>
            <w:r w:rsidR="00B64CAF">
              <w:rPr>
                <w:rFonts w:ascii="Calibri" w:hAnsi="Calibri" w:cs="Calibri"/>
                <w:color w:val="000000"/>
                <w:szCs w:val="20"/>
              </w:rPr>
              <w:t xml:space="preserve">, </w:t>
            </w:r>
            <w:r w:rsidRPr="001B0A01">
              <w:rPr>
                <w:rFonts w:ascii="Calibri" w:hAnsi="Calibri" w:cs="Calibri"/>
                <w:color w:val="000000"/>
                <w:szCs w:val="20"/>
              </w:rPr>
              <w:t>Crippa, J. A. S.</w:t>
            </w:r>
            <w:r w:rsidR="00B64CAF">
              <w:rPr>
                <w:rFonts w:ascii="Calibri" w:hAnsi="Calibri" w:cs="Calibri"/>
                <w:color w:val="000000"/>
                <w:szCs w:val="20"/>
              </w:rPr>
              <w:t>,</w:t>
            </w:r>
            <w:r w:rsidRPr="001B0A01">
              <w:rPr>
                <w:rFonts w:ascii="Calibri" w:hAnsi="Calibri" w:cs="Calibri"/>
                <w:color w:val="000000"/>
                <w:szCs w:val="20"/>
              </w:rPr>
              <w:t xml:space="preserve"> Hallak, J. E. C.</w:t>
            </w:r>
            <w:r w:rsidR="00B64CAF">
              <w:rPr>
                <w:rFonts w:ascii="Calibri" w:hAnsi="Calibri" w:cs="Calibri"/>
                <w:color w:val="000000"/>
                <w:szCs w:val="20"/>
              </w:rPr>
              <w:t>,</w:t>
            </w:r>
            <w:r w:rsidRPr="001B0A01">
              <w:rPr>
                <w:rFonts w:ascii="Calibri" w:hAnsi="Calibri" w:cs="Calibri"/>
                <w:color w:val="000000"/>
                <w:szCs w:val="20"/>
              </w:rPr>
              <w:t xml:space="preserve"> Guimar</w:t>
            </w:r>
            <w:r w:rsidR="00863648" w:rsidRPr="00863648">
              <w:rPr>
                <w:rFonts w:ascii="Calibri" w:hAnsi="Calibri" w:cs="Calibri"/>
                <w:color w:val="000000"/>
                <w:szCs w:val="20"/>
              </w:rPr>
              <w:t>ã</w:t>
            </w:r>
            <w:r w:rsidRPr="001B0A01">
              <w:rPr>
                <w:rFonts w:ascii="Calibri" w:hAnsi="Calibri" w:cs="Calibri"/>
                <w:color w:val="000000"/>
                <w:szCs w:val="20"/>
              </w:rPr>
              <w:t>es, F. S.</w:t>
            </w:r>
            <w:r w:rsidR="00B64CAF">
              <w:rPr>
                <w:rFonts w:ascii="Calibri" w:hAnsi="Calibri" w:cs="Calibri"/>
                <w:color w:val="000000"/>
                <w:szCs w:val="20"/>
              </w:rPr>
              <w:t>,</w:t>
            </w:r>
            <w:r w:rsidRPr="001B0A01">
              <w:rPr>
                <w:rFonts w:ascii="Calibri" w:hAnsi="Calibri" w:cs="Calibri"/>
                <w:color w:val="000000"/>
                <w:szCs w:val="20"/>
              </w:rPr>
              <w:t xml:space="preserve"> Zuardi, A. W.</w:t>
            </w:r>
            <w:r w:rsidR="00863648">
              <w:rPr>
                <w:rFonts w:ascii="Calibri" w:hAnsi="Calibri" w:cs="Calibri"/>
                <w:color w:val="000000"/>
                <w:szCs w:val="20"/>
              </w:rPr>
              <w:t xml:space="preserve"> (2022). </w:t>
            </w:r>
            <w:r w:rsidR="00361EB1" w:rsidRPr="00361EB1">
              <w:rPr>
                <w:rFonts w:ascii="Calibri" w:hAnsi="Calibri" w:cs="Calibri"/>
                <w:color w:val="000000"/>
                <w:szCs w:val="20"/>
              </w:rPr>
              <w:t>Effects of cannabidiol on symptoms induced by the recall of traumatic events in patients with posttraumatic stress disorder</w:t>
            </w:r>
            <w:r w:rsidR="00361EB1">
              <w:rPr>
                <w:rFonts w:ascii="Calibri" w:hAnsi="Calibri" w:cs="Calibri"/>
                <w:color w:val="000000"/>
                <w:szCs w:val="20"/>
              </w:rPr>
              <w:t xml:space="preserve">. </w:t>
            </w:r>
            <w:r w:rsidR="00E15605" w:rsidRPr="001D1C1B">
              <w:rPr>
                <w:rFonts w:ascii="Calibri" w:hAnsi="Calibri" w:cs="Calibri"/>
                <w:i/>
                <w:iCs/>
                <w:color w:val="000000"/>
                <w:szCs w:val="20"/>
              </w:rPr>
              <w:t>Psychopharmacology</w:t>
            </w:r>
            <w:r w:rsidR="0044423B" w:rsidRPr="00F62917">
              <w:rPr>
                <w:rFonts w:ascii="Calibri" w:hAnsi="Calibri" w:cs="Calibri"/>
                <w:i/>
                <w:iCs/>
                <w:color w:val="000000"/>
                <w:szCs w:val="20"/>
              </w:rPr>
              <w:t>, 239</w:t>
            </w:r>
            <w:r w:rsidR="0044423B" w:rsidRPr="0044423B">
              <w:rPr>
                <w:rFonts w:ascii="Calibri" w:hAnsi="Calibri" w:cs="Calibri"/>
                <w:color w:val="000000"/>
                <w:szCs w:val="20"/>
              </w:rPr>
              <w:t>, 1499-1507.</w:t>
            </w:r>
            <w:r w:rsidR="001D1C1B">
              <w:rPr>
                <w:rFonts w:ascii="Calibri" w:hAnsi="Calibri" w:cs="Calibri"/>
                <w:color w:val="000000"/>
                <w:szCs w:val="20"/>
              </w:rPr>
              <w:t xml:space="preserve"> </w:t>
            </w:r>
            <w:hyperlink r:id="rId136" w:history="1">
              <w:r w:rsidR="001D1C1B" w:rsidRPr="007913E4">
                <w:rPr>
                  <w:rStyle w:val="Hyperlink"/>
                  <w:rFonts w:ascii="Calibri" w:hAnsi="Calibri" w:cs="Calibri"/>
                  <w:szCs w:val="20"/>
                </w:rPr>
                <w:t>https://doi.org/10.1007/s00213-021-06043-y</w:t>
              </w:r>
            </w:hyperlink>
            <w:r w:rsidR="001D1C1B">
              <w:rPr>
                <w:rFonts w:ascii="Calibri" w:hAnsi="Calibri" w:cs="Calibri"/>
                <w:color w:val="000000"/>
                <w:szCs w:val="20"/>
              </w:rPr>
              <w:t xml:space="preserve"> </w:t>
            </w:r>
          </w:p>
        </w:tc>
        <w:tc>
          <w:tcPr>
            <w:tcW w:w="886" w:type="pct"/>
            <w:noWrap/>
          </w:tcPr>
          <w:p w14:paraId="59898C98" w14:textId="36B79DCB" w:rsidR="002A441F" w:rsidRPr="005574DE" w:rsidRDefault="00361EB1" w:rsidP="00AD65C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 xml:space="preserve">Outcome measures do not measure change in symptoms for the condition of interest (PTSD). </w:t>
            </w:r>
          </w:p>
        </w:tc>
      </w:tr>
    </w:tbl>
    <w:p w14:paraId="23E5E067" w14:textId="77777777" w:rsidR="00BB0D21" w:rsidRPr="009B4D43" w:rsidRDefault="00BB0D21" w:rsidP="00BB0D21">
      <w:pPr>
        <w:spacing w:after="160"/>
        <w:rPr>
          <w:rFonts w:asciiTheme="majorHAnsi" w:eastAsiaTheme="majorEastAsia" w:hAnsiTheme="majorHAnsi" w:cstheme="majorBidi"/>
          <w:color w:val="2E74B5" w:themeColor="accent1" w:themeShade="BF"/>
          <w:sz w:val="26"/>
          <w:szCs w:val="26"/>
        </w:rPr>
      </w:pPr>
    </w:p>
    <w:p w14:paraId="44DE83DE" w14:textId="77777777" w:rsidR="00BB0D21" w:rsidRPr="009B4D43" w:rsidRDefault="00BB0D21" w:rsidP="00BB0D21">
      <w:pPr>
        <w:spacing w:after="160"/>
        <w:rPr>
          <w:szCs w:val="20"/>
        </w:rPr>
      </w:pPr>
    </w:p>
    <w:p w14:paraId="2775BB2F" w14:textId="77777777" w:rsidR="00BB0D21" w:rsidRPr="009B4D43" w:rsidRDefault="00BB0D21" w:rsidP="00BB0D21">
      <w:pPr>
        <w:sectPr w:rsidR="00BB0D21" w:rsidRPr="009B4D43" w:rsidSect="00AA7189">
          <w:pgSz w:w="16838" w:h="11906" w:orient="landscape"/>
          <w:pgMar w:top="1440" w:right="1440" w:bottom="1440" w:left="1440" w:header="708" w:footer="708" w:gutter="0"/>
          <w:cols w:space="708"/>
          <w:docGrid w:linePitch="360"/>
        </w:sectPr>
      </w:pPr>
    </w:p>
    <w:p w14:paraId="6A9AC440" w14:textId="4F3B8489" w:rsidR="00BB0D21" w:rsidRDefault="00BB0D21" w:rsidP="00BB0D21">
      <w:pPr>
        <w:pStyle w:val="Heading1"/>
      </w:pPr>
      <w:bookmarkStart w:id="308" w:name="_Toc96361295"/>
      <w:bookmarkStart w:id="309" w:name="_Toc165018235"/>
      <w:r w:rsidRPr="00053761">
        <w:lastRenderedPageBreak/>
        <w:t xml:space="preserve">Appendix 5: </w:t>
      </w:r>
      <w:bookmarkEnd w:id="308"/>
      <w:r w:rsidRPr="00053761">
        <w:t>List of Included Studies</w:t>
      </w:r>
      <w:bookmarkEnd w:id="309"/>
    </w:p>
    <w:p w14:paraId="365C5A26" w14:textId="77777777" w:rsidR="00EE473B" w:rsidRPr="009B4D43" w:rsidRDefault="00EE473B" w:rsidP="00EE473B">
      <w:pPr>
        <w:pStyle w:val="Heading2"/>
      </w:pPr>
      <w:bookmarkStart w:id="310" w:name="_Toc165018236"/>
      <w:r w:rsidRPr="009B4D43">
        <w:t xml:space="preserve">Medicinal </w:t>
      </w:r>
      <w:r>
        <w:t>c</w:t>
      </w:r>
      <w:r w:rsidRPr="009B4D43">
        <w:t xml:space="preserve">annabis: </w:t>
      </w:r>
      <w:r>
        <w:t>Standalone</w:t>
      </w:r>
      <w:r w:rsidRPr="009B4D43">
        <w:t xml:space="preserve"> and combined interventions</w:t>
      </w:r>
      <w:r>
        <w:t xml:space="preserve"> (n = 12)</w:t>
      </w:r>
      <w:bookmarkEnd w:id="310"/>
    </w:p>
    <w:tbl>
      <w:tblPr>
        <w:tblStyle w:val="GridTable5Dark-Accent5"/>
        <w:tblW w:w="15032" w:type="dxa"/>
        <w:tblLayout w:type="fixed"/>
        <w:tblLook w:val="04A0" w:firstRow="1" w:lastRow="0" w:firstColumn="1" w:lastColumn="0" w:noHBand="0" w:noVBand="1"/>
      </w:tblPr>
      <w:tblGrid>
        <w:gridCol w:w="421"/>
        <w:gridCol w:w="2835"/>
        <w:gridCol w:w="4252"/>
        <w:gridCol w:w="1701"/>
        <w:gridCol w:w="5823"/>
      </w:tblGrid>
      <w:tr w:rsidR="00FF54A9" w:rsidRPr="00945AFE" w14:paraId="640763DB" w14:textId="77777777" w:rsidTr="003A54C8">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421" w:type="dxa"/>
            <w:noWrap/>
            <w:hideMark/>
          </w:tcPr>
          <w:p w14:paraId="4E67C4B5" w14:textId="77777777" w:rsidR="00BB0D21" w:rsidRPr="00945AFE" w:rsidRDefault="00BB0D21" w:rsidP="00BB0D21">
            <w:pPr>
              <w:spacing w:after="0"/>
              <w:jc w:val="center"/>
              <w:rPr>
                <w:rFonts w:eastAsia="Times New Roman" w:cstheme="minorHAnsi"/>
                <w:szCs w:val="20"/>
                <w:lang w:eastAsia="en-AU"/>
              </w:rPr>
            </w:pPr>
            <w:r w:rsidRPr="00945AFE">
              <w:rPr>
                <w:rFonts w:eastAsia="Times New Roman" w:cstheme="minorHAnsi"/>
                <w:szCs w:val="20"/>
                <w:lang w:eastAsia="en-AU"/>
              </w:rPr>
              <w:t>#</w:t>
            </w:r>
          </w:p>
        </w:tc>
        <w:tc>
          <w:tcPr>
            <w:tcW w:w="2835" w:type="dxa"/>
            <w:noWrap/>
            <w:hideMark/>
          </w:tcPr>
          <w:p w14:paraId="7DF23E73" w14:textId="26E6906D" w:rsidR="00BB0D21" w:rsidRPr="00945AFE" w:rsidRDefault="00E72169" w:rsidP="00BB0D21">
            <w:pPr>
              <w:spacing w:after="0"/>
              <w:cnfStyle w:val="100000000000" w:firstRow="1" w:lastRow="0" w:firstColumn="0" w:lastColumn="0" w:oddVBand="0" w:evenVBand="0" w:oddHBand="0" w:evenHBand="0" w:firstRowFirstColumn="0" w:firstRowLastColumn="0" w:lastRowFirstColumn="0" w:lastRowLastColumn="0"/>
              <w:rPr>
                <w:rFonts w:eastAsia="Times New Roman" w:cstheme="minorHAnsi"/>
                <w:szCs w:val="20"/>
                <w:lang w:eastAsia="en-AU"/>
              </w:rPr>
            </w:pPr>
            <w:r>
              <w:rPr>
                <w:rFonts w:eastAsia="Times New Roman" w:cstheme="minorHAnsi"/>
                <w:szCs w:val="20"/>
                <w:lang w:eastAsia="en-AU"/>
              </w:rPr>
              <w:t>Study</w:t>
            </w:r>
          </w:p>
        </w:tc>
        <w:tc>
          <w:tcPr>
            <w:tcW w:w="4252" w:type="dxa"/>
            <w:noWrap/>
            <w:hideMark/>
          </w:tcPr>
          <w:p w14:paraId="5152B4CB" w14:textId="77777777" w:rsidR="00BB0D21" w:rsidRPr="00945AFE" w:rsidRDefault="00BB0D21" w:rsidP="00BB0D2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945AFE">
              <w:rPr>
                <w:rFonts w:eastAsia="Times New Roman" w:cstheme="minorHAnsi"/>
                <w:szCs w:val="20"/>
                <w:lang w:eastAsia="en-AU"/>
              </w:rPr>
              <w:t>Experimental intervention</w:t>
            </w:r>
          </w:p>
        </w:tc>
        <w:tc>
          <w:tcPr>
            <w:tcW w:w="1701" w:type="dxa"/>
            <w:noWrap/>
            <w:hideMark/>
          </w:tcPr>
          <w:p w14:paraId="6CEEA2B0" w14:textId="77777777" w:rsidR="00BB0D21" w:rsidRPr="00945AFE" w:rsidRDefault="00BB0D21" w:rsidP="00BB0D2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945AFE">
              <w:rPr>
                <w:rFonts w:eastAsia="Times New Roman" w:cstheme="minorHAnsi"/>
                <w:szCs w:val="20"/>
                <w:lang w:eastAsia="en-AU"/>
              </w:rPr>
              <w:t>Target condition</w:t>
            </w:r>
          </w:p>
        </w:tc>
        <w:tc>
          <w:tcPr>
            <w:tcW w:w="5823" w:type="dxa"/>
            <w:noWrap/>
            <w:hideMark/>
          </w:tcPr>
          <w:p w14:paraId="19E43D11" w14:textId="00B6564A" w:rsidR="00BB0D21" w:rsidRPr="00945AFE" w:rsidRDefault="00945AFE" w:rsidP="00945AF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945AFE">
              <w:rPr>
                <w:rFonts w:eastAsia="Times New Roman" w:cstheme="minorHAnsi"/>
                <w:szCs w:val="20"/>
                <w:lang w:eastAsia="en-AU"/>
              </w:rPr>
              <w:t xml:space="preserve">Combined intervention details </w:t>
            </w:r>
            <w:r w:rsidR="00BB0D21" w:rsidRPr="00945AFE">
              <w:rPr>
                <w:rFonts w:eastAsia="Times New Roman" w:cstheme="minorHAnsi"/>
                <w:szCs w:val="20"/>
                <w:lang w:eastAsia="en-AU"/>
              </w:rPr>
              <w:t xml:space="preserve">(if </w:t>
            </w:r>
            <w:r w:rsidR="00E34502" w:rsidRPr="00945AFE">
              <w:rPr>
                <w:rFonts w:eastAsia="Times New Roman" w:cstheme="minorHAnsi"/>
                <w:szCs w:val="20"/>
                <w:lang w:eastAsia="en-AU"/>
              </w:rPr>
              <w:t>applicable</w:t>
            </w:r>
            <w:r w:rsidR="00BB0D21" w:rsidRPr="00945AFE">
              <w:rPr>
                <w:rFonts w:eastAsia="Times New Roman" w:cstheme="minorHAnsi"/>
                <w:szCs w:val="20"/>
                <w:lang w:eastAsia="en-AU"/>
              </w:rPr>
              <w:t>)</w:t>
            </w:r>
          </w:p>
        </w:tc>
      </w:tr>
      <w:tr w:rsidR="00FF54A9" w:rsidRPr="00945AFE" w14:paraId="7D46C04D" w14:textId="77777777" w:rsidTr="00F629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5C9528F7" w14:textId="1FCAEA80" w:rsidR="00B06448" w:rsidRPr="00945AFE" w:rsidRDefault="00B06448" w:rsidP="00B06448">
            <w:pPr>
              <w:spacing w:after="0"/>
              <w:jc w:val="center"/>
              <w:rPr>
                <w:rFonts w:eastAsia="Times New Roman" w:cstheme="minorHAnsi"/>
                <w:szCs w:val="20"/>
                <w:lang w:eastAsia="en-AU"/>
              </w:rPr>
            </w:pPr>
            <w:r w:rsidRPr="00945AFE">
              <w:rPr>
                <w:rFonts w:eastAsia="Times New Roman" w:cstheme="minorHAnsi"/>
                <w:szCs w:val="20"/>
                <w:lang w:eastAsia="en-AU"/>
              </w:rPr>
              <w:t>1</w:t>
            </w:r>
          </w:p>
        </w:tc>
        <w:tc>
          <w:tcPr>
            <w:tcW w:w="2835" w:type="dxa"/>
            <w:noWrap/>
          </w:tcPr>
          <w:p w14:paraId="61516B56" w14:textId="2ED6C56A" w:rsidR="00B06448" w:rsidRPr="00945AFE" w:rsidRDefault="00B06448" w:rsidP="00B06448">
            <w:pPr>
              <w:spacing w:after="0"/>
              <w:cnfStyle w:val="000000100000" w:firstRow="0" w:lastRow="0" w:firstColumn="0" w:lastColumn="0" w:oddVBand="0" w:evenVBand="0" w:oddHBand="1" w:evenHBand="0" w:firstRowFirstColumn="0" w:firstRowLastColumn="0" w:lastRowFirstColumn="0" w:lastRowLastColumn="0"/>
              <w:rPr>
                <w:rFonts w:cstheme="minorHAnsi"/>
                <w:bCs/>
                <w:szCs w:val="20"/>
              </w:rPr>
            </w:pPr>
            <w:r w:rsidRPr="00945AFE">
              <w:rPr>
                <w:rFonts w:cstheme="minorHAnsi"/>
                <w:bCs/>
                <w:szCs w:val="20"/>
              </w:rPr>
              <w:t>Masataka (2019)</w:t>
            </w:r>
          </w:p>
        </w:tc>
        <w:tc>
          <w:tcPr>
            <w:tcW w:w="4252" w:type="dxa"/>
            <w:noWrap/>
            <w:vAlign w:val="bottom"/>
          </w:tcPr>
          <w:p w14:paraId="0B8FB9C2" w14:textId="763F7BC3" w:rsidR="00B06448" w:rsidRPr="00B06448" w:rsidRDefault="00B06448" w:rsidP="00B06448">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F62917">
              <w:rPr>
                <w:rFonts w:ascii="Calibri" w:hAnsi="Calibri" w:cs="Calibri"/>
                <w:color w:val="000000"/>
                <w:szCs w:val="20"/>
              </w:rPr>
              <w:t>Cannabidiol (CBD) – oral solution</w:t>
            </w:r>
          </w:p>
        </w:tc>
        <w:tc>
          <w:tcPr>
            <w:tcW w:w="1701" w:type="dxa"/>
            <w:noWrap/>
          </w:tcPr>
          <w:p w14:paraId="23D5F017" w14:textId="08AF6A94" w:rsidR="00B06448" w:rsidRDefault="00B06448" w:rsidP="00B06448">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945AFE">
              <w:rPr>
                <w:rFonts w:ascii="Calibri" w:hAnsi="Calibri" w:cs="Calibri"/>
                <w:bCs/>
                <w:szCs w:val="20"/>
              </w:rPr>
              <w:t>SAD</w:t>
            </w:r>
          </w:p>
        </w:tc>
        <w:tc>
          <w:tcPr>
            <w:tcW w:w="5823" w:type="dxa"/>
            <w:noWrap/>
          </w:tcPr>
          <w:p w14:paraId="61686710" w14:textId="4C9860D8" w:rsidR="00B06448" w:rsidRPr="00945AFE" w:rsidRDefault="00B06448" w:rsidP="00B06448">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945AFE">
              <w:rPr>
                <w:rFonts w:eastAsia="Times New Roman" w:cstheme="minorHAnsi"/>
                <w:szCs w:val="20"/>
                <w:lang w:eastAsia="en-AU"/>
              </w:rPr>
              <w:t>N/A</w:t>
            </w:r>
          </w:p>
        </w:tc>
      </w:tr>
      <w:tr w:rsidR="00FF54A9" w:rsidRPr="00945AFE" w14:paraId="676EEDFB" w14:textId="77777777" w:rsidTr="00F62917">
        <w:trPr>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0BBB668B" w14:textId="5788D8D3" w:rsidR="00B06448" w:rsidRPr="00945AFE" w:rsidRDefault="00B06448" w:rsidP="00B06448">
            <w:pPr>
              <w:spacing w:after="0"/>
              <w:jc w:val="center"/>
              <w:rPr>
                <w:rFonts w:eastAsia="Times New Roman" w:cstheme="minorHAnsi"/>
                <w:szCs w:val="20"/>
                <w:lang w:eastAsia="en-AU"/>
              </w:rPr>
            </w:pPr>
            <w:r w:rsidRPr="00945AFE">
              <w:rPr>
                <w:rFonts w:eastAsia="Times New Roman" w:cstheme="minorHAnsi"/>
                <w:szCs w:val="20"/>
                <w:lang w:eastAsia="en-AU"/>
              </w:rPr>
              <w:t>2</w:t>
            </w:r>
          </w:p>
        </w:tc>
        <w:tc>
          <w:tcPr>
            <w:tcW w:w="2835" w:type="dxa"/>
            <w:noWrap/>
          </w:tcPr>
          <w:p w14:paraId="2F5995F9" w14:textId="6008FAD8" w:rsidR="00B06448" w:rsidRPr="00945AFE" w:rsidRDefault="00B06448" w:rsidP="00B06448">
            <w:pPr>
              <w:spacing w:after="0"/>
              <w:cnfStyle w:val="000000000000" w:firstRow="0" w:lastRow="0" w:firstColumn="0" w:lastColumn="0" w:oddVBand="0" w:evenVBand="0" w:oddHBand="0" w:evenHBand="0" w:firstRowFirstColumn="0" w:firstRowLastColumn="0" w:lastRowFirstColumn="0" w:lastRowLastColumn="0"/>
            </w:pPr>
            <w:r w:rsidRPr="4AB10239">
              <w:t>Kayser et al. (2020)</w:t>
            </w:r>
          </w:p>
        </w:tc>
        <w:tc>
          <w:tcPr>
            <w:tcW w:w="4252" w:type="dxa"/>
            <w:noWrap/>
            <w:vAlign w:val="bottom"/>
          </w:tcPr>
          <w:p w14:paraId="1ADB4322" w14:textId="7C7BE3B1" w:rsidR="00B06448" w:rsidRPr="00B06448" w:rsidRDefault="00B06448" w:rsidP="00B06448">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F62917">
              <w:rPr>
                <w:rFonts w:ascii="Calibri" w:hAnsi="Calibri" w:cs="Calibri"/>
                <w:color w:val="000000"/>
                <w:szCs w:val="20"/>
              </w:rPr>
              <w:t>Dried cannabis (THC</w:t>
            </w:r>
            <w:r w:rsidR="009839F4">
              <w:rPr>
                <w:rFonts w:ascii="Calibri" w:hAnsi="Calibri" w:cs="Calibri"/>
                <w:color w:val="000000"/>
                <w:szCs w:val="20"/>
              </w:rPr>
              <w:t>±</w:t>
            </w:r>
            <w:r w:rsidRPr="00F62917">
              <w:rPr>
                <w:rFonts w:ascii="Calibri" w:hAnsi="Calibri" w:cs="Calibri"/>
                <w:color w:val="000000"/>
                <w:szCs w:val="20"/>
              </w:rPr>
              <w:t xml:space="preserve">CBD) – </w:t>
            </w:r>
            <w:r w:rsidR="00182110">
              <w:rPr>
                <w:rFonts w:ascii="Calibri" w:hAnsi="Calibri" w:cs="Calibri"/>
                <w:color w:val="000000"/>
                <w:szCs w:val="20"/>
              </w:rPr>
              <w:t>smoked</w:t>
            </w:r>
            <w:r w:rsidR="001A3755">
              <w:rPr>
                <w:rFonts w:ascii="Calibri" w:hAnsi="Calibri" w:cs="Calibri"/>
                <w:color w:val="000000"/>
                <w:szCs w:val="20"/>
              </w:rPr>
              <w:t xml:space="preserve"> (cigarettes</w:t>
            </w:r>
            <w:r w:rsidR="00182110">
              <w:rPr>
                <w:rFonts w:ascii="Calibri" w:hAnsi="Calibri" w:cs="Calibri"/>
                <w:color w:val="000000"/>
                <w:szCs w:val="20"/>
              </w:rPr>
              <w:t>)</w:t>
            </w:r>
          </w:p>
        </w:tc>
        <w:tc>
          <w:tcPr>
            <w:tcW w:w="1701" w:type="dxa"/>
            <w:noWrap/>
          </w:tcPr>
          <w:p w14:paraId="68AB2260" w14:textId="7472863C" w:rsidR="00B06448" w:rsidRDefault="00B06448" w:rsidP="00B06448">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bCs/>
                <w:szCs w:val="20"/>
              </w:rPr>
              <w:t>OCD</w:t>
            </w:r>
          </w:p>
        </w:tc>
        <w:tc>
          <w:tcPr>
            <w:tcW w:w="5823" w:type="dxa"/>
            <w:noWrap/>
          </w:tcPr>
          <w:p w14:paraId="0852B178" w14:textId="2C9979A0" w:rsidR="00B06448" w:rsidRPr="00945AFE" w:rsidRDefault="00B06448" w:rsidP="00B06448">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Pr>
                <w:rFonts w:eastAsia="Times New Roman" w:cstheme="minorHAnsi"/>
                <w:szCs w:val="20"/>
                <w:lang w:eastAsia="en-AU"/>
              </w:rPr>
              <w:t>N/A</w:t>
            </w:r>
          </w:p>
        </w:tc>
      </w:tr>
      <w:tr w:rsidR="00FF54A9" w:rsidRPr="00945AFE" w14:paraId="2651AECE" w14:textId="77777777" w:rsidTr="00F629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5F8EAFDE" w14:textId="37F2F8F6" w:rsidR="00B06448" w:rsidRPr="00945AFE" w:rsidRDefault="00B06448" w:rsidP="00B06448">
            <w:pPr>
              <w:spacing w:after="0"/>
              <w:jc w:val="center"/>
              <w:rPr>
                <w:rFonts w:eastAsia="Times New Roman" w:cstheme="minorHAnsi"/>
                <w:szCs w:val="20"/>
                <w:lang w:eastAsia="en-AU"/>
              </w:rPr>
            </w:pPr>
            <w:r w:rsidRPr="00945AFE">
              <w:rPr>
                <w:rFonts w:eastAsia="Times New Roman" w:cstheme="minorHAnsi"/>
                <w:szCs w:val="20"/>
                <w:lang w:eastAsia="en-AU"/>
              </w:rPr>
              <w:t>3</w:t>
            </w:r>
          </w:p>
        </w:tc>
        <w:tc>
          <w:tcPr>
            <w:tcW w:w="2835" w:type="dxa"/>
            <w:noWrap/>
          </w:tcPr>
          <w:p w14:paraId="7FFDC6D7" w14:textId="4926F718" w:rsidR="00B06448" w:rsidRPr="00945AFE" w:rsidRDefault="00B06448" w:rsidP="00B06448">
            <w:pPr>
              <w:spacing w:after="0"/>
              <w:cnfStyle w:val="000000100000" w:firstRow="0" w:lastRow="0" w:firstColumn="0" w:lastColumn="0" w:oddVBand="0" w:evenVBand="0" w:oddHBand="1" w:evenHBand="0" w:firstRowFirstColumn="0" w:firstRowLastColumn="0" w:lastRowFirstColumn="0" w:lastRowLastColumn="0"/>
            </w:pPr>
            <w:r w:rsidRPr="4AB10239">
              <w:t>Schlienz et al. (2018)</w:t>
            </w:r>
          </w:p>
        </w:tc>
        <w:tc>
          <w:tcPr>
            <w:tcW w:w="4252" w:type="dxa"/>
            <w:noWrap/>
            <w:vAlign w:val="bottom"/>
          </w:tcPr>
          <w:p w14:paraId="45C21539" w14:textId="37DB073F" w:rsidR="00B06448" w:rsidRPr="00B06448" w:rsidRDefault="00B06448" w:rsidP="00B06448">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F62917">
              <w:rPr>
                <w:rFonts w:ascii="Calibri" w:hAnsi="Calibri" w:cs="Calibri"/>
                <w:color w:val="000000"/>
                <w:szCs w:val="20"/>
              </w:rPr>
              <w:t>Dronabinol (THC) – oral capsules</w:t>
            </w:r>
          </w:p>
        </w:tc>
        <w:tc>
          <w:tcPr>
            <w:tcW w:w="1701" w:type="dxa"/>
            <w:noWrap/>
          </w:tcPr>
          <w:p w14:paraId="41B513EF" w14:textId="3D8CA5E3" w:rsidR="00B06448" w:rsidRDefault="00B06448" w:rsidP="00B06448">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Pr>
                <w:rFonts w:ascii="Calibri" w:hAnsi="Calibri" w:cs="Calibri"/>
                <w:szCs w:val="20"/>
              </w:rPr>
              <w:t>CUD</w:t>
            </w:r>
          </w:p>
        </w:tc>
        <w:tc>
          <w:tcPr>
            <w:tcW w:w="5823" w:type="dxa"/>
            <w:noWrap/>
          </w:tcPr>
          <w:p w14:paraId="5ACA84B3" w14:textId="381940B8" w:rsidR="00B06448" w:rsidRPr="00945AFE" w:rsidRDefault="00B06448" w:rsidP="00B06448">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945AFE">
              <w:rPr>
                <w:rFonts w:eastAsia="Times New Roman" w:cstheme="minorHAnsi"/>
                <w:szCs w:val="20"/>
                <w:lang w:eastAsia="en-AU"/>
              </w:rPr>
              <w:t>N/A</w:t>
            </w:r>
          </w:p>
        </w:tc>
      </w:tr>
      <w:tr w:rsidR="00FF54A9" w:rsidRPr="00945AFE" w14:paraId="0B15F53F" w14:textId="77777777" w:rsidTr="00F62917">
        <w:trPr>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0BA93B90" w14:textId="30372373" w:rsidR="00B06448" w:rsidRPr="00945AFE" w:rsidRDefault="00B06448" w:rsidP="00B06448">
            <w:pPr>
              <w:spacing w:after="0"/>
              <w:jc w:val="center"/>
              <w:rPr>
                <w:rFonts w:eastAsia="Times New Roman" w:cstheme="minorHAnsi"/>
                <w:szCs w:val="20"/>
                <w:lang w:eastAsia="en-AU"/>
              </w:rPr>
            </w:pPr>
            <w:r>
              <w:rPr>
                <w:rFonts w:eastAsia="Times New Roman" w:cstheme="minorHAnsi"/>
                <w:szCs w:val="20"/>
                <w:lang w:eastAsia="en-AU"/>
              </w:rPr>
              <w:t>4</w:t>
            </w:r>
          </w:p>
        </w:tc>
        <w:tc>
          <w:tcPr>
            <w:tcW w:w="2835" w:type="dxa"/>
            <w:noWrap/>
          </w:tcPr>
          <w:p w14:paraId="765ECB04" w14:textId="159601C8" w:rsidR="00B06448" w:rsidRPr="00945AFE" w:rsidRDefault="00B06448" w:rsidP="00B06448">
            <w:pPr>
              <w:spacing w:after="0"/>
              <w:cnfStyle w:val="000000000000" w:firstRow="0" w:lastRow="0" w:firstColumn="0" w:lastColumn="0" w:oddVBand="0" w:evenVBand="0" w:oddHBand="0" w:evenHBand="0" w:firstRowFirstColumn="0" w:firstRowLastColumn="0" w:lastRowFirstColumn="0" w:lastRowLastColumn="0"/>
            </w:pPr>
            <w:r w:rsidRPr="4AB10239">
              <w:t>Hurd et al. (2019)</w:t>
            </w:r>
          </w:p>
        </w:tc>
        <w:tc>
          <w:tcPr>
            <w:tcW w:w="4252" w:type="dxa"/>
            <w:noWrap/>
            <w:vAlign w:val="bottom"/>
          </w:tcPr>
          <w:p w14:paraId="2D9F5223" w14:textId="68B1BECC" w:rsidR="00B06448" w:rsidRPr="00B06448" w:rsidRDefault="00B06448" w:rsidP="00B06448">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F62917">
              <w:rPr>
                <w:rFonts w:ascii="Calibri" w:hAnsi="Calibri" w:cs="Calibri"/>
                <w:color w:val="000000"/>
                <w:szCs w:val="20"/>
              </w:rPr>
              <w:t>Cannabidiol (CBD) – oral solution</w:t>
            </w:r>
          </w:p>
        </w:tc>
        <w:tc>
          <w:tcPr>
            <w:tcW w:w="1701" w:type="dxa"/>
            <w:noWrap/>
          </w:tcPr>
          <w:p w14:paraId="541EE1F4" w14:textId="7DEEAC8D" w:rsidR="00B06448" w:rsidRDefault="00B06448" w:rsidP="00B06448">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bCs/>
                <w:iCs/>
                <w:szCs w:val="20"/>
              </w:rPr>
              <w:t>HUD</w:t>
            </w:r>
          </w:p>
        </w:tc>
        <w:tc>
          <w:tcPr>
            <w:tcW w:w="5823" w:type="dxa"/>
            <w:noWrap/>
          </w:tcPr>
          <w:p w14:paraId="3FCF344B" w14:textId="2F45A848" w:rsidR="00B06448" w:rsidRPr="00945AFE" w:rsidRDefault="00B06448" w:rsidP="00B06448">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945AFE">
              <w:rPr>
                <w:rFonts w:eastAsia="Times New Roman" w:cstheme="minorHAnsi"/>
                <w:szCs w:val="20"/>
                <w:lang w:eastAsia="en-AU"/>
              </w:rPr>
              <w:t>N/A</w:t>
            </w:r>
          </w:p>
        </w:tc>
      </w:tr>
      <w:tr w:rsidR="00FF54A9" w:rsidRPr="00945AFE" w14:paraId="3065ED81" w14:textId="77777777" w:rsidTr="00F629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24FB0463" w14:textId="18322801" w:rsidR="00B06448" w:rsidRPr="00945AFE" w:rsidRDefault="00B06448" w:rsidP="00B06448">
            <w:pPr>
              <w:spacing w:after="0"/>
              <w:jc w:val="center"/>
              <w:rPr>
                <w:rFonts w:eastAsia="Times New Roman" w:cstheme="minorHAnsi"/>
                <w:szCs w:val="20"/>
                <w:lang w:eastAsia="en-AU"/>
              </w:rPr>
            </w:pPr>
            <w:r w:rsidRPr="00945AFE">
              <w:rPr>
                <w:rFonts w:eastAsia="Times New Roman" w:cstheme="minorHAnsi"/>
                <w:szCs w:val="20"/>
                <w:lang w:eastAsia="en-AU"/>
              </w:rPr>
              <w:t>5</w:t>
            </w:r>
          </w:p>
        </w:tc>
        <w:tc>
          <w:tcPr>
            <w:tcW w:w="2835" w:type="dxa"/>
            <w:noWrap/>
          </w:tcPr>
          <w:p w14:paraId="4CE41C03" w14:textId="4F5039C9" w:rsidR="00B06448" w:rsidRPr="00945AFE" w:rsidRDefault="00B06448" w:rsidP="00B06448">
            <w:pPr>
              <w:spacing w:after="0"/>
              <w:cnfStyle w:val="000000100000" w:firstRow="0" w:lastRow="0" w:firstColumn="0" w:lastColumn="0" w:oddVBand="0" w:evenVBand="0" w:oddHBand="1" w:evenHBand="0" w:firstRowFirstColumn="0" w:firstRowLastColumn="0" w:lastRowFirstColumn="0" w:lastRowLastColumn="0"/>
            </w:pPr>
            <w:r w:rsidRPr="4AB10239">
              <w:t>Hindocha et al. (2018)</w:t>
            </w:r>
          </w:p>
        </w:tc>
        <w:tc>
          <w:tcPr>
            <w:tcW w:w="4252" w:type="dxa"/>
            <w:noWrap/>
            <w:vAlign w:val="bottom"/>
          </w:tcPr>
          <w:p w14:paraId="661374F5" w14:textId="05F179D2" w:rsidR="00B06448" w:rsidRPr="00B06448" w:rsidRDefault="00B06448" w:rsidP="00B06448">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F62917">
              <w:rPr>
                <w:rFonts w:ascii="Calibri" w:hAnsi="Calibri" w:cs="Calibri"/>
                <w:color w:val="000000"/>
                <w:szCs w:val="20"/>
              </w:rPr>
              <w:t>Cannabidiol (CBD) – oral capsules</w:t>
            </w:r>
          </w:p>
        </w:tc>
        <w:tc>
          <w:tcPr>
            <w:tcW w:w="1701" w:type="dxa"/>
            <w:noWrap/>
          </w:tcPr>
          <w:p w14:paraId="137ABAFD" w14:textId="564C963C" w:rsidR="00B06448" w:rsidRDefault="00B06448" w:rsidP="00B06448">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Pr>
                <w:rFonts w:ascii="Calibri" w:hAnsi="Calibri" w:cs="Calibri"/>
                <w:szCs w:val="20"/>
              </w:rPr>
              <w:t>TUD</w:t>
            </w:r>
          </w:p>
        </w:tc>
        <w:tc>
          <w:tcPr>
            <w:tcW w:w="5823" w:type="dxa"/>
            <w:noWrap/>
          </w:tcPr>
          <w:p w14:paraId="66644989" w14:textId="17916186" w:rsidR="00B06448" w:rsidRPr="00945AFE" w:rsidRDefault="00B06448" w:rsidP="00B06448">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945AFE">
              <w:rPr>
                <w:rFonts w:eastAsia="Times New Roman" w:cstheme="minorHAnsi"/>
                <w:szCs w:val="20"/>
                <w:lang w:eastAsia="en-AU"/>
              </w:rPr>
              <w:t>N/A</w:t>
            </w:r>
          </w:p>
        </w:tc>
      </w:tr>
      <w:tr w:rsidR="00FF54A9" w:rsidRPr="00945AFE" w14:paraId="2326E6AC" w14:textId="77777777" w:rsidTr="00F62917">
        <w:trPr>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0A8EA89F" w14:textId="3A2A5669" w:rsidR="00B06448" w:rsidRPr="00945AFE" w:rsidRDefault="00B06448" w:rsidP="00B06448">
            <w:pPr>
              <w:spacing w:after="0"/>
              <w:jc w:val="center"/>
              <w:rPr>
                <w:rFonts w:eastAsia="Times New Roman" w:cstheme="minorHAnsi"/>
                <w:szCs w:val="20"/>
                <w:lang w:eastAsia="en-AU"/>
              </w:rPr>
            </w:pPr>
            <w:r w:rsidRPr="00945AFE">
              <w:rPr>
                <w:rFonts w:eastAsia="Times New Roman" w:cstheme="minorHAnsi"/>
                <w:szCs w:val="20"/>
                <w:lang w:eastAsia="en-AU"/>
              </w:rPr>
              <w:t>6</w:t>
            </w:r>
          </w:p>
        </w:tc>
        <w:tc>
          <w:tcPr>
            <w:tcW w:w="2835" w:type="dxa"/>
            <w:noWrap/>
          </w:tcPr>
          <w:p w14:paraId="1DE789FF" w14:textId="2875FCBB" w:rsidR="00B06448" w:rsidRPr="00945AFE" w:rsidRDefault="00B06448" w:rsidP="00B06448">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4AB10239">
              <w:t>Freeman et al. (2020)</w:t>
            </w:r>
          </w:p>
        </w:tc>
        <w:tc>
          <w:tcPr>
            <w:tcW w:w="4252" w:type="dxa"/>
            <w:noWrap/>
            <w:vAlign w:val="bottom"/>
          </w:tcPr>
          <w:p w14:paraId="56A5B1E2" w14:textId="1BDB1B5F" w:rsidR="00B06448" w:rsidRPr="00B06448" w:rsidRDefault="00B06448" w:rsidP="00B06448">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F62917">
              <w:rPr>
                <w:rFonts w:ascii="Calibri" w:hAnsi="Calibri" w:cs="Calibri"/>
                <w:color w:val="000000"/>
                <w:szCs w:val="20"/>
              </w:rPr>
              <w:t>Cannabidiol (CBD) – oral capsules</w:t>
            </w:r>
          </w:p>
        </w:tc>
        <w:tc>
          <w:tcPr>
            <w:tcW w:w="1701" w:type="dxa"/>
            <w:noWrap/>
          </w:tcPr>
          <w:p w14:paraId="2DA6186C" w14:textId="6E107EEB" w:rsidR="00B06448" w:rsidRPr="00945AFE" w:rsidRDefault="00B06448" w:rsidP="00B0644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Pr>
                <w:rFonts w:ascii="Calibri" w:hAnsi="Calibri" w:cs="Calibri"/>
                <w:szCs w:val="20"/>
              </w:rPr>
              <w:t>CUD</w:t>
            </w:r>
          </w:p>
        </w:tc>
        <w:tc>
          <w:tcPr>
            <w:tcW w:w="5823" w:type="dxa"/>
            <w:noWrap/>
          </w:tcPr>
          <w:p w14:paraId="5803C199" w14:textId="6B83D4C2" w:rsidR="00B06448" w:rsidRPr="00945AFE" w:rsidRDefault="00B06448" w:rsidP="00B06448">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945AFE">
              <w:rPr>
                <w:rFonts w:eastAsia="Times New Roman" w:cstheme="minorHAnsi"/>
                <w:szCs w:val="20"/>
                <w:lang w:eastAsia="en-AU"/>
              </w:rPr>
              <w:t>Motivational interviewing</w:t>
            </w:r>
          </w:p>
        </w:tc>
      </w:tr>
      <w:tr w:rsidR="00FF54A9" w:rsidRPr="00945AFE" w14:paraId="5CC19B6D" w14:textId="77777777" w:rsidTr="00F629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266C1107" w14:textId="485A48A2" w:rsidR="00B06448" w:rsidRPr="00945AFE" w:rsidRDefault="00B06448" w:rsidP="00B06448">
            <w:pPr>
              <w:spacing w:after="0"/>
              <w:jc w:val="center"/>
              <w:rPr>
                <w:rFonts w:eastAsia="Times New Roman" w:cstheme="minorHAnsi"/>
                <w:szCs w:val="20"/>
                <w:lang w:eastAsia="en-AU"/>
              </w:rPr>
            </w:pPr>
            <w:r w:rsidRPr="00945AFE">
              <w:rPr>
                <w:rFonts w:eastAsia="Times New Roman" w:cstheme="minorHAnsi"/>
                <w:szCs w:val="20"/>
                <w:lang w:eastAsia="en-AU"/>
              </w:rPr>
              <w:t>7</w:t>
            </w:r>
          </w:p>
        </w:tc>
        <w:tc>
          <w:tcPr>
            <w:tcW w:w="2835" w:type="dxa"/>
            <w:noWrap/>
          </w:tcPr>
          <w:p w14:paraId="1AD60A65" w14:textId="1C66C089" w:rsidR="00B06448" w:rsidRPr="00945AFE" w:rsidRDefault="00B06448" w:rsidP="00B06448">
            <w:pPr>
              <w:spacing w:after="0"/>
              <w:cnfStyle w:val="000000100000" w:firstRow="0" w:lastRow="0" w:firstColumn="0" w:lastColumn="0" w:oddVBand="0" w:evenVBand="0" w:oddHBand="1" w:evenHBand="0" w:firstRowFirstColumn="0" w:firstRowLastColumn="0" w:lastRowFirstColumn="0" w:lastRowLastColumn="0"/>
              <w:rPr>
                <w:rFonts w:eastAsia="Times New Roman"/>
                <w:lang w:eastAsia="en-AU"/>
              </w:rPr>
            </w:pPr>
            <w:r w:rsidRPr="4AB10239">
              <w:t>Lintzeris et al. (2019)</w:t>
            </w:r>
          </w:p>
        </w:tc>
        <w:tc>
          <w:tcPr>
            <w:tcW w:w="4252" w:type="dxa"/>
            <w:noWrap/>
            <w:vAlign w:val="bottom"/>
          </w:tcPr>
          <w:p w14:paraId="205977CB" w14:textId="3FB5DA30" w:rsidR="00B06448" w:rsidRPr="00B06448" w:rsidRDefault="00B06448" w:rsidP="00B06448">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F62917">
              <w:rPr>
                <w:rFonts w:ascii="Calibri" w:hAnsi="Calibri" w:cs="Calibri"/>
                <w:color w:val="000000"/>
                <w:szCs w:val="20"/>
              </w:rPr>
              <w:t>Nabiximols (THC+CBD) – oromucosal spray</w:t>
            </w:r>
          </w:p>
        </w:tc>
        <w:tc>
          <w:tcPr>
            <w:tcW w:w="1701" w:type="dxa"/>
            <w:noWrap/>
          </w:tcPr>
          <w:p w14:paraId="23557BF1" w14:textId="6E83F5E0" w:rsidR="00B06448" w:rsidRPr="00945AFE" w:rsidRDefault="00B06448" w:rsidP="00B0644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Pr>
                <w:rFonts w:ascii="Calibri" w:hAnsi="Calibri" w:cs="Calibri"/>
                <w:szCs w:val="20"/>
              </w:rPr>
              <w:t>CUD</w:t>
            </w:r>
          </w:p>
        </w:tc>
        <w:tc>
          <w:tcPr>
            <w:tcW w:w="5823" w:type="dxa"/>
            <w:noWrap/>
          </w:tcPr>
          <w:p w14:paraId="2180942F" w14:textId="7634A7AC" w:rsidR="00B06448" w:rsidRPr="00945AFE" w:rsidRDefault="00B06448" w:rsidP="00B06448">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945AFE">
              <w:rPr>
                <w:rFonts w:eastAsia="Times New Roman" w:cstheme="minorHAnsi"/>
                <w:szCs w:val="20"/>
                <w:lang w:eastAsia="en-AU"/>
              </w:rPr>
              <w:t>CBT-based counselling (individual)</w:t>
            </w:r>
          </w:p>
        </w:tc>
      </w:tr>
      <w:tr w:rsidR="00FF54A9" w:rsidRPr="00945AFE" w14:paraId="42F58B4C" w14:textId="77777777" w:rsidTr="00F62917">
        <w:trPr>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0A7481F6" w14:textId="2A292C0F" w:rsidR="00B06448" w:rsidRPr="00945AFE" w:rsidRDefault="00B06448" w:rsidP="00B06448">
            <w:pPr>
              <w:spacing w:after="0"/>
              <w:jc w:val="center"/>
              <w:rPr>
                <w:rFonts w:eastAsia="Times New Roman" w:cstheme="minorHAnsi"/>
                <w:szCs w:val="20"/>
                <w:lang w:eastAsia="en-AU"/>
              </w:rPr>
            </w:pPr>
            <w:r w:rsidRPr="00945AFE">
              <w:rPr>
                <w:rFonts w:eastAsia="Times New Roman" w:cstheme="minorHAnsi"/>
                <w:szCs w:val="20"/>
                <w:lang w:eastAsia="en-AU"/>
              </w:rPr>
              <w:t>8</w:t>
            </w:r>
          </w:p>
        </w:tc>
        <w:tc>
          <w:tcPr>
            <w:tcW w:w="2835" w:type="dxa"/>
            <w:noWrap/>
          </w:tcPr>
          <w:p w14:paraId="32AA7A48" w14:textId="7A748E32" w:rsidR="00B06448" w:rsidRPr="00945AFE" w:rsidRDefault="00B06448" w:rsidP="00B06448">
            <w:pPr>
              <w:spacing w:after="0"/>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4AB10239">
              <w:t>Trigo et al. (2018)</w:t>
            </w:r>
          </w:p>
        </w:tc>
        <w:tc>
          <w:tcPr>
            <w:tcW w:w="4252" w:type="dxa"/>
            <w:noWrap/>
          </w:tcPr>
          <w:p w14:paraId="5121F3AC" w14:textId="3E8032A3" w:rsidR="00B06448" w:rsidRPr="00B06448" w:rsidRDefault="00B06448" w:rsidP="00FE4D95">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F62917">
              <w:rPr>
                <w:rFonts w:ascii="Calibri" w:hAnsi="Calibri" w:cs="Calibri"/>
                <w:color w:val="000000"/>
                <w:szCs w:val="20"/>
              </w:rPr>
              <w:t>Nabiximols (THC+CBD) – oromucosal spray</w:t>
            </w:r>
          </w:p>
        </w:tc>
        <w:tc>
          <w:tcPr>
            <w:tcW w:w="1701" w:type="dxa"/>
            <w:noWrap/>
          </w:tcPr>
          <w:p w14:paraId="1E8DED52" w14:textId="3A2EEA64" w:rsidR="00B06448" w:rsidRPr="00945AFE" w:rsidRDefault="00B06448" w:rsidP="00B0644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Pr>
                <w:rFonts w:ascii="Calibri" w:hAnsi="Calibri" w:cs="Calibri"/>
                <w:bCs/>
                <w:szCs w:val="20"/>
              </w:rPr>
              <w:t>CUD</w:t>
            </w:r>
          </w:p>
        </w:tc>
        <w:tc>
          <w:tcPr>
            <w:tcW w:w="5823" w:type="dxa"/>
            <w:noWrap/>
          </w:tcPr>
          <w:p w14:paraId="45D6227A" w14:textId="6B9DB705" w:rsidR="00B06448" w:rsidRPr="00945AFE" w:rsidRDefault="00B06448" w:rsidP="00B06448">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945AFE">
              <w:rPr>
                <w:rFonts w:eastAsia="Times New Roman" w:cstheme="minorHAnsi"/>
                <w:szCs w:val="20"/>
                <w:lang w:eastAsia="en-AU"/>
              </w:rPr>
              <w:t xml:space="preserve">Motivational </w:t>
            </w:r>
            <w:r w:rsidR="00FE1A41">
              <w:rPr>
                <w:rFonts w:eastAsia="Times New Roman" w:cstheme="minorHAnsi"/>
                <w:szCs w:val="20"/>
                <w:lang w:eastAsia="en-AU"/>
              </w:rPr>
              <w:t>e</w:t>
            </w:r>
            <w:r w:rsidRPr="00945AFE">
              <w:rPr>
                <w:rFonts w:eastAsia="Times New Roman" w:cstheme="minorHAnsi"/>
                <w:szCs w:val="20"/>
                <w:lang w:eastAsia="en-AU"/>
              </w:rPr>
              <w:t xml:space="preserve">nhancement </w:t>
            </w:r>
            <w:r w:rsidR="00FE1A41">
              <w:rPr>
                <w:rFonts w:eastAsia="Times New Roman" w:cstheme="minorHAnsi"/>
                <w:szCs w:val="20"/>
                <w:lang w:eastAsia="en-AU"/>
              </w:rPr>
              <w:t>t</w:t>
            </w:r>
            <w:r w:rsidRPr="00945AFE">
              <w:rPr>
                <w:rFonts w:eastAsia="Times New Roman" w:cstheme="minorHAnsi"/>
                <w:szCs w:val="20"/>
                <w:lang w:eastAsia="en-AU"/>
              </w:rPr>
              <w:t xml:space="preserve">herapy and </w:t>
            </w:r>
            <w:r w:rsidR="00FE1A41">
              <w:rPr>
                <w:rFonts w:eastAsia="Times New Roman" w:cstheme="minorHAnsi"/>
                <w:szCs w:val="20"/>
                <w:lang w:eastAsia="en-AU"/>
              </w:rPr>
              <w:t>c</w:t>
            </w:r>
            <w:r w:rsidRPr="00945AFE">
              <w:rPr>
                <w:rFonts w:eastAsia="Times New Roman" w:cstheme="minorHAnsi"/>
                <w:szCs w:val="20"/>
                <w:lang w:eastAsia="en-AU"/>
              </w:rPr>
              <w:t xml:space="preserve">ognitive </w:t>
            </w:r>
            <w:r w:rsidR="00FE1A41">
              <w:rPr>
                <w:rFonts w:eastAsia="Times New Roman" w:cstheme="minorHAnsi"/>
                <w:szCs w:val="20"/>
                <w:lang w:eastAsia="en-AU"/>
              </w:rPr>
              <w:t>b</w:t>
            </w:r>
            <w:r w:rsidRPr="00945AFE">
              <w:rPr>
                <w:rFonts w:eastAsia="Times New Roman" w:cstheme="minorHAnsi"/>
                <w:szCs w:val="20"/>
                <w:lang w:eastAsia="en-AU"/>
              </w:rPr>
              <w:t xml:space="preserve">ehavioural </w:t>
            </w:r>
            <w:r w:rsidR="00FE1A41">
              <w:rPr>
                <w:rFonts w:eastAsia="Times New Roman" w:cstheme="minorHAnsi"/>
                <w:szCs w:val="20"/>
                <w:lang w:eastAsia="en-AU"/>
              </w:rPr>
              <w:t>t</w:t>
            </w:r>
            <w:r w:rsidRPr="00945AFE">
              <w:rPr>
                <w:rFonts w:eastAsia="Times New Roman" w:cstheme="minorHAnsi"/>
                <w:szCs w:val="20"/>
                <w:lang w:eastAsia="en-AU"/>
              </w:rPr>
              <w:t>herapy (MET/CBT)</w:t>
            </w:r>
          </w:p>
        </w:tc>
      </w:tr>
      <w:tr w:rsidR="00FF54A9" w:rsidRPr="00945AFE" w14:paraId="45EA0415" w14:textId="77777777" w:rsidTr="00F629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518082E0" w14:textId="7DE92E48" w:rsidR="00B06448" w:rsidRDefault="00B06448" w:rsidP="00B06448">
            <w:pPr>
              <w:spacing w:after="0"/>
              <w:jc w:val="center"/>
              <w:rPr>
                <w:rFonts w:eastAsia="Times New Roman" w:cstheme="minorHAnsi"/>
                <w:szCs w:val="20"/>
                <w:lang w:eastAsia="en-AU"/>
              </w:rPr>
            </w:pPr>
            <w:r w:rsidRPr="00945AFE">
              <w:rPr>
                <w:rFonts w:eastAsia="Times New Roman" w:cstheme="minorHAnsi"/>
                <w:szCs w:val="20"/>
                <w:lang w:eastAsia="en-AU"/>
              </w:rPr>
              <w:t>9</w:t>
            </w:r>
          </w:p>
        </w:tc>
        <w:tc>
          <w:tcPr>
            <w:tcW w:w="2835" w:type="dxa"/>
            <w:noWrap/>
          </w:tcPr>
          <w:p w14:paraId="4A299F38" w14:textId="13694B15" w:rsidR="00B06448" w:rsidRDefault="00B06448" w:rsidP="00B06448">
            <w:pPr>
              <w:spacing w:after="0"/>
              <w:cnfStyle w:val="000000100000" w:firstRow="0" w:lastRow="0" w:firstColumn="0" w:lastColumn="0" w:oddVBand="0" w:evenVBand="0" w:oddHBand="1" w:evenHBand="0" w:firstRowFirstColumn="0" w:firstRowLastColumn="0" w:lastRowFirstColumn="0" w:lastRowLastColumn="0"/>
            </w:pPr>
            <w:r w:rsidRPr="4AB10239">
              <w:t>Hill et al. (2017)</w:t>
            </w:r>
          </w:p>
        </w:tc>
        <w:tc>
          <w:tcPr>
            <w:tcW w:w="4252" w:type="dxa"/>
            <w:noWrap/>
            <w:vAlign w:val="bottom"/>
          </w:tcPr>
          <w:p w14:paraId="39CE0B00" w14:textId="1C831E40" w:rsidR="00B06448" w:rsidRPr="00B06448" w:rsidRDefault="00B06448" w:rsidP="00B06448">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bCs/>
                <w:szCs w:val="20"/>
              </w:rPr>
            </w:pPr>
            <w:r w:rsidRPr="00F62917">
              <w:rPr>
                <w:rFonts w:ascii="Calibri" w:hAnsi="Calibri" w:cs="Calibri"/>
                <w:color w:val="000000"/>
                <w:szCs w:val="20"/>
              </w:rPr>
              <w:t>Nabilone (THC) – oral capsules</w:t>
            </w:r>
          </w:p>
        </w:tc>
        <w:tc>
          <w:tcPr>
            <w:tcW w:w="1701" w:type="dxa"/>
            <w:noWrap/>
          </w:tcPr>
          <w:p w14:paraId="3088C8CE" w14:textId="1730805E" w:rsidR="00B06448" w:rsidRDefault="00B06448" w:rsidP="00B06448">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Cs w:val="20"/>
              </w:rPr>
            </w:pPr>
            <w:r w:rsidRPr="00945AFE">
              <w:rPr>
                <w:rFonts w:ascii="Calibri" w:hAnsi="Calibri" w:cs="Calibri"/>
                <w:szCs w:val="20"/>
              </w:rPr>
              <w:t>C</w:t>
            </w:r>
            <w:r>
              <w:rPr>
                <w:rFonts w:ascii="Calibri" w:hAnsi="Calibri" w:cs="Calibri"/>
                <w:szCs w:val="20"/>
              </w:rPr>
              <w:t>UD</w:t>
            </w:r>
          </w:p>
        </w:tc>
        <w:tc>
          <w:tcPr>
            <w:tcW w:w="5823" w:type="dxa"/>
            <w:noWrap/>
          </w:tcPr>
          <w:p w14:paraId="0A8C5D75" w14:textId="538F9EA8" w:rsidR="00B06448" w:rsidRDefault="00B06448" w:rsidP="00B06448">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945AFE">
              <w:rPr>
                <w:rFonts w:cstheme="minorHAnsi"/>
                <w:szCs w:val="20"/>
              </w:rPr>
              <w:t xml:space="preserve">Physician-guided </w:t>
            </w:r>
            <w:r w:rsidR="00FE1A41">
              <w:rPr>
                <w:rFonts w:cstheme="minorHAnsi"/>
                <w:szCs w:val="20"/>
              </w:rPr>
              <w:t>m</w:t>
            </w:r>
            <w:r w:rsidRPr="00945AFE">
              <w:rPr>
                <w:rFonts w:cstheme="minorHAnsi"/>
                <w:szCs w:val="20"/>
              </w:rPr>
              <w:t xml:space="preserve">edical </w:t>
            </w:r>
            <w:r w:rsidR="00FE1A41">
              <w:rPr>
                <w:rFonts w:cstheme="minorHAnsi"/>
                <w:szCs w:val="20"/>
              </w:rPr>
              <w:t>m</w:t>
            </w:r>
            <w:r w:rsidRPr="00945AFE">
              <w:rPr>
                <w:rFonts w:cstheme="minorHAnsi"/>
                <w:szCs w:val="20"/>
              </w:rPr>
              <w:t>anagement (MM)</w:t>
            </w:r>
          </w:p>
        </w:tc>
      </w:tr>
      <w:tr w:rsidR="00FF54A9" w:rsidRPr="00945AFE" w14:paraId="3B885066" w14:textId="77777777" w:rsidTr="00F62917">
        <w:trPr>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07389DD3" w14:textId="4CE07C89" w:rsidR="00B06448" w:rsidRDefault="00B06448" w:rsidP="00B06448">
            <w:pPr>
              <w:spacing w:after="0"/>
              <w:jc w:val="center"/>
              <w:rPr>
                <w:rFonts w:eastAsia="Times New Roman" w:cstheme="minorHAnsi"/>
                <w:szCs w:val="20"/>
                <w:lang w:eastAsia="en-AU"/>
              </w:rPr>
            </w:pPr>
            <w:r w:rsidRPr="00945AFE">
              <w:rPr>
                <w:rFonts w:eastAsia="Times New Roman" w:cstheme="minorHAnsi"/>
                <w:szCs w:val="20"/>
                <w:lang w:eastAsia="en-AU"/>
              </w:rPr>
              <w:t>10</w:t>
            </w:r>
          </w:p>
        </w:tc>
        <w:tc>
          <w:tcPr>
            <w:tcW w:w="2835" w:type="dxa"/>
            <w:noWrap/>
          </w:tcPr>
          <w:p w14:paraId="220B501E" w14:textId="75229E64" w:rsidR="00B06448" w:rsidRDefault="00B06448" w:rsidP="00B06448">
            <w:pPr>
              <w:spacing w:after="0"/>
              <w:cnfStyle w:val="000000000000" w:firstRow="0" w:lastRow="0" w:firstColumn="0" w:lastColumn="0" w:oddVBand="0" w:evenVBand="0" w:oddHBand="0" w:evenHBand="0" w:firstRowFirstColumn="0" w:firstRowLastColumn="0" w:lastRowFirstColumn="0" w:lastRowLastColumn="0"/>
            </w:pPr>
            <w:r w:rsidRPr="4AB10239">
              <w:t>Meneses-Gaya et al. (2021)</w:t>
            </w:r>
          </w:p>
        </w:tc>
        <w:tc>
          <w:tcPr>
            <w:tcW w:w="4252" w:type="dxa"/>
            <w:noWrap/>
            <w:vAlign w:val="bottom"/>
          </w:tcPr>
          <w:p w14:paraId="270D45AC" w14:textId="47C666E0" w:rsidR="00B06448" w:rsidRPr="00B06448" w:rsidRDefault="00B06448" w:rsidP="00B06448">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szCs w:val="20"/>
              </w:rPr>
            </w:pPr>
            <w:r w:rsidRPr="00F62917">
              <w:rPr>
                <w:rFonts w:ascii="Calibri" w:hAnsi="Calibri" w:cs="Calibri"/>
                <w:color w:val="000000"/>
                <w:szCs w:val="20"/>
              </w:rPr>
              <w:t>Cannabidiol (CBD) – oral capsules</w:t>
            </w:r>
          </w:p>
        </w:tc>
        <w:tc>
          <w:tcPr>
            <w:tcW w:w="1701" w:type="dxa"/>
            <w:noWrap/>
          </w:tcPr>
          <w:p w14:paraId="4336A8DB" w14:textId="5465DB4A" w:rsidR="00B06448" w:rsidRDefault="00B06448" w:rsidP="00B06448">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Cs w:val="20"/>
              </w:rPr>
            </w:pPr>
            <w:r>
              <w:rPr>
                <w:rFonts w:ascii="Calibri" w:hAnsi="Calibri" w:cs="Calibri"/>
                <w:bCs/>
                <w:szCs w:val="20"/>
              </w:rPr>
              <w:t>CocUD</w:t>
            </w:r>
          </w:p>
        </w:tc>
        <w:tc>
          <w:tcPr>
            <w:tcW w:w="5823" w:type="dxa"/>
            <w:noWrap/>
          </w:tcPr>
          <w:p w14:paraId="22F8BD71" w14:textId="3A806135" w:rsidR="00B06448" w:rsidRDefault="00B06448" w:rsidP="00B06448">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945AFE">
              <w:rPr>
                <w:rFonts w:eastAsia="Times New Roman" w:cstheme="minorHAnsi"/>
                <w:szCs w:val="20"/>
                <w:lang w:eastAsia="en-AU"/>
              </w:rPr>
              <w:t>Psychotherapy (group)</w:t>
            </w:r>
          </w:p>
        </w:tc>
      </w:tr>
      <w:tr w:rsidR="00FF54A9" w:rsidRPr="00945AFE" w14:paraId="23E7564B" w14:textId="77777777" w:rsidTr="00F629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4855EDE6" w14:textId="05D112D9" w:rsidR="00B06448" w:rsidRPr="00945AFE" w:rsidRDefault="00B06448" w:rsidP="00B06448">
            <w:pPr>
              <w:spacing w:after="0"/>
              <w:jc w:val="center"/>
              <w:rPr>
                <w:rFonts w:eastAsia="Times New Roman" w:cstheme="minorHAnsi"/>
                <w:szCs w:val="20"/>
                <w:lang w:eastAsia="en-AU"/>
              </w:rPr>
            </w:pPr>
            <w:r>
              <w:rPr>
                <w:rFonts w:eastAsia="Times New Roman" w:cstheme="minorHAnsi"/>
                <w:szCs w:val="20"/>
                <w:lang w:eastAsia="en-AU"/>
              </w:rPr>
              <w:t>11</w:t>
            </w:r>
          </w:p>
        </w:tc>
        <w:tc>
          <w:tcPr>
            <w:tcW w:w="2835" w:type="dxa"/>
            <w:noWrap/>
          </w:tcPr>
          <w:p w14:paraId="23946065" w14:textId="08199A0E" w:rsidR="00B06448" w:rsidRPr="00945AFE" w:rsidRDefault="00B06448" w:rsidP="00B06448">
            <w:pPr>
              <w:spacing w:after="0"/>
              <w:cnfStyle w:val="000000100000" w:firstRow="0" w:lastRow="0" w:firstColumn="0" w:lastColumn="0" w:oddVBand="0" w:evenVBand="0" w:oddHBand="1" w:evenHBand="0" w:firstRowFirstColumn="0" w:firstRowLastColumn="0" w:lastRowFirstColumn="0" w:lastRowLastColumn="0"/>
            </w:pPr>
            <w:r w:rsidRPr="4AB10239">
              <w:t>Mongeau-Pérusse et al. (2021)</w:t>
            </w:r>
          </w:p>
        </w:tc>
        <w:tc>
          <w:tcPr>
            <w:tcW w:w="4252" w:type="dxa"/>
            <w:noWrap/>
            <w:vAlign w:val="bottom"/>
          </w:tcPr>
          <w:p w14:paraId="0E42B798" w14:textId="21658308" w:rsidR="00B06448" w:rsidRPr="00B06448" w:rsidRDefault="00B06448" w:rsidP="00B06448">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bCs/>
                <w:szCs w:val="20"/>
              </w:rPr>
            </w:pPr>
            <w:r w:rsidRPr="00F62917">
              <w:rPr>
                <w:rFonts w:ascii="Calibri" w:hAnsi="Calibri" w:cs="Calibri"/>
                <w:color w:val="000000"/>
                <w:szCs w:val="20"/>
              </w:rPr>
              <w:t>Cannabidiol (CBD) – oral solution</w:t>
            </w:r>
          </w:p>
        </w:tc>
        <w:tc>
          <w:tcPr>
            <w:tcW w:w="1701" w:type="dxa"/>
            <w:noWrap/>
          </w:tcPr>
          <w:p w14:paraId="3089FED6" w14:textId="42ABEF0B" w:rsidR="00B06448" w:rsidRDefault="00B06448" w:rsidP="00B06448">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Cs w:val="20"/>
              </w:rPr>
            </w:pPr>
            <w:r>
              <w:rPr>
                <w:rFonts w:ascii="Calibri" w:hAnsi="Calibri" w:cs="Calibri"/>
                <w:bCs/>
                <w:szCs w:val="20"/>
              </w:rPr>
              <w:t>CocUD</w:t>
            </w:r>
          </w:p>
        </w:tc>
        <w:tc>
          <w:tcPr>
            <w:tcW w:w="5823" w:type="dxa"/>
            <w:noWrap/>
          </w:tcPr>
          <w:p w14:paraId="39022F8F" w14:textId="2264DBF1" w:rsidR="00B06448" w:rsidRPr="00945AFE" w:rsidRDefault="00B06448" w:rsidP="00B06448">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945AFE">
              <w:rPr>
                <w:rFonts w:eastAsia="Times New Roman" w:cstheme="minorHAnsi"/>
                <w:szCs w:val="20"/>
                <w:lang w:eastAsia="en-AU"/>
              </w:rPr>
              <w:t>Psychoeducation (group)</w:t>
            </w:r>
          </w:p>
        </w:tc>
      </w:tr>
      <w:tr w:rsidR="00FF54A9" w:rsidRPr="00945AFE" w14:paraId="3927E369" w14:textId="77777777" w:rsidTr="00F62917">
        <w:trPr>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21BB6383" w14:textId="428CC05D" w:rsidR="00B06448" w:rsidRDefault="00B06448" w:rsidP="00B06448">
            <w:pPr>
              <w:spacing w:after="0"/>
              <w:jc w:val="center"/>
              <w:rPr>
                <w:rFonts w:eastAsia="Times New Roman" w:cstheme="minorHAnsi"/>
                <w:szCs w:val="20"/>
                <w:lang w:eastAsia="en-AU"/>
              </w:rPr>
            </w:pPr>
            <w:r>
              <w:rPr>
                <w:rFonts w:eastAsia="Times New Roman" w:cstheme="minorHAnsi"/>
                <w:szCs w:val="20"/>
                <w:lang w:eastAsia="en-AU"/>
              </w:rPr>
              <w:t>12</w:t>
            </w:r>
          </w:p>
        </w:tc>
        <w:tc>
          <w:tcPr>
            <w:tcW w:w="2835" w:type="dxa"/>
            <w:noWrap/>
          </w:tcPr>
          <w:p w14:paraId="2CE5635F" w14:textId="3838E839" w:rsidR="00B06448" w:rsidRPr="00945AFE" w:rsidRDefault="00B06448" w:rsidP="00B06448">
            <w:pPr>
              <w:spacing w:after="0"/>
              <w:cnfStyle w:val="000000000000" w:firstRow="0" w:lastRow="0" w:firstColumn="0" w:lastColumn="0" w:oddVBand="0" w:evenVBand="0" w:oddHBand="0" w:evenHBand="0" w:firstRowFirstColumn="0" w:firstRowLastColumn="0" w:lastRowFirstColumn="0" w:lastRowLastColumn="0"/>
            </w:pPr>
            <w:r w:rsidRPr="4AB10239">
              <w:t>Bonn-Miller et al. (2021)</w:t>
            </w:r>
          </w:p>
        </w:tc>
        <w:tc>
          <w:tcPr>
            <w:tcW w:w="4252" w:type="dxa"/>
            <w:noWrap/>
            <w:vAlign w:val="bottom"/>
          </w:tcPr>
          <w:p w14:paraId="7721F1A0" w14:textId="4E6093B6" w:rsidR="00B06448" w:rsidRPr="00B06448" w:rsidRDefault="00B06448" w:rsidP="00B06448">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szCs w:val="20"/>
              </w:rPr>
            </w:pPr>
            <w:r w:rsidRPr="00F62917">
              <w:rPr>
                <w:rFonts w:ascii="Calibri" w:hAnsi="Calibri" w:cs="Calibri"/>
                <w:color w:val="000000"/>
                <w:szCs w:val="20"/>
              </w:rPr>
              <w:t>Dried cannabis (THC</w:t>
            </w:r>
            <w:r w:rsidR="0001116F">
              <w:rPr>
                <w:rFonts w:ascii="Calibri" w:hAnsi="Calibri" w:cs="Calibri"/>
                <w:color w:val="000000"/>
                <w:szCs w:val="20"/>
              </w:rPr>
              <w:t>±</w:t>
            </w:r>
            <w:r w:rsidRPr="00F62917">
              <w:rPr>
                <w:rFonts w:ascii="Calibri" w:hAnsi="Calibri" w:cs="Calibri"/>
                <w:color w:val="000000"/>
                <w:szCs w:val="20"/>
              </w:rPr>
              <w:t xml:space="preserve">CBD) – smoked </w:t>
            </w:r>
            <w:r w:rsidR="001A3755">
              <w:rPr>
                <w:rFonts w:ascii="Calibri" w:hAnsi="Calibri" w:cs="Calibri"/>
                <w:color w:val="000000"/>
                <w:szCs w:val="20"/>
              </w:rPr>
              <w:t>(metal pipe)</w:t>
            </w:r>
          </w:p>
        </w:tc>
        <w:tc>
          <w:tcPr>
            <w:tcW w:w="1701" w:type="dxa"/>
            <w:noWrap/>
          </w:tcPr>
          <w:p w14:paraId="6C3F7737" w14:textId="3FEEFD5A" w:rsidR="00B06448" w:rsidRDefault="00B06448" w:rsidP="00B06448">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Cs w:val="20"/>
              </w:rPr>
            </w:pPr>
            <w:r>
              <w:rPr>
                <w:rFonts w:ascii="Calibri" w:hAnsi="Calibri" w:cs="Calibri"/>
                <w:bCs/>
                <w:szCs w:val="20"/>
              </w:rPr>
              <w:t>PTSD</w:t>
            </w:r>
          </w:p>
        </w:tc>
        <w:tc>
          <w:tcPr>
            <w:tcW w:w="5823" w:type="dxa"/>
            <w:noWrap/>
          </w:tcPr>
          <w:p w14:paraId="59CD6EFE" w14:textId="497A2377" w:rsidR="00B06448" w:rsidRPr="00945AFE" w:rsidRDefault="00B06448" w:rsidP="00B06448">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Pr>
                <w:rFonts w:eastAsia="Times New Roman" w:cstheme="minorHAnsi"/>
                <w:szCs w:val="20"/>
                <w:lang w:eastAsia="en-AU"/>
              </w:rPr>
              <w:t>N/A</w:t>
            </w:r>
          </w:p>
        </w:tc>
      </w:tr>
    </w:tbl>
    <w:p w14:paraId="3D917B09" w14:textId="54FCB68B" w:rsidR="00DA71BD" w:rsidRPr="00E04238" w:rsidRDefault="00E34502" w:rsidP="00DA71BD">
      <w:r w:rsidRPr="009B4D43">
        <w:t>Notes: N/A = Not applicable.</w:t>
      </w:r>
      <w:r w:rsidR="00DA71BD">
        <w:t xml:space="preserve"> CBD = </w:t>
      </w:r>
      <w:r w:rsidR="00DA71BD" w:rsidRPr="00E04238">
        <w:rPr>
          <w:szCs w:val="20"/>
        </w:rPr>
        <w:t>Cannabidiol</w:t>
      </w:r>
      <w:r w:rsidR="00DA71BD">
        <w:t xml:space="preserve">; CBT = Cognitive Behavioural </w:t>
      </w:r>
      <w:r w:rsidR="00DA71BD" w:rsidRPr="00DA71BD">
        <w:t>Therapy; CocUD = Cocaine Use Disorder; C</w:t>
      </w:r>
      <w:r w:rsidR="00DA71BD">
        <w:t>UD = Cannabis Use Disorder</w:t>
      </w:r>
      <w:r w:rsidR="00DA71BD" w:rsidRPr="00E04238">
        <w:t xml:space="preserve">; </w:t>
      </w:r>
      <w:r w:rsidR="00DA71BD">
        <w:t xml:space="preserve">HUD = Heroin Use Disorder; </w:t>
      </w:r>
      <w:r w:rsidR="0089046E">
        <w:t xml:space="preserve">MET = Motivational Enhancement Therapy; </w:t>
      </w:r>
      <w:r w:rsidR="00DA71BD" w:rsidRPr="00E04238">
        <w:t xml:space="preserve">OCD = Obsessive Compulsive Disorder; </w:t>
      </w:r>
      <w:r w:rsidR="00D9660A">
        <w:t xml:space="preserve">PTSD = Post Traumatic Stress Disorder; </w:t>
      </w:r>
      <w:r w:rsidR="00DA71BD" w:rsidRPr="00E04238">
        <w:t>SAD = Social Anxiety Disorder; TUD = Tobacco Use Disorder.</w:t>
      </w:r>
    </w:p>
    <w:p w14:paraId="65C68205" w14:textId="09C3F4C2" w:rsidR="00E34502" w:rsidRPr="009B4D43" w:rsidRDefault="00E34502" w:rsidP="00E34502">
      <w:pPr>
        <w:sectPr w:rsidR="00E34502" w:rsidRPr="009B4D43" w:rsidSect="00AA7189">
          <w:pgSz w:w="16838" w:h="11906" w:orient="landscape"/>
          <w:pgMar w:top="1440" w:right="1440" w:bottom="1440" w:left="1440" w:header="708" w:footer="708" w:gutter="0"/>
          <w:cols w:space="708"/>
          <w:docGrid w:linePitch="360"/>
        </w:sectPr>
      </w:pPr>
    </w:p>
    <w:p w14:paraId="534F40AE" w14:textId="182FAB23" w:rsidR="00BB0D21" w:rsidRPr="009B4D43" w:rsidRDefault="00BB0D21" w:rsidP="00BB0D21">
      <w:pPr>
        <w:pStyle w:val="Heading1"/>
      </w:pPr>
      <w:bookmarkStart w:id="311" w:name="_Toc165018237"/>
      <w:r w:rsidRPr="005D6E23">
        <w:lastRenderedPageBreak/>
        <w:t>Appendix 6: Matrix of Included Studies</w:t>
      </w:r>
      <w:bookmarkEnd w:id="311"/>
    </w:p>
    <w:p w14:paraId="22712C27" w14:textId="6A0F83BB" w:rsidR="00BB0D21" w:rsidRPr="009B4D43" w:rsidRDefault="00E34502" w:rsidP="00BB0D21">
      <w:pPr>
        <w:pStyle w:val="Heading2"/>
      </w:pPr>
      <w:bookmarkStart w:id="312" w:name="_Toc99653116"/>
      <w:bookmarkStart w:id="313" w:name="_Toc101536706"/>
      <w:bookmarkStart w:id="314" w:name="_Toc103944919"/>
      <w:bookmarkStart w:id="315" w:name="_Toc121096130"/>
      <w:bookmarkStart w:id="316" w:name="_Toc165018238"/>
      <w:r w:rsidRPr="009B4D43">
        <w:t xml:space="preserve">Medicinal </w:t>
      </w:r>
      <w:r w:rsidR="00EE473B">
        <w:t>c</w:t>
      </w:r>
      <w:r w:rsidRPr="009B4D43">
        <w:t xml:space="preserve">annabis: </w:t>
      </w:r>
      <w:r w:rsidR="00E131BF">
        <w:t>Standalone</w:t>
      </w:r>
      <w:r w:rsidR="00BB0D21" w:rsidRPr="009B4D43">
        <w:t xml:space="preserve"> and combined interventions</w:t>
      </w:r>
      <w:bookmarkEnd w:id="312"/>
      <w:bookmarkEnd w:id="313"/>
      <w:bookmarkEnd w:id="314"/>
      <w:bookmarkEnd w:id="315"/>
      <w:r w:rsidR="00EE473B">
        <w:t xml:space="preserve"> (n = 12)</w:t>
      </w:r>
      <w:bookmarkEnd w:id="316"/>
    </w:p>
    <w:tbl>
      <w:tblPr>
        <w:tblStyle w:val="GridTable5Dark-Accent5"/>
        <w:tblW w:w="5000" w:type="pct"/>
        <w:tblLook w:val="04A0" w:firstRow="1" w:lastRow="0" w:firstColumn="1" w:lastColumn="0" w:noHBand="0" w:noVBand="1"/>
      </w:tblPr>
      <w:tblGrid>
        <w:gridCol w:w="2123"/>
        <w:gridCol w:w="2957"/>
        <w:gridCol w:w="2957"/>
        <w:gridCol w:w="2957"/>
        <w:gridCol w:w="2954"/>
      </w:tblGrid>
      <w:tr w:rsidR="00E2013B" w:rsidRPr="009B4D43" w14:paraId="7C42FCA9" w14:textId="77777777" w:rsidTr="00F049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61" w:type="pct"/>
          </w:tcPr>
          <w:p w14:paraId="6AB79EF2" w14:textId="77777777" w:rsidR="00BB0D21" w:rsidRPr="009B4D43" w:rsidRDefault="00BB0D21" w:rsidP="00BB0D21"/>
        </w:tc>
        <w:tc>
          <w:tcPr>
            <w:tcW w:w="1060" w:type="pct"/>
          </w:tcPr>
          <w:p w14:paraId="21598E65" w14:textId="77777777" w:rsidR="00BB0D21" w:rsidRPr="009B4D43" w:rsidRDefault="00BB0D21" w:rsidP="00BB0D21">
            <w:pPr>
              <w:jc w:val="center"/>
              <w:cnfStyle w:val="100000000000" w:firstRow="1" w:lastRow="0" w:firstColumn="0" w:lastColumn="0" w:oddVBand="0" w:evenVBand="0" w:oddHBand="0" w:evenHBand="0" w:firstRowFirstColumn="0" w:firstRowLastColumn="0" w:lastRowFirstColumn="0" w:lastRowLastColumn="0"/>
            </w:pPr>
            <w:r w:rsidRPr="009B4D43">
              <w:t>Anxiety Disorders</w:t>
            </w:r>
          </w:p>
        </w:tc>
        <w:tc>
          <w:tcPr>
            <w:tcW w:w="1060" w:type="pct"/>
          </w:tcPr>
          <w:p w14:paraId="03B8826D" w14:textId="7F2FD539" w:rsidR="00BB0D21" w:rsidRPr="009B4D43" w:rsidRDefault="00BB0D21" w:rsidP="00BB0D21">
            <w:pPr>
              <w:jc w:val="center"/>
              <w:cnfStyle w:val="100000000000" w:firstRow="1" w:lastRow="0" w:firstColumn="0" w:lastColumn="0" w:oddVBand="0" w:evenVBand="0" w:oddHBand="0" w:evenHBand="0" w:firstRowFirstColumn="0" w:firstRowLastColumn="0" w:lastRowFirstColumn="0" w:lastRowLastColumn="0"/>
            </w:pPr>
            <w:r w:rsidRPr="009B4D43">
              <w:t>Mood/Depressive Disorders</w:t>
            </w:r>
            <w:r w:rsidR="00910AD4">
              <w:t xml:space="preserve"> </w:t>
            </w:r>
          </w:p>
        </w:tc>
        <w:tc>
          <w:tcPr>
            <w:tcW w:w="1060" w:type="pct"/>
          </w:tcPr>
          <w:p w14:paraId="587038E2" w14:textId="4EDEEDEC" w:rsidR="00BB0D21" w:rsidRPr="009B4D43" w:rsidRDefault="00F04978" w:rsidP="00BB0D21">
            <w:pPr>
              <w:jc w:val="center"/>
              <w:cnfStyle w:val="100000000000" w:firstRow="1" w:lastRow="0" w:firstColumn="0" w:lastColumn="0" w:oddVBand="0" w:evenVBand="0" w:oddHBand="0" w:evenHBand="0" w:firstRowFirstColumn="0" w:firstRowLastColumn="0" w:lastRowFirstColumn="0" w:lastRowLastColumn="0"/>
            </w:pPr>
            <w:r>
              <w:rPr>
                <w:lang w:val="en-US"/>
              </w:rPr>
              <w:t>Substance-Related and Addictive Disorders</w:t>
            </w:r>
          </w:p>
        </w:tc>
        <w:tc>
          <w:tcPr>
            <w:tcW w:w="1060" w:type="pct"/>
          </w:tcPr>
          <w:p w14:paraId="64431329" w14:textId="77777777" w:rsidR="00BB0D21" w:rsidRPr="009B4D43" w:rsidRDefault="00BB0D21" w:rsidP="00BB0D21">
            <w:pPr>
              <w:jc w:val="center"/>
              <w:cnfStyle w:val="100000000000" w:firstRow="1" w:lastRow="0" w:firstColumn="0" w:lastColumn="0" w:oddVBand="0" w:evenVBand="0" w:oddHBand="0" w:evenHBand="0" w:firstRowFirstColumn="0" w:firstRowLastColumn="0" w:lastRowFirstColumn="0" w:lastRowLastColumn="0"/>
            </w:pPr>
            <w:r w:rsidRPr="009B4D43">
              <w:t>Trauma and Stressor-Related Disorders</w:t>
            </w:r>
          </w:p>
        </w:tc>
      </w:tr>
      <w:tr w:rsidR="00E2013B" w:rsidRPr="009B4D43" w14:paraId="727DE6DE" w14:textId="77777777" w:rsidTr="00F04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0E3C765" w14:textId="64300DA4" w:rsidR="009208E5" w:rsidRPr="009B4D43" w:rsidRDefault="00FE67C5" w:rsidP="00F04978">
            <w:r>
              <w:t xml:space="preserve">Natural or </w:t>
            </w:r>
            <w:r w:rsidR="00F04978">
              <w:t>s</w:t>
            </w:r>
            <w:r w:rsidR="00D72146">
              <w:t xml:space="preserve">ynthetic </w:t>
            </w:r>
            <w:r w:rsidR="00F04978">
              <w:t>c</w:t>
            </w:r>
            <w:r w:rsidR="0082261C">
              <w:t>annabidiol (</w:t>
            </w:r>
            <w:r w:rsidR="00D72146">
              <w:t>C</w:t>
            </w:r>
            <w:r w:rsidR="009208E5" w:rsidRPr="009B4D43">
              <w:t>BD</w:t>
            </w:r>
            <w:r w:rsidR="0082261C">
              <w:t>)</w:t>
            </w:r>
          </w:p>
        </w:tc>
        <w:tc>
          <w:tcPr>
            <w:tcW w:w="1060" w:type="pct"/>
          </w:tcPr>
          <w:p w14:paraId="2D654C07" w14:textId="01516C86" w:rsidR="009208E5" w:rsidRPr="009B4D43" w:rsidRDefault="009208E5" w:rsidP="00247423">
            <w:pPr>
              <w:jc w:val="center"/>
              <w:cnfStyle w:val="000000100000" w:firstRow="0" w:lastRow="0" w:firstColumn="0" w:lastColumn="0" w:oddVBand="0" w:evenVBand="0" w:oddHBand="1" w:evenHBand="0" w:firstRowFirstColumn="0" w:firstRowLastColumn="0" w:lastRowFirstColumn="0" w:lastRowLastColumn="0"/>
            </w:pPr>
            <w:r>
              <w:rPr>
                <w:lang w:val="en-US"/>
              </w:rPr>
              <w:t>X</w:t>
            </w:r>
          </w:p>
        </w:tc>
        <w:tc>
          <w:tcPr>
            <w:tcW w:w="1060" w:type="pct"/>
          </w:tcPr>
          <w:p w14:paraId="22227652" w14:textId="1D0BD778" w:rsidR="009208E5" w:rsidRPr="009B4D43" w:rsidRDefault="009208E5" w:rsidP="00247423">
            <w:pPr>
              <w:jc w:val="center"/>
              <w:cnfStyle w:val="000000100000" w:firstRow="0" w:lastRow="0" w:firstColumn="0" w:lastColumn="0" w:oddVBand="0" w:evenVBand="0" w:oddHBand="1" w:evenHBand="0" w:firstRowFirstColumn="0" w:firstRowLastColumn="0" w:lastRowFirstColumn="0" w:lastRowLastColumn="0"/>
            </w:pPr>
            <w:r>
              <w:t xml:space="preserve">1 x </w:t>
            </w:r>
            <w:r w:rsidR="00E131BF">
              <w:t>standalone</w:t>
            </w:r>
            <w:r>
              <w:t xml:space="preserve"> Tx (SAD)</w:t>
            </w:r>
          </w:p>
        </w:tc>
        <w:tc>
          <w:tcPr>
            <w:tcW w:w="1060" w:type="pct"/>
          </w:tcPr>
          <w:p w14:paraId="54A44798" w14:textId="4D650CEE" w:rsidR="009208E5" w:rsidRDefault="009208E5" w:rsidP="00247423">
            <w:pPr>
              <w:jc w:val="center"/>
              <w:cnfStyle w:val="000000100000" w:firstRow="0" w:lastRow="0" w:firstColumn="0" w:lastColumn="0" w:oddVBand="0" w:evenVBand="0" w:oddHBand="1" w:evenHBand="0" w:firstRowFirstColumn="0" w:firstRowLastColumn="0" w:lastRowFirstColumn="0" w:lastRowLastColumn="0"/>
            </w:pPr>
            <w:r>
              <w:t xml:space="preserve">2 x </w:t>
            </w:r>
            <w:r w:rsidR="000D3D91">
              <w:t>combined Tx (C</w:t>
            </w:r>
            <w:r>
              <w:t>oc</w:t>
            </w:r>
            <w:r w:rsidR="009D2842">
              <w:t>UD</w:t>
            </w:r>
            <w:r>
              <w:t>)</w:t>
            </w:r>
          </w:p>
          <w:p w14:paraId="0857DD95" w14:textId="28F50C42" w:rsidR="009208E5" w:rsidRDefault="009208E5" w:rsidP="00247423">
            <w:pPr>
              <w:jc w:val="center"/>
              <w:cnfStyle w:val="000000100000" w:firstRow="0" w:lastRow="0" w:firstColumn="0" w:lastColumn="0" w:oddVBand="0" w:evenVBand="0" w:oddHBand="1" w:evenHBand="0" w:firstRowFirstColumn="0" w:firstRowLastColumn="0" w:lastRowFirstColumn="0" w:lastRowLastColumn="0"/>
            </w:pPr>
            <w:r>
              <w:t>1 x combined Tx (</w:t>
            </w:r>
            <w:r w:rsidR="000D3D91">
              <w:t>C</w:t>
            </w:r>
            <w:r w:rsidR="009D2842">
              <w:t>UD)</w:t>
            </w:r>
          </w:p>
          <w:p w14:paraId="70735C18" w14:textId="4A40E0E5" w:rsidR="009208E5" w:rsidRDefault="000D3D91" w:rsidP="00247423">
            <w:pPr>
              <w:jc w:val="center"/>
              <w:cnfStyle w:val="000000100000" w:firstRow="0" w:lastRow="0" w:firstColumn="0" w:lastColumn="0" w:oddVBand="0" w:evenVBand="0" w:oddHBand="1" w:evenHBand="0" w:firstRowFirstColumn="0" w:firstRowLastColumn="0" w:lastRowFirstColumn="0" w:lastRowLastColumn="0"/>
            </w:pPr>
            <w:r>
              <w:t>1 x standalone Tx (H</w:t>
            </w:r>
            <w:r w:rsidR="009D2842">
              <w:t>UD</w:t>
            </w:r>
            <w:r w:rsidR="009208E5">
              <w:t>)</w:t>
            </w:r>
          </w:p>
          <w:p w14:paraId="1F21F019" w14:textId="40FFBD50" w:rsidR="009208E5" w:rsidRPr="009B4D43" w:rsidRDefault="009208E5" w:rsidP="009D2842">
            <w:pPr>
              <w:jc w:val="center"/>
              <w:cnfStyle w:val="000000100000" w:firstRow="0" w:lastRow="0" w:firstColumn="0" w:lastColumn="0" w:oddVBand="0" w:evenVBand="0" w:oddHBand="1" w:evenHBand="0" w:firstRowFirstColumn="0" w:firstRowLastColumn="0" w:lastRowFirstColumn="0" w:lastRowLastColumn="0"/>
            </w:pPr>
            <w:r w:rsidRPr="005A6837">
              <w:t>1 x standalone Tx (</w:t>
            </w:r>
            <w:r w:rsidR="009D2842">
              <w:t>TUD</w:t>
            </w:r>
            <w:r w:rsidRPr="005A6837">
              <w:t>)</w:t>
            </w:r>
          </w:p>
        </w:tc>
        <w:tc>
          <w:tcPr>
            <w:tcW w:w="1060" w:type="pct"/>
          </w:tcPr>
          <w:p w14:paraId="7404AD6B" w14:textId="1DF5BE6B" w:rsidR="009208E5" w:rsidRPr="009B4D43" w:rsidRDefault="009208E5" w:rsidP="00247423">
            <w:pPr>
              <w:jc w:val="center"/>
              <w:cnfStyle w:val="000000100000" w:firstRow="0" w:lastRow="0" w:firstColumn="0" w:lastColumn="0" w:oddVBand="0" w:evenVBand="0" w:oddHBand="1" w:evenHBand="0" w:firstRowFirstColumn="0" w:firstRowLastColumn="0" w:lastRowFirstColumn="0" w:lastRowLastColumn="0"/>
            </w:pPr>
            <w:r>
              <w:rPr>
                <w:lang w:val="en-US"/>
              </w:rPr>
              <w:t>X</w:t>
            </w:r>
          </w:p>
        </w:tc>
      </w:tr>
      <w:tr w:rsidR="00E2013B" w:rsidRPr="009B4D43" w14:paraId="4DE3B043" w14:textId="77777777" w:rsidTr="00F04978">
        <w:tc>
          <w:tcPr>
            <w:cnfStyle w:val="001000000000" w:firstRow="0" w:lastRow="0" w:firstColumn="1" w:lastColumn="0" w:oddVBand="0" w:evenVBand="0" w:oddHBand="0" w:evenHBand="0" w:firstRowFirstColumn="0" w:firstRowLastColumn="0" w:lastRowFirstColumn="0" w:lastRowLastColumn="0"/>
            <w:tcW w:w="761" w:type="pct"/>
          </w:tcPr>
          <w:p w14:paraId="630EBC5F" w14:textId="33838DA8" w:rsidR="009208E5" w:rsidRPr="009B4D43" w:rsidRDefault="008B735B" w:rsidP="00F15FBA">
            <w:r>
              <w:t>N</w:t>
            </w:r>
            <w:r w:rsidRPr="0063090D">
              <w:t>atural cannabis extract (THC</w:t>
            </w:r>
            <w:r w:rsidR="00B31DE6">
              <w:t>&amp;</w:t>
            </w:r>
            <w:r w:rsidRPr="0063090D">
              <w:t>CBD)</w:t>
            </w:r>
          </w:p>
        </w:tc>
        <w:tc>
          <w:tcPr>
            <w:tcW w:w="1060" w:type="pct"/>
          </w:tcPr>
          <w:p w14:paraId="475D6DBD" w14:textId="69485281" w:rsidR="009208E5" w:rsidRPr="009B4D43" w:rsidRDefault="00A13FC7" w:rsidP="009D2842">
            <w:pPr>
              <w:jc w:val="center"/>
              <w:cnfStyle w:val="000000000000" w:firstRow="0" w:lastRow="0" w:firstColumn="0" w:lastColumn="0" w:oddVBand="0" w:evenVBand="0" w:oddHBand="0" w:evenHBand="0" w:firstRowFirstColumn="0" w:firstRowLastColumn="0" w:lastRowFirstColumn="0" w:lastRowLastColumn="0"/>
            </w:pPr>
            <w:r>
              <w:t>X</w:t>
            </w:r>
          </w:p>
        </w:tc>
        <w:tc>
          <w:tcPr>
            <w:tcW w:w="1060" w:type="pct"/>
          </w:tcPr>
          <w:p w14:paraId="6647D4B5" w14:textId="04E5A2AA" w:rsidR="009208E5" w:rsidRPr="009B4D43" w:rsidRDefault="009208E5" w:rsidP="00247423">
            <w:pPr>
              <w:jc w:val="center"/>
              <w:cnfStyle w:val="000000000000" w:firstRow="0" w:lastRow="0" w:firstColumn="0" w:lastColumn="0" w:oddVBand="0" w:evenVBand="0" w:oddHBand="0" w:evenHBand="0" w:firstRowFirstColumn="0" w:firstRowLastColumn="0" w:lastRowFirstColumn="0" w:lastRowLastColumn="0"/>
            </w:pPr>
            <w:r>
              <w:rPr>
                <w:lang w:val="en-US"/>
              </w:rPr>
              <w:t>X</w:t>
            </w:r>
          </w:p>
        </w:tc>
        <w:tc>
          <w:tcPr>
            <w:tcW w:w="1060" w:type="pct"/>
          </w:tcPr>
          <w:p w14:paraId="6CB816EB" w14:textId="0D4531BB" w:rsidR="009208E5" w:rsidRPr="009B4D43" w:rsidRDefault="000D3D91" w:rsidP="00247423">
            <w:pPr>
              <w:jc w:val="center"/>
              <w:cnfStyle w:val="000000000000" w:firstRow="0" w:lastRow="0" w:firstColumn="0" w:lastColumn="0" w:oddVBand="0" w:evenVBand="0" w:oddHBand="0" w:evenHBand="0" w:firstRowFirstColumn="0" w:firstRowLastColumn="0" w:lastRowFirstColumn="0" w:lastRowLastColumn="0"/>
            </w:pPr>
            <w:r>
              <w:t>2 x co</w:t>
            </w:r>
            <w:r w:rsidR="009D2842">
              <w:t>mbined Tx (CUD</w:t>
            </w:r>
            <w:r w:rsidR="009208E5" w:rsidRPr="00071B87">
              <w:t>)</w:t>
            </w:r>
          </w:p>
        </w:tc>
        <w:tc>
          <w:tcPr>
            <w:tcW w:w="1060" w:type="pct"/>
          </w:tcPr>
          <w:p w14:paraId="6D54162D" w14:textId="457617E6" w:rsidR="009208E5" w:rsidRPr="009B4D43" w:rsidRDefault="00A13FC7" w:rsidP="00247423">
            <w:pPr>
              <w:jc w:val="center"/>
              <w:cnfStyle w:val="000000000000" w:firstRow="0" w:lastRow="0" w:firstColumn="0" w:lastColumn="0" w:oddVBand="0" w:evenVBand="0" w:oddHBand="0" w:evenHBand="0" w:firstRowFirstColumn="0" w:firstRowLastColumn="0" w:lastRowFirstColumn="0" w:lastRowLastColumn="0"/>
            </w:pPr>
            <w:r>
              <w:rPr>
                <w:lang w:val="en-US"/>
              </w:rPr>
              <w:t>X</w:t>
            </w:r>
          </w:p>
        </w:tc>
      </w:tr>
      <w:tr w:rsidR="00E2013B" w:rsidRPr="009B4D43" w14:paraId="236F8A67" w14:textId="77777777" w:rsidTr="00F04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768B6526" w14:textId="4ED66A52" w:rsidR="00A13FC7" w:rsidRPr="009B4D43" w:rsidRDefault="000E38E5" w:rsidP="00F15FBA">
            <w:r>
              <w:t>Natural d</w:t>
            </w:r>
            <w:r w:rsidR="00875B66">
              <w:t xml:space="preserve">ried </w:t>
            </w:r>
            <w:r w:rsidR="000E054A">
              <w:t>c</w:t>
            </w:r>
            <w:r w:rsidR="00875B66">
              <w:t>annabis (THC</w:t>
            </w:r>
            <w:r w:rsidR="008C0D60">
              <w:rPr>
                <w:rFonts w:cstheme="minorHAnsi"/>
              </w:rPr>
              <w:t>±</w:t>
            </w:r>
            <w:r w:rsidR="00875B66">
              <w:t>CBD)</w:t>
            </w:r>
          </w:p>
        </w:tc>
        <w:tc>
          <w:tcPr>
            <w:tcW w:w="1060" w:type="pct"/>
          </w:tcPr>
          <w:p w14:paraId="5CB45C43" w14:textId="421D633B" w:rsidR="00A13FC7" w:rsidRDefault="00A13FC7" w:rsidP="009D2842">
            <w:pPr>
              <w:jc w:val="center"/>
              <w:cnfStyle w:val="000000100000" w:firstRow="0" w:lastRow="0" w:firstColumn="0" w:lastColumn="0" w:oddVBand="0" w:evenVBand="0" w:oddHBand="1" w:evenHBand="0" w:firstRowFirstColumn="0" w:firstRowLastColumn="0" w:lastRowFirstColumn="0" w:lastRowLastColumn="0"/>
            </w:pPr>
            <w:r>
              <w:t>1 x standalone Tx (OCD)</w:t>
            </w:r>
          </w:p>
        </w:tc>
        <w:tc>
          <w:tcPr>
            <w:tcW w:w="1060" w:type="pct"/>
          </w:tcPr>
          <w:p w14:paraId="0E44611E" w14:textId="44BE895F" w:rsidR="00A13FC7" w:rsidRDefault="007A0C47" w:rsidP="00247423">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1060" w:type="pct"/>
          </w:tcPr>
          <w:p w14:paraId="704E6927" w14:textId="3CEB3B6B" w:rsidR="00A13FC7" w:rsidRDefault="007A0C47" w:rsidP="00247423">
            <w:pPr>
              <w:jc w:val="center"/>
              <w:cnfStyle w:val="000000100000" w:firstRow="0" w:lastRow="0" w:firstColumn="0" w:lastColumn="0" w:oddVBand="0" w:evenVBand="0" w:oddHBand="1" w:evenHBand="0" w:firstRowFirstColumn="0" w:firstRowLastColumn="0" w:lastRowFirstColumn="0" w:lastRowLastColumn="0"/>
            </w:pPr>
            <w:r>
              <w:t>X</w:t>
            </w:r>
          </w:p>
        </w:tc>
        <w:tc>
          <w:tcPr>
            <w:tcW w:w="1060" w:type="pct"/>
          </w:tcPr>
          <w:p w14:paraId="0B24F249" w14:textId="510EF207" w:rsidR="00A13FC7" w:rsidRPr="0052271D" w:rsidRDefault="00A13FC7" w:rsidP="00247423">
            <w:pPr>
              <w:jc w:val="center"/>
              <w:cnfStyle w:val="000000100000" w:firstRow="0" w:lastRow="0" w:firstColumn="0" w:lastColumn="0" w:oddVBand="0" w:evenVBand="0" w:oddHBand="1" w:evenHBand="0" w:firstRowFirstColumn="0" w:firstRowLastColumn="0" w:lastRowFirstColumn="0" w:lastRowLastColumn="0"/>
              <w:rPr>
                <w:lang w:val="en-US"/>
              </w:rPr>
            </w:pPr>
            <w:r w:rsidRPr="0052271D">
              <w:rPr>
                <w:lang w:val="en-US"/>
              </w:rPr>
              <w:t>1 x standalone Tx (</w:t>
            </w:r>
            <w:r>
              <w:rPr>
                <w:lang w:val="en-US"/>
              </w:rPr>
              <w:t>PTSD</w:t>
            </w:r>
            <w:r w:rsidRPr="0052271D">
              <w:rPr>
                <w:lang w:val="en-US"/>
              </w:rPr>
              <w:t>)</w:t>
            </w:r>
          </w:p>
        </w:tc>
      </w:tr>
      <w:tr w:rsidR="00E2013B" w:rsidRPr="009B4D43" w14:paraId="109F2B98" w14:textId="77777777" w:rsidTr="00F04978">
        <w:tc>
          <w:tcPr>
            <w:cnfStyle w:val="001000000000" w:firstRow="0" w:lastRow="0" w:firstColumn="1" w:lastColumn="0" w:oddVBand="0" w:evenVBand="0" w:oddHBand="0" w:evenHBand="0" w:firstRowFirstColumn="0" w:firstRowLastColumn="0" w:lastRowFirstColumn="0" w:lastRowLastColumn="0"/>
            <w:tcW w:w="761" w:type="pct"/>
          </w:tcPr>
          <w:p w14:paraId="32EDD42E" w14:textId="2914671D" w:rsidR="009208E5" w:rsidRPr="009B4D43" w:rsidRDefault="003B3251" w:rsidP="005818EA">
            <w:r>
              <w:t xml:space="preserve">Synthetic </w:t>
            </w:r>
            <w:r w:rsidR="00F04978">
              <w:t>c</w:t>
            </w:r>
            <w:r w:rsidR="00860C83">
              <w:t>annabi</w:t>
            </w:r>
            <w:r w:rsidR="005818EA">
              <w:t>noids (</w:t>
            </w:r>
            <w:r>
              <w:t>THC</w:t>
            </w:r>
            <w:r w:rsidR="00F15FBA">
              <w:t>)</w:t>
            </w:r>
          </w:p>
        </w:tc>
        <w:tc>
          <w:tcPr>
            <w:tcW w:w="1060" w:type="pct"/>
          </w:tcPr>
          <w:p w14:paraId="68F1BA61" w14:textId="0A2D888C" w:rsidR="009208E5" w:rsidRPr="009B4D43" w:rsidRDefault="009208E5" w:rsidP="00247423">
            <w:pPr>
              <w:jc w:val="center"/>
              <w:cnfStyle w:val="000000000000" w:firstRow="0" w:lastRow="0" w:firstColumn="0" w:lastColumn="0" w:oddVBand="0" w:evenVBand="0" w:oddHBand="0" w:evenHBand="0" w:firstRowFirstColumn="0" w:firstRowLastColumn="0" w:lastRowFirstColumn="0" w:lastRowLastColumn="0"/>
            </w:pPr>
            <w:r>
              <w:rPr>
                <w:lang w:val="en-US"/>
              </w:rPr>
              <w:t>X</w:t>
            </w:r>
          </w:p>
        </w:tc>
        <w:tc>
          <w:tcPr>
            <w:tcW w:w="1060" w:type="pct"/>
          </w:tcPr>
          <w:p w14:paraId="1C881AFE" w14:textId="789E16F7" w:rsidR="009208E5" w:rsidRPr="009B4D43" w:rsidRDefault="009208E5" w:rsidP="00247423">
            <w:pPr>
              <w:jc w:val="center"/>
              <w:cnfStyle w:val="000000000000" w:firstRow="0" w:lastRow="0" w:firstColumn="0" w:lastColumn="0" w:oddVBand="0" w:evenVBand="0" w:oddHBand="0" w:evenHBand="0" w:firstRowFirstColumn="0" w:firstRowLastColumn="0" w:lastRowFirstColumn="0" w:lastRowLastColumn="0"/>
            </w:pPr>
            <w:r>
              <w:rPr>
                <w:lang w:val="en-US"/>
              </w:rPr>
              <w:t>X</w:t>
            </w:r>
          </w:p>
        </w:tc>
        <w:tc>
          <w:tcPr>
            <w:tcW w:w="1060" w:type="pct"/>
          </w:tcPr>
          <w:p w14:paraId="29968D4C" w14:textId="77777777" w:rsidR="009208E5" w:rsidRDefault="009208E5" w:rsidP="009D2842">
            <w:pPr>
              <w:jc w:val="center"/>
              <w:cnfStyle w:val="000000000000" w:firstRow="0" w:lastRow="0" w:firstColumn="0" w:lastColumn="0" w:oddVBand="0" w:evenVBand="0" w:oddHBand="0" w:evenHBand="0" w:firstRowFirstColumn="0" w:firstRowLastColumn="0" w:lastRowFirstColumn="0" w:lastRowLastColumn="0"/>
            </w:pPr>
            <w:r>
              <w:t>1 x standalone Tx (</w:t>
            </w:r>
            <w:r w:rsidR="009D2842">
              <w:t>CUD</w:t>
            </w:r>
            <w:r>
              <w:t>)</w:t>
            </w:r>
          </w:p>
          <w:p w14:paraId="2C805080" w14:textId="04C1EBD5" w:rsidR="009D2842" w:rsidRPr="009B4D43" w:rsidRDefault="009D2842" w:rsidP="009D2842">
            <w:pPr>
              <w:jc w:val="center"/>
              <w:cnfStyle w:val="000000000000" w:firstRow="0" w:lastRow="0" w:firstColumn="0" w:lastColumn="0" w:oddVBand="0" w:evenVBand="0" w:oddHBand="0" w:evenHBand="0" w:firstRowFirstColumn="0" w:firstRowLastColumn="0" w:lastRowFirstColumn="0" w:lastRowLastColumn="0"/>
            </w:pPr>
            <w:r>
              <w:t>1 x combined Tx (CUD)</w:t>
            </w:r>
          </w:p>
        </w:tc>
        <w:tc>
          <w:tcPr>
            <w:tcW w:w="1060" w:type="pct"/>
          </w:tcPr>
          <w:p w14:paraId="519D0A40" w14:textId="1BF5187D" w:rsidR="009208E5" w:rsidRPr="009B4D43" w:rsidRDefault="009208E5" w:rsidP="00247423">
            <w:pPr>
              <w:jc w:val="center"/>
              <w:cnfStyle w:val="000000000000" w:firstRow="0" w:lastRow="0" w:firstColumn="0" w:lastColumn="0" w:oddVBand="0" w:evenVBand="0" w:oddHBand="0" w:evenHBand="0" w:firstRowFirstColumn="0" w:firstRowLastColumn="0" w:lastRowFirstColumn="0" w:lastRowLastColumn="0"/>
            </w:pPr>
            <w:r>
              <w:rPr>
                <w:lang w:val="en-US"/>
              </w:rPr>
              <w:t>X</w:t>
            </w:r>
          </w:p>
        </w:tc>
      </w:tr>
    </w:tbl>
    <w:p w14:paraId="07369C78" w14:textId="0A000ABF" w:rsidR="009D2842" w:rsidRDefault="00BB0D21" w:rsidP="009D2842">
      <w:pPr>
        <w:jc w:val="both"/>
        <w:rPr>
          <w:lang w:val="en-US"/>
        </w:rPr>
      </w:pPr>
      <w:r w:rsidRPr="009B4D43">
        <w:t xml:space="preserve">Notes: </w:t>
      </w:r>
      <w:r w:rsidR="000F4051">
        <w:rPr>
          <w:lang w:val="en-US"/>
        </w:rPr>
        <w:t>Standalone Tx refers to interventions that were not combined with other psychotherapy or pharmacological intervention/s (e.g., antidepressants; mood stabilisers; anti-psychotics). Combined Tx refers to interventions that were combined with other psychotherapy or pharmacological intervention/s.</w:t>
      </w:r>
      <w:r w:rsidR="000F4051" w:rsidRPr="009B4D43" w:rsidDel="000F4051">
        <w:t xml:space="preserve"> </w:t>
      </w:r>
      <w:r w:rsidRPr="009B4D43">
        <w:t xml:space="preserve">X indicates there were no studies included in the analysis for the </w:t>
      </w:r>
      <w:r w:rsidR="008D172D" w:rsidRPr="009B4D43">
        <w:t>medicinal cannabis compound</w:t>
      </w:r>
      <w:r w:rsidR="00836AFB" w:rsidRPr="009B4D43">
        <w:t xml:space="preserve"> of interest</w:t>
      </w:r>
      <w:r w:rsidR="008D172D" w:rsidRPr="009B4D43">
        <w:t xml:space="preserve"> (i.e., CBD; CBN; THC)</w:t>
      </w:r>
      <w:r w:rsidRPr="009B4D43">
        <w:t xml:space="preserve"> </w:t>
      </w:r>
      <w:r w:rsidR="007F6EBB" w:rsidRPr="009B4D43">
        <w:t>and the mental health condition/s of interest</w:t>
      </w:r>
      <w:r w:rsidRPr="009B4D43">
        <w:t xml:space="preserve">. </w:t>
      </w:r>
      <w:r w:rsidR="009D2842" w:rsidRPr="009D0D88">
        <w:rPr>
          <w:lang w:val="en-US"/>
        </w:rPr>
        <w:t>CocUD = Cocaine Use Disorder</w:t>
      </w:r>
      <w:r w:rsidR="006B711D">
        <w:rPr>
          <w:lang w:val="en-US"/>
        </w:rPr>
        <w:t>.</w:t>
      </w:r>
      <w:r w:rsidR="009D2842">
        <w:rPr>
          <w:lang w:val="en-US"/>
        </w:rPr>
        <w:t xml:space="preserve"> CUD = Cannabis Use Disorder</w:t>
      </w:r>
      <w:r w:rsidR="006B711D">
        <w:rPr>
          <w:lang w:val="en-US"/>
        </w:rPr>
        <w:t>.</w:t>
      </w:r>
      <w:r w:rsidR="009D2842">
        <w:rPr>
          <w:lang w:val="en-US"/>
        </w:rPr>
        <w:t xml:space="preserve"> HUD = Heroin Use Disor</w:t>
      </w:r>
      <w:r w:rsidR="003B3251">
        <w:rPr>
          <w:lang w:val="en-US"/>
        </w:rPr>
        <w:t>der</w:t>
      </w:r>
      <w:r w:rsidR="006B711D">
        <w:rPr>
          <w:lang w:val="en-US"/>
        </w:rPr>
        <w:t>.</w:t>
      </w:r>
      <w:r w:rsidR="003B3251">
        <w:rPr>
          <w:lang w:val="en-US"/>
        </w:rPr>
        <w:t xml:space="preserve"> </w:t>
      </w:r>
      <w:r w:rsidR="003B3251" w:rsidRPr="001F65C3">
        <w:t>OCD</w:t>
      </w:r>
      <w:r w:rsidR="003B3251" w:rsidRPr="00E04238">
        <w:t xml:space="preserve"> = Obsessive Compulsive Disorder</w:t>
      </w:r>
      <w:r w:rsidR="006B711D">
        <w:rPr>
          <w:lang w:val="en-US"/>
        </w:rPr>
        <w:t>.</w:t>
      </w:r>
      <w:r w:rsidR="003B3251">
        <w:rPr>
          <w:lang w:val="en-US"/>
        </w:rPr>
        <w:t xml:space="preserve"> </w:t>
      </w:r>
      <w:r w:rsidR="009D2842">
        <w:rPr>
          <w:lang w:val="en-US"/>
        </w:rPr>
        <w:t>PTSD = Posttraumatic Stress Disorder</w:t>
      </w:r>
      <w:r w:rsidR="006B711D">
        <w:rPr>
          <w:lang w:val="en-US"/>
        </w:rPr>
        <w:t>.</w:t>
      </w:r>
      <w:r w:rsidR="009D2842">
        <w:rPr>
          <w:lang w:val="en-US"/>
        </w:rPr>
        <w:t xml:space="preserve"> SAD = Social Anxiety Disorder</w:t>
      </w:r>
      <w:r w:rsidR="006B711D">
        <w:rPr>
          <w:lang w:val="en-US"/>
        </w:rPr>
        <w:t>.</w:t>
      </w:r>
      <w:r w:rsidR="003B3251" w:rsidRPr="003B3251">
        <w:rPr>
          <w:lang w:val="en-US"/>
        </w:rPr>
        <w:t xml:space="preserve"> </w:t>
      </w:r>
      <w:r w:rsidR="003B3251">
        <w:rPr>
          <w:lang w:val="en-US"/>
        </w:rPr>
        <w:t>TUD = Tobacco Use Disorder</w:t>
      </w:r>
      <w:r w:rsidR="009D2842">
        <w:rPr>
          <w:lang w:val="en-US"/>
        </w:rPr>
        <w:t>.</w:t>
      </w:r>
    </w:p>
    <w:p w14:paraId="455820BD" w14:textId="221BCE38" w:rsidR="00BB0D21" w:rsidRPr="009B4D43" w:rsidRDefault="00BB0D21" w:rsidP="005C7310">
      <w:pPr>
        <w:jc w:val="both"/>
      </w:pPr>
    </w:p>
    <w:p w14:paraId="60ECC72D" w14:textId="77777777" w:rsidR="00BB0D21" w:rsidRPr="009B4D43" w:rsidRDefault="00BB0D21" w:rsidP="00BB0D21"/>
    <w:p w14:paraId="76A2055A" w14:textId="77777777" w:rsidR="00BB0D21" w:rsidRPr="009B4D43" w:rsidRDefault="00BB0D21" w:rsidP="00BB0D21">
      <w:pPr>
        <w:sectPr w:rsidR="00BB0D21" w:rsidRPr="009B4D43" w:rsidSect="00AA7189">
          <w:pgSz w:w="16838" w:h="11906" w:orient="landscape"/>
          <w:pgMar w:top="1440" w:right="1440" w:bottom="1440" w:left="1440" w:header="708" w:footer="708" w:gutter="0"/>
          <w:cols w:space="708"/>
          <w:docGrid w:linePitch="360"/>
        </w:sectPr>
      </w:pPr>
    </w:p>
    <w:p w14:paraId="54B98593" w14:textId="77777777" w:rsidR="00B80B9A" w:rsidRDefault="00B80B9A" w:rsidP="00B80B9A">
      <w:pPr>
        <w:pStyle w:val="Heading1"/>
      </w:pPr>
      <w:bookmarkStart w:id="317" w:name="_Toc165018239"/>
      <w:r w:rsidRPr="005D6E23">
        <w:lastRenderedPageBreak/>
        <w:t>Appendix 7: Summary of Findings</w:t>
      </w:r>
      <w:bookmarkEnd w:id="317"/>
      <w:r w:rsidRPr="009B4D43">
        <w:t xml:space="preserve"> </w:t>
      </w:r>
    </w:p>
    <w:p w14:paraId="6C463097" w14:textId="77777777" w:rsidR="00B80B9A" w:rsidRDefault="00B80B9A" w:rsidP="00B80B9A">
      <w:pPr>
        <w:keepNext/>
        <w:keepLines/>
        <w:numPr>
          <w:ilvl w:val="0"/>
          <w:numId w:val="28"/>
        </w:numPr>
        <w:spacing w:before="40" w:after="40"/>
        <w:outlineLvl w:val="1"/>
        <w:rPr>
          <w:rFonts w:ascii="Calibri Light" w:eastAsia="Times New Roman" w:hAnsi="Calibri Light" w:cs="Times New Roman"/>
          <w:color w:val="2E74B5"/>
          <w:sz w:val="26"/>
          <w:szCs w:val="26"/>
        </w:rPr>
      </w:pPr>
      <w:bookmarkStart w:id="318" w:name="_Toc165018240"/>
      <w:r>
        <w:rPr>
          <w:rFonts w:ascii="Calibri Light" w:eastAsia="Times New Roman" w:hAnsi="Calibri Light" w:cs="Times New Roman"/>
          <w:color w:val="2E74B5"/>
          <w:sz w:val="26"/>
          <w:szCs w:val="26"/>
        </w:rPr>
        <w:t xml:space="preserve">Natural Cannabidiol (CBD) </w:t>
      </w:r>
      <w:r w:rsidRPr="00D56749">
        <w:rPr>
          <w:rFonts w:ascii="Calibri Light" w:eastAsia="Times New Roman" w:hAnsi="Calibri Light" w:cs="Times New Roman"/>
          <w:color w:val="2E74B5"/>
          <w:sz w:val="26"/>
          <w:szCs w:val="26"/>
        </w:rPr>
        <w:t xml:space="preserve">for </w:t>
      </w:r>
      <w:r>
        <w:rPr>
          <w:rFonts w:ascii="Calibri Light" w:eastAsia="Times New Roman" w:hAnsi="Calibri Light" w:cs="Times New Roman"/>
          <w:color w:val="2E74B5"/>
          <w:sz w:val="26"/>
          <w:szCs w:val="26"/>
        </w:rPr>
        <w:t>Social Anxiety Disorder and Comorbid Avoidant Personality Disorder</w:t>
      </w:r>
      <w:r w:rsidRPr="00D56749">
        <w:rPr>
          <w:rFonts w:ascii="Calibri Light" w:eastAsia="Times New Roman" w:hAnsi="Calibri Light" w:cs="Times New Roman"/>
          <w:color w:val="2E74B5"/>
          <w:sz w:val="26"/>
          <w:szCs w:val="26"/>
        </w:rPr>
        <w:t xml:space="preserve">: </w:t>
      </w:r>
      <w:r>
        <w:rPr>
          <w:rFonts w:ascii="Calibri Light" w:eastAsia="Times New Roman" w:hAnsi="Calibri Light" w:cs="Times New Roman"/>
          <w:color w:val="2E74B5"/>
          <w:sz w:val="26"/>
          <w:szCs w:val="26"/>
        </w:rPr>
        <w:t>Standalone intervention</w:t>
      </w:r>
      <w:bookmarkEnd w:id="318"/>
      <w:r w:rsidRPr="004F5DCA">
        <w:rPr>
          <w:rFonts w:ascii="Calibri Light" w:eastAsia="Times New Roman" w:hAnsi="Calibri Light" w:cs="Times New Roman"/>
          <w:color w:val="2E74B5"/>
          <w:sz w:val="26"/>
          <w:szCs w:val="26"/>
        </w:rPr>
        <w:t xml:space="preserve"> </w:t>
      </w:r>
    </w:p>
    <w:tbl>
      <w:tblPr>
        <w:tblStyle w:val="GridTable5Dark-Accent5"/>
        <w:tblW w:w="5000" w:type="pct"/>
        <w:tblLook w:val="04A0" w:firstRow="1" w:lastRow="0" w:firstColumn="1" w:lastColumn="0" w:noHBand="0" w:noVBand="1"/>
      </w:tblPr>
      <w:tblGrid>
        <w:gridCol w:w="2012"/>
        <w:gridCol w:w="7004"/>
      </w:tblGrid>
      <w:tr w:rsidR="00B80B9A" w:rsidRPr="002F020F" w14:paraId="5357C259" w14:textId="77777777" w:rsidTr="004F2F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5BC3090A" w14:textId="77777777" w:rsidR="00B80B9A" w:rsidRPr="002F020F" w:rsidRDefault="00B80B9A" w:rsidP="004361E5">
            <w:pPr>
              <w:contextualSpacing/>
            </w:pPr>
            <w:r w:rsidRPr="002F020F">
              <w:t>Citation</w:t>
            </w:r>
          </w:p>
        </w:tc>
        <w:tc>
          <w:tcPr>
            <w:tcW w:w="3884" w:type="pct"/>
          </w:tcPr>
          <w:p w14:paraId="643EABF5" w14:textId="77777777" w:rsidR="00B80B9A" w:rsidRPr="00D51FBE" w:rsidRDefault="00B80B9A" w:rsidP="004361E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rPr>
            </w:pPr>
            <w:r w:rsidRPr="00D51FBE">
              <w:rPr>
                <w:rFonts w:cstheme="minorHAnsi"/>
                <w:szCs w:val="20"/>
              </w:rPr>
              <w:t>Masataka (2019)</w:t>
            </w:r>
          </w:p>
        </w:tc>
      </w:tr>
      <w:tr w:rsidR="00B80B9A" w:rsidRPr="002F020F" w14:paraId="35EDCCE7"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8C7C332" w14:textId="77777777" w:rsidR="00B80B9A" w:rsidRPr="002F020F" w:rsidRDefault="00B80B9A" w:rsidP="004361E5">
            <w:r w:rsidRPr="002F020F">
              <w:t>Study Design</w:t>
            </w:r>
          </w:p>
        </w:tc>
        <w:tc>
          <w:tcPr>
            <w:tcW w:w="3884" w:type="pct"/>
          </w:tcPr>
          <w:p w14:paraId="52984076" w14:textId="77777777" w:rsidR="00B80B9A" w:rsidRPr="002F020F" w:rsidRDefault="00B80B9A" w:rsidP="00B80B9A">
            <w:pPr>
              <w:pStyle w:val="ListParagraph"/>
              <w:numPr>
                <w:ilvl w:val="0"/>
                <w:numId w:val="9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Pr>
                <w:rFonts w:cstheme="minorHAnsi"/>
                <w:szCs w:val="20"/>
              </w:rPr>
              <w:t>Double-blind, r</w:t>
            </w:r>
            <w:r w:rsidRPr="006A77EE">
              <w:rPr>
                <w:rFonts w:cstheme="minorHAnsi"/>
                <w:szCs w:val="20"/>
              </w:rPr>
              <w:t>andomi</w:t>
            </w:r>
            <w:r>
              <w:rPr>
                <w:rFonts w:cstheme="minorHAnsi"/>
                <w:szCs w:val="20"/>
              </w:rPr>
              <w:t>s</w:t>
            </w:r>
            <w:r w:rsidRPr="006A77EE">
              <w:rPr>
                <w:rFonts w:cstheme="minorHAnsi"/>
                <w:szCs w:val="20"/>
              </w:rPr>
              <w:t>ed,</w:t>
            </w:r>
            <w:r>
              <w:rPr>
                <w:rFonts w:cstheme="minorHAnsi"/>
                <w:szCs w:val="20"/>
              </w:rPr>
              <w:t xml:space="preserve"> placebo-</w:t>
            </w:r>
            <w:r w:rsidRPr="006A77EE">
              <w:rPr>
                <w:rFonts w:cstheme="minorHAnsi"/>
                <w:szCs w:val="20"/>
              </w:rPr>
              <w:t>controlled</w:t>
            </w:r>
            <w:r>
              <w:rPr>
                <w:rFonts w:cstheme="minorHAnsi"/>
                <w:szCs w:val="20"/>
              </w:rPr>
              <w:t>,</w:t>
            </w:r>
            <w:r w:rsidRPr="006A77EE">
              <w:rPr>
                <w:rFonts w:cstheme="minorHAnsi"/>
                <w:szCs w:val="20"/>
              </w:rPr>
              <w:t xml:space="preserve"> trial</w:t>
            </w:r>
            <w:r>
              <w:rPr>
                <w:rFonts w:cstheme="minorHAnsi"/>
                <w:szCs w:val="20"/>
              </w:rPr>
              <w:t>.</w:t>
            </w:r>
          </w:p>
        </w:tc>
      </w:tr>
      <w:tr w:rsidR="00B80B9A" w:rsidRPr="002F020F" w14:paraId="0E8EBD3A"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7EDA922E" w14:textId="77777777" w:rsidR="00B80B9A" w:rsidRPr="002F020F" w:rsidRDefault="00B80B9A" w:rsidP="004361E5">
            <w:r w:rsidRPr="002F020F">
              <w:t>Sample Size</w:t>
            </w:r>
          </w:p>
        </w:tc>
        <w:tc>
          <w:tcPr>
            <w:tcW w:w="3884" w:type="pct"/>
          </w:tcPr>
          <w:p w14:paraId="2226EDDE" w14:textId="77777777" w:rsidR="00B80B9A" w:rsidRPr="004E747B" w:rsidRDefault="00B80B9A" w:rsidP="00B80B9A">
            <w:pPr>
              <w:pStyle w:val="ListParagraph"/>
              <w:numPr>
                <w:ilvl w:val="0"/>
                <w:numId w:val="93"/>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4E747B">
              <w:rPr>
                <w:rFonts w:cstheme="minorHAnsi"/>
                <w:color w:val="000000"/>
                <w:szCs w:val="20"/>
              </w:rPr>
              <w:t>37 participants (per-protocol sample).</w:t>
            </w:r>
          </w:p>
          <w:p w14:paraId="4A801A91" w14:textId="77777777" w:rsidR="00B80B9A" w:rsidRPr="004E747B"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sidRPr="004E747B">
              <w:rPr>
                <w:rFonts w:cstheme="minorHAnsi"/>
                <w:color w:val="000000"/>
                <w:szCs w:val="20"/>
              </w:rPr>
              <w:t>40 participants enrolled</w:t>
            </w:r>
            <w:r>
              <w:rPr>
                <w:rFonts w:cstheme="minorHAnsi"/>
                <w:color w:val="000000"/>
                <w:szCs w:val="20"/>
              </w:rPr>
              <w:t>.</w:t>
            </w:r>
          </w:p>
          <w:p w14:paraId="2F87FA01" w14:textId="77777777" w:rsidR="00B80B9A" w:rsidRPr="004E747B"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Pr>
                <w:color w:val="000000" w:themeColor="text1"/>
              </w:rPr>
              <w:t xml:space="preserve">3 </w:t>
            </w:r>
            <w:r w:rsidRPr="00386788">
              <w:rPr>
                <w:color w:val="000000" w:themeColor="text1"/>
              </w:rPr>
              <w:t>participants</w:t>
            </w:r>
            <w:r>
              <w:rPr>
                <w:color w:val="000000" w:themeColor="text1"/>
              </w:rPr>
              <w:t xml:space="preserve"> dropped out of the CBD study condition as they </w:t>
            </w:r>
            <w:r w:rsidRPr="00386788">
              <w:rPr>
                <w:color w:val="000000" w:themeColor="text1"/>
              </w:rPr>
              <w:t>disliked the smell and taste of the CBD oil</w:t>
            </w:r>
            <w:r w:rsidRPr="004E747B">
              <w:rPr>
                <w:rFonts w:cstheme="minorHAnsi"/>
                <w:color w:val="000000"/>
                <w:szCs w:val="20"/>
              </w:rPr>
              <w:t>.</w:t>
            </w:r>
          </w:p>
        </w:tc>
      </w:tr>
      <w:tr w:rsidR="00B80B9A" w:rsidRPr="002F020F" w14:paraId="736614F1"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4FE0AC7" w14:textId="77777777" w:rsidR="00B80B9A" w:rsidRPr="0094024F" w:rsidRDefault="00B80B9A" w:rsidP="004361E5">
            <w:pPr>
              <w:rPr>
                <w:b w:val="0"/>
                <w:bCs w:val="0"/>
              </w:rPr>
            </w:pPr>
            <w:r w:rsidRPr="002F020F">
              <w:t>Population</w:t>
            </w:r>
          </w:p>
        </w:tc>
        <w:tc>
          <w:tcPr>
            <w:tcW w:w="3884" w:type="pct"/>
          </w:tcPr>
          <w:p w14:paraId="70F02A50" w14:textId="77777777" w:rsidR="00B80B9A" w:rsidRPr="004E747B" w:rsidRDefault="00B80B9A" w:rsidP="00B80B9A">
            <w:pPr>
              <w:pStyle w:val="ListParagraph"/>
              <w:numPr>
                <w:ilvl w:val="0"/>
                <w:numId w:val="94"/>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4E747B">
              <w:rPr>
                <w:rFonts w:cstheme="minorHAnsi"/>
                <w:color w:val="000000"/>
                <w:szCs w:val="20"/>
              </w:rPr>
              <w:t>Japan</w:t>
            </w:r>
            <w:r>
              <w:rPr>
                <w:rFonts w:cstheme="minorHAnsi"/>
                <w:color w:val="000000"/>
                <w:szCs w:val="20"/>
              </w:rPr>
              <w:t>.</w:t>
            </w:r>
          </w:p>
          <w:p w14:paraId="48943DD7" w14:textId="77777777" w:rsidR="00B80B9A" w:rsidRPr="004E747B" w:rsidRDefault="00B80B9A" w:rsidP="00B80B9A">
            <w:pPr>
              <w:pStyle w:val="ListParagraph"/>
              <w:numPr>
                <w:ilvl w:val="0"/>
                <w:numId w:val="94"/>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4E747B">
              <w:rPr>
                <w:rFonts w:cstheme="minorHAnsi"/>
                <w:color w:val="000000"/>
                <w:szCs w:val="20"/>
              </w:rPr>
              <w:t>Social anxiety disorder and comorbid avoidant personality disorder (DSM-IV criteria).</w:t>
            </w:r>
          </w:p>
          <w:p w14:paraId="7A1547D4" w14:textId="77777777" w:rsidR="00B80B9A" w:rsidRPr="004E747B" w:rsidRDefault="00B80B9A" w:rsidP="00B80B9A">
            <w:pPr>
              <w:pStyle w:val="ListParagraph"/>
              <w:numPr>
                <w:ilvl w:val="0"/>
                <w:numId w:val="94"/>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4E747B">
              <w:rPr>
                <w:rFonts w:cstheme="minorHAnsi"/>
                <w:color w:val="000000"/>
                <w:szCs w:val="20"/>
              </w:rPr>
              <w:t xml:space="preserve">Older teenagers (aged 18 to 19 years). </w:t>
            </w:r>
          </w:p>
          <w:p w14:paraId="1D719158" w14:textId="77777777" w:rsidR="00B80B9A" w:rsidRPr="004E747B" w:rsidRDefault="00B80B9A" w:rsidP="00B80B9A">
            <w:pPr>
              <w:pStyle w:val="ListParagraph"/>
              <w:numPr>
                <w:ilvl w:val="0"/>
                <w:numId w:val="94"/>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I (</w:t>
            </w:r>
            <w:r w:rsidRPr="004E747B">
              <w:rPr>
                <w:rFonts w:cstheme="minorHAnsi"/>
                <w:color w:val="000000"/>
                <w:szCs w:val="20"/>
              </w:rPr>
              <w:t>CBD</w:t>
            </w:r>
            <w:r>
              <w:rPr>
                <w:rFonts w:cstheme="minorHAnsi"/>
                <w:color w:val="000000"/>
                <w:szCs w:val="20"/>
              </w:rPr>
              <w:t>)</w:t>
            </w:r>
            <w:r w:rsidRPr="004E747B">
              <w:rPr>
                <w:rFonts w:cstheme="minorHAnsi"/>
                <w:color w:val="000000"/>
                <w:szCs w:val="20"/>
              </w:rPr>
              <w:t>: 70.6% male.</w:t>
            </w:r>
          </w:p>
          <w:p w14:paraId="28E1A43A" w14:textId="77777777" w:rsidR="00B80B9A" w:rsidRPr="002F020F" w:rsidRDefault="00B80B9A" w:rsidP="00B80B9A">
            <w:pPr>
              <w:pStyle w:val="ListParagraph"/>
              <w:numPr>
                <w:ilvl w:val="0"/>
                <w:numId w:val="94"/>
              </w:numPr>
              <w:spacing w:after="120"/>
              <w:cnfStyle w:val="000000100000" w:firstRow="0" w:lastRow="0" w:firstColumn="0" w:lastColumn="0" w:oddVBand="0" w:evenVBand="0" w:oddHBand="1" w:evenHBand="0" w:firstRowFirstColumn="0" w:firstRowLastColumn="0" w:lastRowFirstColumn="0" w:lastRowLastColumn="0"/>
            </w:pPr>
            <w:r>
              <w:rPr>
                <w:rFonts w:cstheme="minorHAnsi"/>
                <w:color w:val="000000"/>
                <w:szCs w:val="20"/>
              </w:rPr>
              <w:t>C (p</w:t>
            </w:r>
            <w:r w:rsidRPr="00A54E24">
              <w:rPr>
                <w:rFonts w:cstheme="minorHAnsi"/>
                <w:color w:val="000000"/>
                <w:szCs w:val="20"/>
              </w:rPr>
              <w:t>lacebo</w:t>
            </w:r>
            <w:r>
              <w:rPr>
                <w:rFonts w:cstheme="minorHAnsi"/>
                <w:color w:val="000000"/>
                <w:szCs w:val="20"/>
              </w:rPr>
              <w:t>)</w:t>
            </w:r>
            <w:r w:rsidRPr="00295DE6">
              <w:rPr>
                <w:rFonts w:cstheme="minorHAnsi"/>
                <w:color w:val="000000"/>
                <w:szCs w:val="20"/>
              </w:rPr>
              <w:t xml:space="preserve">: 70.0% male. </w:t>
            </w:r>
          </w:p>
        </w:tc>
      </w:tr>
      <w:tr w:rsidR="00B80B9A" w:rsidRPr="002F020F" w14:paraId="39CF5FD4"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2E3E5385" w14:textId="77777777" w:rsidR="00B80B9A" w:rsidRPr="002F020F" w:rsidRDefault="00B80B9A" w:rsidP="004361E5">
            <w:pPr>
              <w:spacing w:line="259" w:lineRule="auto"/>
              <w:rPr>
                <w:b w:val="0"/>
                <w:bCs w:val="0"/>
              </w:rPr>
            </w:pPr>
            <w:r w:rsidRPr="002F020F">
              <w:t xml:space="preserve">Intervention/s (I) and </w:t>
            </w:r>
          </w:p>
          <w:p w14:paraId="2816D36F" w14:textId="77777777" w:rsidR="00B80B9A" w:rsidRPr="002F020F" w:rsidRDefault="00B80B9A" w:rsidP="004361E5">
            <w:pPr>
              <w:spacing w:line="259" w:lineRule="auto"/>
            </w:pPr>
            <w:r w:rsidRPr="002F020F">
              <w:t xml:space="preserve">Comparator/s (C) </w:t>
            </w:r>
          </w:p>
        </w:tc>
        <w:tc>
          <w:tcPr>
            <w:tcW w:w="3884" w:type="pct"/>
          </w:tcPr>
          <w:p w14:paraId="0EBA130F" w14:textId="77777777" w:rsidR="00B80B9A" w:rsidRPr="00AF12E8" w:rsidRDefault="00B80B9A" w:rsidP="00B80B9A">
            <w:pPr>
              <w:pStyle w:val="ListParagraph"/>
              <w:numPr>
                <w:ilvl w:val="0"/>
                <w:numId w:val="95"/>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Pr>
                <w:rFonts w:cstheme="minorHAnsi"/>
                <w:color w:val="000000"/>
                <w:szCs w:val="20"/>
              </w:rPr>
              <w:t>All participants received an o</w:t>
            </w:r>
            <w:r w:rsidRPr="00AF12E8">
              <w:rPr>
                <w:rFonts w:cstheme="minorHAnsi"/>
                <w:color w:val="000000"/>
                <w:szCs w:val="20"/>
              </w:rPr>
              <w:t>ral solution once daily for four (4) weeks.</w:t>
            </w:r>
          </w:p>
          <w:p w14:paraId="1379CFBD" w14:textId="77777777" w:rsidR="00B80B9A" w:rsidRPr="00AF12E8" w:rsidRDefault="00B80B9A" w:rsidP="00B80B9A">
            <w:pPr>
              <w:pStyle w:val="ListParagraph"/>
              <w:numPr>
                <w:ilvl w:val="0"/>
                <w:numId w:val="95"/>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AF12E8">
              <w:rPr>
                <w:rFonts w:cstheme="minorHAnsi"/>
                <w:color w:val="000000"/>
                <w:szCs w:val="20"/>
              </w:rPr>
              <w:t>I (n = 17): CBD oi</w:t>
            </w:r>
            <w:r>
              <w:rPr>
                <w:rFonts w:cstheme="minorHAnsi"/>
                <w:color w:val="000000"/>
                <w:szCs w:val="20"/>
              </w:rPr>
              <w:t>l (300 mg) in solution</w:t>
            </w:r>
          </w:p>
          <w:p w14:paraId="43233C5C" w14:textId="77777777" w:rsidR="00B80B9A" w:rsidRPr="002F020F" w:rsidRDefault="00B80B9A" w:rsidP="00B80B9A">
            <w:pPr>
              <w:pStyle w:val="ListParagraph"/>
              <w:numPr>
                <w:ilvl w:val="0"/>
                <w:numId w:val="95"/>
              </w:numPr>
              <w:spacing w:after="120"/>
              <w:cnfStyle w:val="000000000000" w:firstRow="0" w:lastRow="0" w:firstColumn="0" w:lastColumn="0" w:oddVBand="0" w:evenVBand="0" w:oddHBand="0" w:evenHBand="0" w:firstRowFirstColumn="0" w:firstRowLastColumn="0" w:lastRowFirstColumn="0" w:lastRowLastColumn="0"/>
            </w:pPr>
            <w:r w:rsidRPr="006A77EE">
              <w:rPr>
                <w:rFonts w:cstheme="minorHAnsi"/>
                <w:color w:val="000000"/>
                <w:szCs w:val="20"/>
              </w:rPr>
              <w:t>C</w:t>
            </w:r>
            <w:r>
              <w:rPr>
                <w:rFonts w:cstheme="minorHAnsi"/>
                <w:color w:val="000000"/>
                <w:szCs w:val="20"/>
              </w:rPr>
              <w:t xml:space="preserve"> (n = 20)</w:t>
            </w:r>
            <w:r w:rsidRPr="006A77EE">
              <w:rPr>
                <w:rFonts w:cstheme="minorHAnsi"/>
                <w:color w:val="000000"/>
                <w:szCs w:val="20"/>
              </w:rPr>
              <w:t xml:space="preserve">: </w:t>
            </w:r>
            <w:r>
              <w:rPr>
                <w:rFonts w:cstheme="minorHAnsi"/>
                <w:color w:val="000000"/>
                <w:szCs w:val="20"/>
              </w:rPr>
              <w:t>ol</w:t>
            </w:r>
            <w:r w:rsidRPr="006A77EE">
              <w:rPr>
                <w:rFonts w:cstheme="minorHAnsi"/>
                <w:color w:val="000000"/>
                <w:szCs w:val="20"/>
              </w:rPr>
              <w:t>ive oil</w:t>
            </w:r>
            <w:r w:rsidRPr="006A77EE">
              <w:t xml:space="preserve"> </w:t>
            </w:r>
            <w:r>
              <w:t>(placebo) in solution</w:t>
            </w:r>
            <w:r>
              <w:rPr>
                <w:rFonts w:cstheme="minorHAnsi"/>
                <w:color w:val="000000"/>
                <w:szCs w:val="20"/>
              </w:rPr>
              <w:t>.</w:t>
            </w:r>
          </w:p>
        </w:tc>
      </w:tr>
      <w:tr w:rsidR="00B80B9A" w:rsidRPr="002F020F" w14:paraId="44E4CB89"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39C09A7" w14:textId="77777777" w:rsidR="00B80B9A" w:rsidRPr="002F020F" w:rsidRDefault="00B80B9A" w:rsidP="004361E5">
            <w:pPr>
              <w:spacing w:line="259" w:lineRule="auto"/>
            </w:pPr>
            <w:r w:rsidRPr="002F020F">
              <w:t>Outcome Measure/s</w:t>
            </w:r>
          </w:p>
        </w:tc>
        <w:tc>
          <w:tcPr>
            <w:tcW w:w="3884" w:type="pct"/>
          </w:tcPr>
          <w:p w14:paraId="742B2A00" w14:textId="77777777" w:rsidR="00B80B9A" w:rsidRPr="00D8790D" w:rsidRDefault="00B80B9A" w:rsidP="00B80B9A">
            <w:pPr>
              <w:pStyle w:val="ListParagraph"/>
              <w:numPr>
                <w:ilvl w:val="0"/>
                <w:numId w:val="89"/>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8790D">
              <w:rPr>
                <w:rFonts w:cstheme="minorHAnsi"/>
                <w:color w:val="000000"/>
                <w:szCs w:val="20"/>
              </w:rPr>
              <w:t>Fear of Negative Evaluation Questionnaire (FNE)</w:t>
            </w:r>
            <w:r>
              <w:rPr>
                <w:rFonts w:cstheme="minorHAnsi"/>
                <w:color w:val="000000"/>
                <w:szCs w:val="20"/>
              </w:rPr>
              <w:t>.</w:t>
            </w:r>
          </w:p>
          <w:p w14:paraId="36F73624" w14:textId="77777777" w:rsidR="00B80B9A" w:rsidRPr="002F020F" w:rsidRDefault="00B80B9A" w:rsidP="00B80B9A">
            <w:pPr>
              <w:pStyle w:val="ListParagraph"/>
              <w:numPr>
                <w:ilvl w:val="0"/>
                <w:numId w:val="89"/>
              </w:numPr>
              <w:spacing w:after="120"/>
              <w:cnfStyle w:val="000000100000" w:firstRow="0" w:lastRow="0" w:firstColumn="0" w:lastColumn="0" w:oddVBand="0" w:evenVBand="0" w:oddHBand="1" w:evenHBand="0" w:firstRowFirstColumn="0" w:firstRowLastColumn="0" w:lastRowFirstColumn="0" w:lastRowLastColumn="0"/>
            </w:pPr>
            <w:r w:rsidRPr="00D8790D">
              <w:rPr>
                <w:rFonts w:cstheme="minorHAnsi"/>
                <w:color w:val="000000"/>
                <w:szCs w:val="20"/>
              </w:rPr>
              <w:t>Liebowitz Social Anxiety Scale (LSAS)</w:t>
            </w:r>
            <w:r>
              <w:rPr>
                <w:rFonts w:cstheme="minorHAnsi"/>
                <w:color w:val="000000"/>
                <w:szCs w:val="20"/>
              </w:rPr>
              <w:t>.</w:t>
            </w:r>
          </w:p>
        </w:tc>
      </w:tr>
      <w:tr w:rsidR="00B80B9A" w:rsidRPr="002F020F" w14:paraId="0D2C09F3"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1861130D" w14:textId="77777777" w:rsidR="00B80B9A" w:rsidRPr="002F020F" w:rsidRDefault="00B80B9A" w:rsidP="004361E5">
            <w:r w:rsidRPr="002F020F">
              <w:t>General</w:t>
            </w:r>
          </w:p>
        </w:tc>
        <w:tc>
          <w:tcPr>
            <w:tcW w:w="3884" w:type="pct"/>
          </w:tcPr>
          <w:p w14:paraId="5F2489C0" w14:textId="77777777" w:rsidR="00B80B9A" w:rsidRPr="00ED7148"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Pr>
                <w:rFonts w:cstheme="minorHAnsi"/>
                <w:color w:val="000000"/>
                <w:szCs w:val="20"/>
              </w:rPr>
              <w:t xml:space="preserve">All participants were diagnosed by a psychiatrist using </w:t>
            </w:r>
            <w:r w:rsidRPr="00640BFA">
              <w:rPr>
                <w:rFonts w:cstheme="minorHAnsi"/>
                <w:color w:val="000000"/>
                <w:szCs w:val="20"/>
              </w:rPr>
              <w:t>the Structured Clinical Interview for DSM-IV Axis I and Axis II Disorders</w:t>
            </w:r>
            <w:r>
              <w:rPr>
                <w:rFonts w:cstheme="minorHAnsi"/>
                <w:color w:val="000000"/>
                <w:szCs w:val="20"/>
              </w:rPr>
              <w:t xml:space="preserve"> (SCID-I and SCID-II).</w:t>
            </w:r>
          </w:p>
          <w:p w14:paraId="17C57527" w14:textId="77777777" w:rsidR="00B80B9A" w:rsidRPr="006621BF" w:rsidRDefault="00B80B9A" w:rsidP="00B80B9A">
            <w:pPr>
              <w:numPr>
                <w:ilvl w:val="0"/>
                <w:numId w:val="88"/>
              </w:numPr>
              <w:ind w:left="357" w:hanging="357"/>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Pr>
                <w:rFonts w:cstheme="minorHAnsi"/>
                <w:color w:val="000000"/>
                <w:szCs w:val="20"/>
              </w:rPr>
              <w:t>P</w:t>
            </w:r>
            <w:r w:rsidRPr="00794E60">
              <w:rPr>
                <w:rFonts w:cstheme="minorHAnsi"/>
                <w:color w:val="000000"/>
                <w:szCs w:val="20"/>
              </w:rPr>
              <w:t xml:space="preserve">eriod study was conducted: </w:t>
            </w:r>
            <w:r>
              <w:rPr>
                <w:rFonts w:cstheme="minorHAnsi"/>
                <w:color w:val="000000"/>
                <w:szCs w:val="20"/>
              </w:rPr>
              <w:t>not reported.</w:t>
            </w:r>
          </w:p>
        </w:tc>
      </w:tr>
      <w:tr w:rsidR="00B80B9A" w:rsidRPr="002F020F" w14:paraId="01809F01"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D866C44" w14:textId="77777777" w:rsidR="00B80B9A" w:rsidRPr="002F020F" w:rsidRDefault="00B80B9A" w:rsidP="004361E5">
            <w:r w:rsidRPr="002F020F">
              <w:t>Inclusion Criteria</w:t>
            </w:r>
          </w:p>
        </w:tc>
        <w:tc>
          <w:tcPr>
            <w:tcW w:w="3884" w:type="pct"/>
          </w:tcPr>
          <w:p w14:paraId="58F4675C" w14:textId="77777777" w:rsidR="00B80B9A" w:rsidRPr="006A77EE"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6A77EE">
              <w:rPr>
                <w:rFonts w:cstheme="minorHAnsi"/>
                <w:color w:val="000000"/>
                <w:szCs w:val="20"/>
              </w:rPr>
              <w:t xml:space="preserve">18 </w:t>
            </w:r>
            <w:r>
              <w:rPr>
                <w:rFonts w:cstheme="minorHAnsi"/>
                <w:color w:val="000000"/>
                <w:szCs w:val="20"/>
              </w:rPr>
              <w:t>to</w:t>
            </w:r>
            <w:r w:rsidRPr="006A77EE">
              <w:rPr>
                <w:rFonts w:cstheme="minorHAnsi"/>
                <w:color w:val="000000"/>
                <w:szCs w:val="20"/>
              </w:rPr>
              <w:t xml:space="preserve"> 19 years old</w:t>
            </w:r>
            <w:r>
              <w:rPr>
                <w:rFonts w:cstheme="minorHAnsi"/>
                <w:color w:val="000000"/>
                <w:szCs w:val="20"/>
              </w:rPr>
              <w:t>.</w:t>
            </w:r>
          </w:p>
          <w:p w14:paraId="332E1B99" w14:textId="77777777" w:rsidR="00B80B9A" w:rsidRPr="006A77EE"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Pr>
                <w:rFonts w:cstheme="minorHAnsi"/>
                <w:color w:val="000000"/>
                <w:szCs w:val="20"/>
              </w:rPr>
              <w:t xml:space="preserve">Naïve </w:t>
            </w:r>
            <w:r w:rsidRPr="006A77EE">
              <w:rPr>
                <w:rFonts w:cstheme="minorHAnsi"/>
                <w:color w:val="000000"/>
                <w:szCs w:val="20"/>
              </w:rPr>
              <w:t>to cannabis</w:t>
            </w:r>
            <w:r>
              <w:rPr>
                <w:rFonts w:cstheme="minorHAnsi"/>
                <w:color w:val="000000"/>
                <w:szCs w:val="20"/>
              </w:rPr>
              <w:t>.</w:t>
            </w:r>
          </w:p>
          <w:p w14:paraId="0AE59AFF" w14:textId="77777777" w:rsidR="00B80B9A" w:rsidRPr="006A77EE"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Pr>
                <w:rFonts w:cstheme="minorHAnsi"/>
                <w:color w:val="000000"/>
                <w:szCs w:val="20"/>
              </w:rPr>
              <w:t>Social anxiety disorder (SAD; DSM-IV criteria).</w:t>
            </w:r>
          </w:p>
          <w:p w14:paraId="2577D705" w14:textId="77777777" w:rsidR="00B80B9A" w:rsidRPr="006621BF" w:rsidRDefault="00B80B9A" w:rsidP="00B80B9A">
            <w:pPr>
              <w:numPr>
                <w:ilvl w:val="0"/>
                <w:numId w:val="90"/>
              </w:num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6A77EE">
              <w:rPr>
                <w:rFonts w:cstheme="minorHAnsi"/>
                <w:color w:val="000000"/>
                <w:szCs w:val="20"/>
              </w:rPr>
              <w:t xml:space="preserve">Symptoms </w:t>
            </w:r>
            <w:r>
              <w:rPr>
                <w:rFonts w:cstheme="minorHAnsi"/>
                <w:color w:val="000000"/>
                <w:szCs w:val="20"/>
              </w:rPr>
              <w:t xml:space="preserve">of SAD </w:t>
            </w:r>
            <w:r w:rsidRPr="006A77EE">
              <w:rPr>
                <w:rFonts w:cstheme="minorHAnsi"/>
                <w:color w:val="000000"/>
                <w:szCs w:val="20"/>
              </w:rPr>
              <w:t>for at least 6 months at study</w:t>
            </w:r>
            <w:r>
              <w:rPr>
                <w:rFonts w:cstheme="minorHAnsi"/>
                <w:color w:val="000000"/>
                <w:szCs w:val="20"/>
              </w:rPr>
              <w:t xml:space="preserve"> commencement</w:t>
            </w:r>
            <w:r w:rsidRPr="006A77EE">
              <w:rPr>
                <w:rFonts w:cstheme="minorHAnsi"/>
                <w:color w:val="000000"/>
                <w:szCs w:val="20"/>
              </w:rPr>
              <w:t>.</w:t>
            </w:r>
          </w:p>
        </w:tc>
      </w:tr>
      <w:tr w:rsidR="00B80B9A" w:rsidRPr="002F020F" w14:paraId="25A70EE9"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3E60A814" w14:textId="77777777" w:rsidR="00B80B9A" w:rsidRPr="002F020F" w:rsidRDefault="00B80B9A" w:rsidP="004361E5">
            <w:r w:rsidRPr="002F020F">
              <w:t>Exclusion Criteria</w:t>
            </w:r>
          </w:p>
        </w:tc>
        <w:tc>
          <w:tcPr>
            <w:tcW w:w="3884" w:type="pct"/>
          </w:tcPr>
          <w:p w14:paraId="1D1CE262" w14:textId="77777777" w:rsidR="00B80B9A" w:rsidRPr="006A77EE"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Pr>
                <w:rFonts w:cstheme="minorHAnsi"/>
                <w:color w:val="000000"/>
                <w:szCs w:val="20"/>
              </w:rPr>
              <w:t>P</w:t>
            </w:r>
            <w:r w:rsidRPr="006A77EE">
              <w:rPr>
                <w:rFonts w:cstheme="minorHAnsi"/>
                <w:color w:val="000000"/>
                <w:szCs w:val="20"/>
              </w:rPr>
              <w:t xml:space="preserve">revious or concurrent </w:t>
            </w:r>
            <w:r>
              <w:rPr>
                <w:rFonts w:cstheme="minorHAnsi"/>
                <w:color w:val="000000"/>
                <w:szCs w:val="20"/>
              </w:rPr>
              <w:t xml:space="preserve">pharmacological or </w:t>
            </w:r>
            <w:r w:rsidRPr="006A77EE">
              <w:rPr>
                <w:rFonts w:cstheme="minorHAnsi"/>
                <w:color w:val="000000"/>
                <w:szCs w:val="20"/>
              </w:rPr>
              <w:t>psychological treatment</w:t>
            </w:r>
            <w:r>
              <w:rPr>
                <w:rFonts w:cstheme="minorHAnsi"/>
                <w:color w:val="000000"/>
                <w:szCs w:val="20"/>
              </w:rPr>
              <w:t>.</w:t>
            </w:r>
          </w:p>
          <w:p w14:paraId="782583BE" w14:textId="77777777" w:rsidR="00B80B9A" w:rsidRPr="006A77EE"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6A77EE">
              <w:rPr>
                <w:rFonts w:cstheme="minorHAnsi"/>
                <w:color w:val="000000"/>
                <w:szCs w:val="20"/>
              </w:rPr>
              <w:t>Any form of psychotic or organic illness</w:t>
            </w:r>
            <w:r>
              <w:rPr>
                <w:rFonts w:cstheme="minorHAnsi"/>
                <w:color w:val="000000"/>
                <w:szCs w:val="20"/>
              </w:rPr>
              <w:t>.</w:t>
            </w:r>
          </w:p>
          <w:p w14:paraId="523C0E6D" w14:textId="77777777" w:rsidR="00B80B9A" w:rsidRPr="006A77EE"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6A77EE">
              <w:rPr>
                <w:rFonts w:cstheme="minorHAnsi"/>
                <w:color w:val="000000"/>
                <w:szCs w:val="20"/>
              </w:rPr>
              <w:t>Diagnosis of cluster A or</w:t>
            </w:r>
            <w:r>
              <w:rPr>
                <w:rFonts w:cstheme="minorHAnsi"/>
                <w:color w:val="000000"/>
                <w:szCs w:val="20"/>
              </w:rPr>
              <w:t xml:space="preserve"> cluster</w:t>
            </w:r>
            <w:r w:rsidRPr="006A77EE">
              <w:rPr>
                <w:rFonts w:cstheme="minorHAnsi"/>
                <w:color w:val="000000"/>
                <w:szCs w:val="20"/>
              </w:rPr>
              <w:t xml:space="preserve"> B personality disorder, acute suicidality</w:t>
            </w:r>
            <w:r>
              <w:rPr>
                <w:rFonts w:cstheme="minorHAnsi"/>
                <w:color w:val="000000"/>
                <w:szCs w:val="20"/>
              </w:rPr>
              <w:t>,</w:t>
            </w:r>
            <w:r w:rsidRPr="006A77EE">
              <w:rPr>
                <w:rFonts w:cstheme="minorHAnsi"/>
                <w:color w:val="000000"/>
                <w:szCs w:val="20"/>
              </w:rPr>
              <w:t xml:space="preserve"> or </w:t>
            </w:r>
            <w:r>
              <w:rPr>
                <w:rFonts w:cstheme="minorHAnsi"/>
                <w:color w:val="000000"/>
                <w:szCs w:val="20"/>
              </w:rPr>
              <w:t xml:space="preserve">substance </w:t>
            </w:r>
            <w:r w:rsidRPr="006A77EE">
              <w:rPr>
                <w:rFonts w:cstheme="minorHAnsi"/>
                <w:color w:val="000000"/>
                <w:szCs w:val="20"/>
              </w:rPr>
              <w:t>dependence</w:t>
            </w:r>
            <w:r>
              <w:rPr>
                <w:rFonts w:cstheme="minorHAnsi"/>
                <w:color w:val="000000"/>
                <w:szCs w:val="20"/>
              </w:rPr>
              <w:t>.</w:t>
            </w:r>
          </w:p>
          <w:p w14:paraId="650255EB" w14:textId="77777777" w:rsidR="00B80B9A" w:rsidRPr="006621BF" w:rsidRDefault="00B80B9A" w:rsidP="00B80B9A">
            <w:pPr>
              <w:numPr>
                <w:ilvl w:val="0"/>
                <w:numId w:val="91"/>
              </w:numPr>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Pr>
                <w:rFonts w:cstheme="minorHAnsi"/>
                <w:color w:val="000000"/>
                <w:szCs w:val="20"/>
              </w:rPr>
              <w:t>C</w:t>
            </w:r>
            <w:r w:rsidRPr="006A77EE">
              <w:rPr>
                <w:rFonts w:cstheme="minorHAnsi"/>
                <w:color w:val="000000"/>
                <w:szCs w:val="20"/>
              </w:rPr>
              <w:t xml:space="preserve">omorbid diagnosis of other anxiety or mood disorders. </w:t>
            </w:r>
          </w:p>
        </w:tc>
      </w:tr>
      <w:tr w:rsidR="00B80B9A" w:rsidRPr="002F020F" w14:paraId="7A7BF229"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4F3C1C3" w14:textId="77777777" w:rsidR="00B80B9A" w:rsidRPr="002F020F" w:rsidRDefault="00B80B9A" w:rsidP="004361E5">
            <w:r w:rsidRPr="002F020F">
              <w:t>Assessment Time-</w:t>
            </w:r>
            <w:r>
              <w:t>P</w:t>
            </w:r>
            <w:r w:rsidRPr="002F020F">
              <w:t>oint/s</w:t>
            </w:r>
          </w:p>
        </w:tc>
        <w:tc>
          <w:tcPr>
            <w:tcW w:w="3884" w:type="pct"/>
          </w:tcPr>
          <w:p w14:paraId="665D0365" w14:textId="77777777" w:rsidR="00B80B9A" w:rsidRPr="00465A22" w:rsidRDefault="00B80B9A" w:rsidP="00B80B9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465A22">
              <w:rPr>
                <w:color w:val="000000" w:themeColor="text1"/>
              </w:rPr>
              <w:t>Baseline: minimum of 3 weeks showing stable FNE scores.</w:t>
            </w:r>
          </w:p>
          <w:p w14:paraId="19582451" w14:textId="77777777" w:rsidR="00B80B9A" w:rsidRPr="00465A22" w:rsidRDefault="00B80B9A" w:rsidP="00B80B9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465A22">
              <w:rPr>
                <w:color w:val="000000" w:themeColor="text1"/>
              </w:rPr>
              <w:t>Post-treatment: end of the four-week intervention period</w:t>
            </w:r>
            <w:r w:rsidRPr="00465A22">
              <w:rPr>
                <w:rFonts w:cstheme="minorHAnsi"/>
                <w:color w:val="000000"/>
                <w:szCs w:val="20"/>
              </w:rPr>
              <w:t>.</w:t>
            </w:r>
          </w:p>
          <w:p w14:paraId="6575FD1B" w14:textId="77777777" w:rsidR="00B80B9A" w:rsidRPr="002F020F" w:rsidRDefault="00B80B9A" w:rsidP="00B80B9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pPr>
            <w:r>
              <w:rPr>
                <w:rFonts w:cstheme="minorHAnsi"/>
                <w:color w:val="000000"/>
                <w:szCs w:val="20"/>
              </w:rPr>
              <w:t xml:space="preserve">Follow-up: brief </w:t>
            </w:r>
            <w:r w:rsidRPr="00794E60">
              <w:rPr>
                <w:rFonts w:cstheme="minorHAnsi"/>
                <w:color w:val="000000"/>
                <w:szCs w:val="20"/>
              </w:rPr>
              <w:t xml:space="preserve">home check-ins </w:t>
            </w:r>
            <w:r>
              <w:rPr>
                <w:rFonts w:cstheme="minorHAnsi"/>
                <w:color w:val="000000"/>
                <w:szCs w:val="20"/>
              </w:rPr>
              <w:t xml:space="preserve">(once a week) </w:t>
            </w:r>
            <w:r w:rsidRPr="00794E60">
              <w:rPr>
                <w:rFonts w:cstheme="minorHAnsi"/>
                <w:color w:val="000000"/>
                <w:szCs w:val="20"/>
              </w:rPr>
              <w:t>by clinical psychologist for up to 6 months post-</w:t>
            </w:r>
            <w:r>
              <w:rPr>
                <w:rFonts w:cstheme="minorHAnsi"/>
                <w:color w:val="000000"/>
                <w:szCs w:val="20"/>
              </w:rPr>
              <w:t>treatment</w:t>
            </w:r>
            <w:r w:rsidRPr="00794E60">
              <w:rPr>
                <w:rFonts w:cstheme="minorHAnsi"/>
                <w:color w:val="000000"/>
                <w:szCs w:val="20"/>
              </w:rPr>
              <w:t>.</w:t>
            </w:r>
          </w:p>
        </w:tc>
      </w:tr>
      <w:tr w:rsidR="00B80B9A" w:rsidRPr="002F020F" w14:paraId="64427EA0"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00060AAE" w14:textId="77777777" w:rsidR="00B80B9A" w:rsidRPr="002F020F" w:rsidRDefault="00B80B9A" w:rsidP="004361E5">
            <w:r w:rsidRPr="002F020F">
              <w:t>Main Findings</w:t>
            </w:r>
          </w:p>
        </w:tc>
        <w:tc>
          <w:tcPr>
            <w:tcW w:w="3884" w:type="pct"/>
          </w:tcPr>
          <w:p w14:paraId="02D46B63" w14:textId="77777777" w:rsidR="00B80B9A" w:rsidRPr="0015712D" w:rsidRDefault="00B80B9A" w:rsidP="00B80B9A">
            <w:pPr>
              <w:pStyle w:val="ListParagraph"/>
              <w:numPr>
                <w:ilvl w:val="0"/>
                <w:numId w:val="91"/>
              </w:numPr>
              <w:spacing w:after="120"/>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5F5048">
              <w:rPr>
                <w:rFonts w:cstheme="minorHAnsi"/>
                <w:color w:val="000000"/>
                <w:szCs w:val="20"/>
              </w:rPr>
              <w:t>FNE score</w:t>
            </w:r>
            <w:r>
              <w:rPr>
                <w:rFonts w:cstheme="minorHAnsi"/>
                <w:color w:val="000000"/>
                <w:szCs w:val="20"/>
              </w:rPr>
              <w:t>s:</w:t>
            </w:r>
          </w:p>
          <w:p w14:paraId="2A2874F5" w14:textId="77777777" w:rsidR="00B80B9A" w:rsidRPr="0015712D" w:rsidRDefault="00B80B9A" w:rsidP="00B80B9A">
            <w:pPr>
              <w:pStyle w:val="ListParagraph"/>
              <w:numPr>
                <w:ilvl w:val="1"/>
                <w:numId w:val="91"/>
              </w:numPr>
              <w:spacing w:after="120"/>
              <w:ind w:left="714" w:hanging="357"/>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5F5048">
              <w:rPr>
                <w:rFonts w:cstheme="minorHAnsi"/>
                <w:color w:val="000000"/>
                <w:szCs w:val="20"/>
              </w:rPr>
              <w:t>CBD group</w:t>
            </w:r>
            <w:r>
              <w:rPr>
                <w:rFonts w:cstheme="minorHAnsi"/>
                <w:color w:val="000000"/>
                <w:szCs w:val="20"/>
              </w:rPr>
              <w:t>:</w:t>
            </w:r>
            <w:r w:rsidRPr="005F5048">
              <w:rPr>
                <w:rFonts w:cstheme="minorHAnsi"/>
                <w:color w:val="000000"/>
                <w:szCs w:val="20"/>
              </w:rPr>
              <w:t xml:space="preserve"> </w:t>
            </w:r>
            <w:r>
              <w:rPr>
                <w:rFonts w:cstheme="minorHAnsi"/>
                <w:color w:val="000000"/>
                <w:szCs w:val="20"/>
              </w:rPr>
              <w:t xml:space="preserve">M = </w:t>
            </w:r>
            <w:r w:rsidRPr="005F5048">
              <w:rPr>
                <w:rFonts w:cstheme="minorHAnsi"/>
                <w:color w:val="000000"/>
                <w:szCs w:val="20"/>
              </w:rPr>
              <w:t>24.4 (</w:t>
            </w:r>
            <w:r>
              <w:rPr>
                <w:rFonts w:cstheme="minorHAnsi"/>
                <w:color w:val="000000"/>
                <w:szCs w:val="20"/>
              </w:rPr>
              <w:t xml:space="preserve">SD = </w:t>
            </w:r>
            <w:r w:rsidRPr="005F5048">
              <w:rPr>
                <w:rFonts w:cstheme="minorHAnsi"/>
                <w:color w:val="000000"/>
                <w:szCs w:val="20"/>
              </w:rPr>
              <w:t>2.7) in the pre</w:t>
            </w:r>
            <w:r>
              <w:rPr>
                <w:rFonts w:cstheme="minorHAnsi"/>
                <w:color w:val="000000"/>
                <w:szCs w:val="20"/>
              </w:rPr>
              <w:t>-</w:t>
            </w:r>
            <w:r w:rsidRPr="005F5048">
              <w:rPr>
                <w:rFonts w:cstheme="minorHAnsi"/>
                <w:color w:val="000000"/>
                <w:szCs w:val="20"/>
              </w:rPr>
              <w:t xml:space="preserve">intervention measurement and </w:t>
            </w:r>
            <w:r>
              <w:rPr>
                <w:rFonts w:cstheme="minorHAnsi"/>
                <w:color w:val="000000"/>
                <w:szCs w:val="20"/>
              </w:rPr>
              <w:t xml:space="preserve">M = </w:t>
            </w:r>
            <w:r w:rsidRPr="005F5048">
              <w:rPr>
                <w:rFonts w:cstheme="minorHAnsi"/>
                <w:color w:val="000000"/>
                <w:szCs w:val="20"/>
              </w:rPr>
              <w:t>19.1 (</w:t>
            </w:r>
            <w:r>
              <w:rPr>
                <w:rFonts w:cstheme="minorHAnsi"/>
                <w:color w:val="000000"/>
                <w:szCs w:val="20"/>
              </w:rPr>
              <w:t xml:space="preserve">SD = </w:t>
            </w:r>
            <w:r w:rsidRPr="005F5048">
              <w:rPr>
                <w:rFonts w:cstheme="minorHAnsi"/>
                <w:color w:val="000000"/>
                <w:szCs w:val="20"/>
              </w:rPr>
              <w:t>2.1) in the post</w:t>
            </w:r>
            <w:r>
              <w:rPr>
                <w:rFonts w:cstheme="minorHAnsi"/>
                <w:color w:val="000000"/>
                <w:szCs w:val="20"/>
              </w:rPr>
              <w:t>-</w:t>
            </w:r>
            <w:r w:rsidRPr="005F5048">
              <w:rPr>
                <w:rFonts w:cstheme="minorHAnsi"/>
                <w:color w:val="000000"/>
                <w:szCs w:val="20"/>
              </w:rPr>
              <w:t>intervention measurement</w:t>
            </w:r>
            <w:r>
              <w:rPr>
                <w:rFonts w:cstheme="minorHAnsi"/>
                <w:color w:val="000000"/>
                <w:szCs w:val="20"/>
              </w:rPr>
              <w:t>.</w:t>
            </w:r>
          </w:p>
          <w:p w14:paraId="6D1BA0C7" w14:textId="77777777" w:rsidR="00B80B9A" w:rsidRPr="00251BB0" w:rsidRDefault="00B80B9A" w:rsidP="00B80B9A">
            <w:pPr>
              <w:pStyle w:val="ListParagraph"/>
              <w:numPr>
                <w:ilvl w:val="1"/>
                <w:numId w:val="91"/>
              </w:numPr>
              <w:spacing w:after="120"/>
              <w:ind w:left="714" w:hanging="357"/>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Pr>
                <w:rFonts w:cstheme="minorHAnsi"/>
                <w:color w:val="000000"/>
                <w:szCs w:val="20"/>
              </w:rPr>
              <w:t>P</w:t>
            </w:r>
            <w:r w:rsidRPr="005F5048">
              <w:rPr>
                <w:rFonts w:cstheme="minorHAnsi"/>
                <w:color w:val="000000"/>
                <w:szCs w:val="20"/>
              </w:rPr>
              <w:t>lacebo group</w:t>
            </w:r>
            <w:r>
              <w:rPr>
                <w:rFonts w:cstheme="minorHAnsi"/>
                <w:color w:val="000000"/>
                <w:szCs w:val="20"/>
              </w:rPr>
              <w:t>:</w:t>
            </w:r>
            <w:r w:rsidRPr="005F5048">
              <w:rPr>
                <w:rFonts w:cstheme="minorHAnsi"/>
                <w:color w:val="000000"/>
                <w:szCs w:val="20"/>
              </w:rPr>
              <w:t xml:space="preserve"> 23.5 (2.1) in the pre</w:t>
            </w:r>
            <w:r>
              <w:rPr>
                <w:rFonts w:cstheme="minorHAnsi"/>
                <w:color w:val="000000"/>
                <w:szCs w:val="20"/>
              </w:rPr>
              <w:t>-</w:t>
            </w:r>
            <w:r w:rsidRPr="005F5048">
              <w:rPr>
                <w:rFonts w:cstheme="minorHAnsi"/>
                <w:color w:val="000000"/>
                <w:szCs w:val="20"/>
              </w:rPr>
              <w:t>intervention measurement and 23.3 (2.9) in the post</w:t>
            </w:r>
            <w:r>
              <w:rPr>
                <w:rFonts w:cstheme="minorHAnsi"/>
                <w:color w:val="000000"/>
                <w:szCs w:val="20"/>
              </w:rPr>
              <w:t>-</w:t>
            </w:r>
            <w:r w:rsidRPr="005F5048">
              <w:rPr>
                <w:rFonts w:cstheme="minorHAnsi"/>
                <w:color w:val="000000"/>
                <w:szCs w:val="20"/>
              </w:rPr>
              <w:t>intervention measurement.</w:t>
            </w:r>
          </w:p>
          <w:p w14:paraId="57F3EEBF" w14:textId="77777777" w:rsidR="00B80B9A" w:rsidRPr="00251BB0" w:rsidRDefault="00B80B9A" w:rsidP="00B80B9A">
            <w:pPr>
              <w:pStyle w:val="ListParagraph"/>
              <w:numPr>
                <w:ilvl w:val="1"/>
                <w:numId w:val="91"/>
              </w:numPr>
              <w:spacing w:after="120"/>
              <w:ind w:left="714" w:hanging="357"/>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251BB0">
              <w:rPr>
                <w:rFonts w:cstheme="minorHAnsi"/>
                <w:color w:val="000000"/>
                <w:szCs w:val="20"/>
              </w:rPr>
              <w:t>At post-treatment (week 4) social anxiety symptoms (as measured by the FNE) were significantly lower for the CBD group compared with the placebo group (</w:t>
            </w:r>
            <w:r w:rsidRPr="00251BB0">
              <w:rPr>
                <w:rFonts w:cstheme="minorHAnsi"/>
                <w:i/>
                <w:color w:val="000000"/>
                <w:szCs w:val="20"/>
              </w:rPr>
              <w:t>p</w:t>
            </w:r>
            <w:r w:rsidRPr="00251BB0">
              <w:rPr>
                <w:rFonts w:cstheme="minorHAnsi"/>
                <w:color w:val="000000"/>
                <w:szCs w:val="20"/>
              </w:rPr>
              <w:t xml:space="preserve"> = 0.0002), but the groups did not significantly differ at baseline (</w:t>
            </w:r>
            <w:r w:rsidRPr="00251BB0">
              <w:rPr>
                <w:rFonts w:cstheme="minorHAnsi"/>
                <w:i/>
                <w:iCs/>
                <w:color w:val="000000"/>
                <w:szCs w:val="20"/>
              </w:rPr>
              <w:t>p</w:t>
            </w:r>
            <w:r w:rsidRPr="00251BB0">
              <w:rPr>
                <w:rFonts w:cstheme="minorHAnsi"/>
                <w:color w:val="000000"/>
                <w:szCs w:val="20"/>
              </w:rPr>
              <w:t xml:space="preserve"> = 0.71).</w:t>
            </w:r>
          </w:p>
          <w:p w14:paraId="441B0A5A" w14:textId="77777777" w:rsidR="00B80B9A" w:rsidRPr="00406F9D" w:rsidRDefault="00B80B9A" w:rsidP="00B80B9A">
            <w:pPr>
              <w:pStyle w:val="ListParagraph"/>
              <w:numPr>
                <w:ilvl w:val="0"/>
                <w:numId w:val="91"/>
              </w:numPr>
              <w:spacing w:after="120"/>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8C5DAD">
              <w:rPr>
                <w:rFonts w:cstheme="minorHAnsi"/>
                <w:color w:val="000000"/>
                <w:szCs w:val="20"/>
              </w:rPr>
              <w:t>LSAS score</w:t>
            </w:r>
            <w:r>
              <w:rPr>
                <w:rFonts w:cstheme="minorHAnsi"/>
                <w:color w:val="000000"/>
                <w:szCs w:val="20"/>
              </w:rPr>
              <w:t>s</w:t>
            </w:r>
          </w:p>
          <w:p w14:paraId="5C68E6ED" w14:textId="77777777" w:rsidR="00B80B9A" w:rsidRPr="00406F9D" w:rsidRDefault="00B80B9A" w:rsidP="00B80B9A">
            <w:pPr>
              <w:pStyle w:val="ListParagraph"/>
              <w:numPr>
                <w:ilvl w:val="1"/>
                <w:numId w:val="91"/>
              </w:numPr>
              <w:spacing w:after="120"/>
              <w:ind w:left="714" w:hanging="357"/>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8C5DAD">
              <w:rPr>
                <w:rFonts w:cstheme="minorHAnsi"/>
                <w:color w:val="000000"/>
                <w:szCs w:val="20"/>
              </w:rPr>
              <w:t>CBD group</w:t>
            </w:r>
            <w:r>
              <w:rPr>
                <w:rFonts w:cstheme="minorHAnsi"/>
                <w:color w:val="000000"/>
                <w:szCs w:val="20"/>
              </w:rPr>
              <w:t>: M =</w:t>
            </w:r>
            <w:r w:rsidRPr="008C5DAD">
              <w:rPr>
                <w:rFonts w:cstheme="minorHAnsi"/>
                <w:color w:val="000000"/>
                <w:szCs w:val="20"/>
              </w:rPr>
              <w:t xml:space="preserve"> 74.2 (</w:t>
            </w:r>
            <w:r>
              <w:rPr>
                <w:rFonts w:cstheme="minorHAnsi"/>
                <w:color w:val="000000"/>
                <w:szCs w:val="20"/>
              </w:rPr>
              <w:t xml:space="preserve">SD = </w:t>
            </w:r>
            <w:r w:rsidRPr="008C5DAD">
              <w:rPr>
                <w:rFonts w:cstheme="minorHAnsi"/>
                <w:color w:val="000000"/>
                <w:szCs w:val="20"/>
              </w:rPr>
              <w:t>7.5) in the pre</w:t>
            </w:r>
            <w:r>
              <w:rPr>
                <w:rFonts w:cstheme="minorHAnsi"/>
                <w:color w:val="000000"/>
                <w:szCs w:val="20"/>
              </w:rPr>
              <w:t>-</w:t>
            </w:r>
            <w:r w:rsidRPr="008C5DAD">
              <w:rPr>
                <w:rFonts w:cstheme="minorHAnsi"/>
                <w:color w:val="000000"/>
                <w:szCs w:val="20"/>
              </w:rPr>
              <w:t xml:space="preserve">intervention measurement and </w:t>
            </w:r>
            <w:r>
              <w:rPr>
                <w:rFonts w:cstheme="minorHAnsi"/>
                <w:color w:val="000000"/>
                <w:szCs w:val="20"/>
              </w:rPr>
              <w:t xml:space="preserve">M = </w:t>
            </w:r>
            <w:r w:rsidRPr="008C5DAD">
              <w:rPr>
                <w:rFonts w:cstheme="minorHAnsi"/>
                <w:color w:val="000000"/>
                <w:szCs w:val="20"/>
              </w:rPr>
              <w:t>62.1 (</w:t>
            </w:r>
            <w:r>
              <w:rPr>
                <w:rFonts w:cstheme="minorHAnsi"/>
                <w:color w:val="000000"/>
                <w:szCs w:val="20"/>
              </w:rPr>
              <w:t xml:space="preserve">SD = </w:t>
            </w:r>
            <w:r w:rsidRPr="008C5DAD">
              <w:rPr>
                <w:rFonts w:cstheme="minorHAnsi"/>
                <w:color w:val="000000"/>
                <w:szCs w:val="20"/>
              </w:rPr>
              <w:t>8.7) in the post</w:t>
            </w:r>
            <w:r>
              <w:rPr>
                <w:rFonts w:cstheme="minorHAnsi"/>
                <w:color w:val="000000"/>
                <w:szCs w:val="20"/>
              </w:rPr>
              <w:t>-</w:t>
            </w:r>
            <w:r w:rsidRPr="008C5DAD">
              <w:rPr>
                <w:rFonts w:cstheme="minorHAnsi"/>
                <w:color w:val="000000"/>
                <w:szCs w:val="20"/>
              </w:rPr>
              <w:t>intervention measurement</w:t>
            </w:r>
            <w:r>
              <w:rPr>
                <w:rFonts w:cstheme="minorHAnsi"/>
                <w:color w:val="000000"/>
                <w:szCs w:val="20"/>
              </w:rPr>
              <w:t>.</w:t>
            </w:r>
          </w:p>
          <w:p w14:paraId="3F6FEFD5" w14:textId="77777777" w:rsidR="00B80B9A" w:rsidRPr="00251BB0" w:rsidRDefault="00B80B9A" w:rsidP="00B80B9A">
            <w:pPr>
              <w:pStyle w:val="ListParagraph"/>
              <w:numPr>
                <w:ilvl w:val="1"/>
                <w:numId w:val="91"/>
              </w:numPr>
              <w:spacing w:after="120"/>
              <w:ind w:left="714" w:hanging="357"/>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Pr>
                <w:rFonts w:cstheme="minorHAnsi"/>
                <w:color w:val="000000"/>
                <w:szCs w:val="20"/>
              </w:rPr>
              <w:lastRenderedPageBreak/>
              <w:t>P</w:t>
            </w:r>
            <w:r w:rsidRPr="008C5DAD">
              <w:rPr>
                <w:rFonts w:cstheme="minorHAnsi"/>
                <w:color w:val="000000"/>
                <w:szCs w:val="20"/>
              </w:rPr>
              <w:t>lacebo group</w:t>
            </w:r>
            <w:r>
              <w:rPr>
                <w:rFonts w:cstheme="minorHAnsi"/>
                <w:color w:val="000000"/>
                <w:szCs w:val="20"/>
              </w:rPr>
              <w:t>: M =</w:t>
            </w:r>
            <w:r w:rsidRPr="008C5DAD">
              <w:rPr>
                <w:rFonts w:cstheme="minorHAnsi"/>
                <w:color w:val="000000"/>
                <w:szCs w:val="20"/>
              </w:rPr>
              <w:t xml:space="preserve"> 69.9 (</w:t>
            </w:r>
            <w:r>
              <w:rPr>
                <w:rFonts w:cstheme="minorHAnsi"/>
                <w:color w:val="000000"/>
                <w:szCs w:val="20"/>
              </w:rPr>
              <w:t xml:space="preserve">SD = </w:t>
            </w:r>
            <w:r w:rsidRPr="008C5DAD">
              <w:rPr>
                <w:rFonts w:cstheme="minorHAnsi"/>
                <w:color w:val="000000"/>
                <w:szCs w:val="20"/>
              </w:rPr>
              <w:t>10.3) in the pre</w:t>
            </w:r>
            <w:r>
              <w:rPr>
                <w:rFonts w:cstheme="minorHAnsi"/>
                <w:color w:val="000000"/>
                <w:szCs w:val="20"/>
              </w:rPr>
              <w:t>-</w:t>
            </w:r>
            <w:r w:rsidRPr="008C5DAD">
              <w:rPr>
                <w:rFonts w:cstheme="minorHAnsi"/>
                <w:color w:val="000000"/>
                <w:szCs w:val="20"/>
              </w:rPr>
              <w:t xml:space="preserve">intervention measurement and </w:t>
            </w:r>
            <w:r>
              <w:rPr>
                <w:rFonts w:cstheme="minorHAnsi"/>
                <w:color w:val="000000"/>
                <w:szCs w:val="20"/>
              </w:rPr>
              <w:t xml:space="preserve">M = </w:t>
            </w:r>
            <w:r w:rsidRPr="008C5DAD">
              <w:rPr>
                <w:rFonts w:cstheme="minorHAnsi"/>
                <w:color w:val="000000"/>
                <w:szCs w:val="20"/>
              </w:rPr>
              <w:t>66.8 (</w:t>
            </w:r>
            <w:r>
              <w:rPr>
                <w:rFonts w:cstheme="minorHAnsi"/>
                <w:color w:val="000000"/>
                <w:szCs w:val="20"/>
              </w:rPr>
              <w:t xml:space="preserve">SD = </w:t>
            </w:r>
            <w:r w:rsidRPr="008C5DAD">
              <w:rPr>
                <w:rFonts w:cstheme="minorHAnsi"/>
                <w:color w:val="000000"/>
                <w:szCs w:val="20"/>
              </w:rPr>
              <w:t>11.2) in the post</w:t>
            </w:r>
            <w:r>
              <w:rPr>
                <w:rFonts w:cstheme="minorHAnsi"/>
                <w:color w:val="000000"/>
                <w:szCs w:val="20"/>
              </w:rPr>
              <w:t>-</w:t>
            </w:r>
            <w:r w:rsidRPr="008C5DAD">
              <w:rPr>
                <w:rFonts w:cstheme="minorHAnsi"/>
                <w:color w:val="000000"/>
                <w:szCs w:val="20"/>
              </w:rPr>
              <w:t>intervention measurement.</w:t>
            </w:r>
          </w:p>
          <w:p w14:paraId="4450A122" w14:textId="77777777" w:rsidR="00B80B9A" w:rsidRPr="00251BB0" w:rsidRDefault="00B80B9A" w:rsidP="00B80B9A">
            <w:pPr>
              <w:pStyle w:val="ListParagraph"/>
              <w:numPr>
                <w:ilvl w:val="1"/>
                <w:numId w:val="91"/>
              </w:numPr>
              <w:spacing w:after="120"/>
              <w:ind w:left="714" w:hanging="357"/>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251BB0">
              <w:rPr>
                <w:color w:val="000000" w:themeColor="text1"/>
              </w:rPr>
              <w:t>At post-treatment (week 4) social anxiety symptoms (as measured by the LSAS) were significantly lower for the CBD group compared with the placebo group at post-intervention (</w:t>
            </w:r>
            <w:r w:rsidRPr="00251BB0">
              <w:rPr>
                <w:i/>
                <w:iCs/>
                <w:color w:val="000000" w:themeColor="text1"/>
              </w:rPr>
              <w:t>p</w:t>
            </w:r>
            <w:r w:rsidRPr="00251BB0">
              <w:rPr>
                <w:color w:val="000000" w:themeColor="text1"/>
              </w:rPr>
              <w:t xml:space="preserve"> = 0.0018), but the groups did not significantly differ at baseline </w:t>
            </w:r>
            <w:r w:rsidRPr="00251BB0">
              <w:rPr>
                <w:rFonts w:cstheme="minorHAnsi"/>
                <w:color w:val="000000"/>
                <w:szCs w:val="20"/>
              </w:rPr>
              <w:t>(</w:t>
            </w:r>
            <w:r w:rsidRPr="00251BB0">
              <w:rPr>
                <w:rFonts w:cstheme="minorHAnsi"/>
                <w:i/>
                <w:iCs/>
                <w:color w:val="000000"/>
                <w:szCs w:val="20"/>
              </w:rPr>
              <w:t>p</w:t>
            </w:r>
            <w:r w:rsidRPr="00251BB0">
              <w:rPr>
                <w:rFonts w:cstheme="minorHAnsi"/>
                <w:color w:val="000000"/>
                <w:szCs w:val="20"/>
              </w:rPr>
              <w:t xml:space="preserve"> = 0.66).</w:t>
            </w:r>
          </w:p>
        </w:tc>
      </w:tr>
      <w:tr w:rsidR="00B80B9A" w:rsidRPr="002F020F" w14:paraId="4B233954"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600A1D4" w14:textId="77777777" w:rsidR="00B80B9A" w:rsidRPr="002F020F" w:rsidRDefault="00B80B9A" w:rsidP="004361E5">
            <w:r w:rsidRPr="002F020F">
              <w:lastRenderedPageBreak/>
              <w:t>Safety and Adverse Events</w:t>
            </w:r>
          </w:p>
        </w:tc>
        <w:tc>
          <w:tcPr>
            <w:tcW w:w="3884" w:type="pct"/>
          </w:tcPr>
          <w:p w14:paraId="414D3CD3" w14:textId="77777777" w:rsidR="00B80B9A" w:rsidRPr="006621BF" w:rsidRDefault="00B80B9A" w:rsidP="00B80B9A">
            <w:pPr>
              <w:numPr>
                <w:ilvl w:val="0"/>
                <w:numId w:val="92"/>
              </w:numPr>
              <w:spacing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Pr>
                <w:rFonts w:cstheme="minorHAnsi"/>
                <w:color w:val="000000"/>
                <w:szCs w:val="20"/>
              </w:rPr>
              <w:t xml:space="preserve">No assessments of </w:t>
            </w:r>
            <w:r w:rsidRPr="006A77EE">
              <w:rPr>
                <w:rFonts w:cstheme="minorHAnsi"/>
                <w:color w:val="000000"/>
                <w:szCs w:val="20"/>
              </w:rPr>
              <w:t>safety or adverse event</w:t>
            </w:r>
            <w:r>
              <w:rPr>
                <w:rFonts w:cstheme="minorHAnsi"/>
                <w:color w:val="000000"/>
                <w:szCs w:val="20"/>
              </w:rPr>
              <w:t>s</w:t>
            </w:r>
            <w:r w:rsidRPr="006A77EE">
              <w:rPr>
                <w:rFonts w:cstheme="minorHAnsi"/>
                <w:color w:val="000000"/>
                <w:szCs w:val="20"/>
              </w:rPr>
              <w:t xml:space="preserve"> </w:t>
            </w:r>
            <w:r>
              <w:rPr>
                <w:rFonts w:cstheme="minorHAnsi"/>
                <w:color w:val="000000"/>
                <w:szCs w:val="20"/>
              </w:rPr>
              <w:t>were reported</w:t>
            </w:r>
            <w:r w:rsidRPr="006A77EE">
              <w:rPr>
                <w:rFonts w:cstheme="minorHAnsi"/>
                <w:color w:val="000000"/>
                <w:szCs w:val="20"/>
              </w:rPr>
              <w:t>.</w:t>
            </w:r>
          </w:p>
        </w:tc>
      </w:tr>
    </w:tbl>
    <w:p w14:paraId="215B1AB8" w14:textId="77777777" w:rsidR="00B80B9A" w:rsidRDefault="00B80B9A" w:rsidP="00B80B9A"/>
    <w:p w14:paraId="3F1CB818" w14:textId="5F52C008" w:rsidR="00B80B9A" w:rsidRDefault="00B80B9A" w:rsidP="00B80B9A">
      <w:pPr>
        <w:keepNext/>
        <w:keepLines/>
        <w:numPr>
          <w:ilvl w:val="0"/>
          <w:numId w:val="28"/>
        </w:numPr>
        <w:spacing w:before="40" w:after="40"/>
        <w:outlineLvl w:val="1"/>
        <w:rPr>
          <w:rFonts w:ascii="Calibri Light" w:eastAsia="Times New Roman" w:hAnsi="Calibri Light" w:cs="Times New Roman"/>
          <w:color w:val="2E74B5"/>
          <w:sz w:val="26"/>
          <w:szCs w:val="26"/>
        </w:rPr>
      </w:pPr>
      <w:bookmarkStart w:id="319" w:name="_Toc165018241"/>
      <w:r>
        <w:rPr>
          <w:rFonts w:ascii="Calibri Light" w:eastAsia="Times New Roman" w:hAnsi="Calibri Light" w:cs="Times New Roman"/>
          <w:color w:val="2E74B5"/>
          <w:sz w:val="26"/>
          <w:szCs w:val="26"/>
        </w:rPr>
        <w:t>Natural Dried Cannabis (THC</w:t>
      </w:r>
      <w:r w:rsidR="00B4573C">
        <w:rPr>
          <w:rFonts w:ascii="Calibri Light" w:eastAsia="Times New Roman" w:hAnsi="Calibri Light" w:cs="Calibri Light"/>
          <w:color w:val="2E74B5"/>
          <w:sz w:val="26"/>
          <w:szCs w:val="26"/>
        </w:rPr>
        <w:t>±</w:t>
      </w:r>
      <w:r>
        <w:rPr>
          <w:rFonts w:ascii="Calibri Light" w:eastAsia="Times New Roman" w:hAnsi="Calibri Light" w:cs="Times New Roman"/>
          <w:color w:val="2E74B5"/>
          <w:sz w:val="26"/>
          <w:szCs w:val="26"/>
        </w:rPr>
        <w:t>CBD) for Obsessive Compulsive Disorder (OCD): Standalone intervention</w:t>
      </w:r>
      <w:bookmarkEnd w:id="319"/>
    </w:p>
    <w:tbl>
      <w:tblPr>
        <w:tblStyle w:val="GridTable5Dark-Accent5"/>
        <w:tblW w:w="5000" w:type="pct"/>
        <w:tblLook w:val="04A0" w:firstRow="1" w:lastRow="0" w:firstColumn="1" w:lastColumn="0" w:noHBand="0" w:noVBand="1"/>
      </w:tblPr>
      <w:tblGrid>
        <w:gridCol w:w="2012"/>
        <w:gridCol w:w="7004"/>
      </w:tblGrid>
      <w:tr w:rsidR="00B80B9A" w:rsidRPr="00D15B31" w14:paraId="3B6DF498" w14:textId="77777777" w:rsidTr="004F2F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4BCF53D9" w14:textId="77777777" w:rsidR="00B80B9A" w:rsidRPr="00D15B31" w:rsidRDefault="00B80B9A" w:rsidP="004361E5">
            <w:r w:rsidRPr="00D15B31">
              <w:t>Citation</w:t>
            </w:r>
          </w:p>
        </w:tc>
        <w:tc>
          <w:tcPr>
            <w:tcW w:w="3884" w:type="pct"/>
          </w:tcPr>
          <w:p w14:paraId="6BD09195" w14:textId="77777777" w:rsidR="00B80B9A" w:rsidRPr="00D15B31" w:rsidRDefault="00B80B9A" w:rsidP="004361E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rPr>
            </w:pPr>
            <w:r w:rsidRPr="00D15B31">
              <w:rPr>
                <w:rFonts w:cstheme="minorHAnsi"/>
                <w:szCs w:val="20"/>
              </w:rPr>
              <w:t>Kayser et al. (2020)</w:t>
            </w:r>
          </w:p>
        </w:tc>
      </w:tr>
      <w:tr w:rsidR="00B80B9A" w:rsidRPr="00D15B31" w14:paraId="5149E391"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044D419D" w14:textId="77777777" w:rsidR="00B80B9A" w:rsidRPr="00D15B31" w:rsidRDefault="00B80B9A" w:rsidP="004361E5">
            <w:r w:rsidRPr="00D15B31">
              <w:t>Study Design</w:t>
            </w:r>
          </w:p>
        </w:tc>
        <w:tc>
          <w:tcPr>
            <w:tcW w:w="3884" w:type="pct"/>
          </w:tcPr>
          <w:p w14:paraId="22DAE812" w14:textId="77777777" w:rsidR="00B80B9A" w:rsidRPr="00D15B31" w:rsidRDefault="00B80B9A" w:rsidP="00B80B9A">
            <w:pPr>
              <w:pStyle w:val="ListParagraph"/>
              <w:numPr>
                <w:ilvl w:val="0"/>
                <w:numId w:val="9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D15B31">
              <w:rPr>
                <w:rFonts w:cstheme="minorHAnsi"/>
                <w:szCs w:val="20"/>
              </w:rPr>
              <w:t>Double-blind, randomised, placebo-controlled, trial.</w:t>
            </w:r>
          </w:p>
          <w:p w14:paraId="4305D1AE" w14:textId="77777777" w:rsidR="00B80B9A" w:rsidRPr="00D15B31" w:rsidRDefault="00B80B9A" w:rsidP="00B80B9A">
            <w:pPr>
              <w:pStyle w:val="ListParagraph"/>
              <w:numPr>
                <w:ilvl w:val="0"/>
                <w:numId w:val="9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D15B31">
              <w:rPr>
                <w:rFonts w:cstheme="minorHAnsi"/>
                <w:szCs w:val="20"/>
              </w:rPr>
              <w:t>Crossover design.</w:t>
            </w:r>
          </w:p>
        </w:tc>
      </w:tr>
      <w:tr w:rsidR="00B80B9A" w:rsidRPr="00D15B31" w14:paraId="476D9028"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1AAC05F9" w14:textId="77777777" w:rsidR="00B80B9A" w:rsidRPr="00D15B31" w:rsidRDefault="00B80B9A" w:rsidP="004361E5">
            <w:r w:rsidRPr="00D15B31">
              <w:t>Sample Size</w:t>
            </w:r>
          </w:p>
        </w:tc>
        <w:tc>
          <w:tcPr>
            <w:tcW w:w="3884" w:type="pct"/>
          </w:tcPr>
          <w:p w14:paraId="546DE232" w14:textId="77777777" w:rsidR="00B80B9A" w:rsidRPr="00D15B31"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sidRPr="00D15B31">
              <w:rPr>
                <w:szCs w:val="20"/>
              </w:rPr>
              <w:t>12 participants (per-protocol sample).</w:t>
            </w:r>
          </w:p>
          <w:p w14:paraId="168B6F9C" w14:textId="77777777" w:rsidR="00B80B9A" w:rsidRPr="00D15B31"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sidRPr="00D15B31">
              <w:rPr>
                <w:szCs w:val="20"/>
              </w:rPr>
              <w:t>14 participants enrolled.</w:t>
            </w:r>
          </w:p>
          <w:p w14:paraId="7E45662C" w14:textId="7D55850D" w:rsidR="00B80B9A" w:rsidRPr="00D15B31"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sidRPr="00D15B31">
              <w:rPr>
                <w:color w:val="000000" w:themeColor="text1"/>
              </w:rPr>
              <w:t xml:space="preserve">2 participants dropped out of the study following randomisation </w:t>
            </w:r>
            <w:r w:rsidR="00E37337">
              <w:rPr>
                <w:color w:val="000000" w:themeColor="text1"/>
              </w:rPr>
              <w:t xml:space="preserve">(after the first session) </w:t>
            </w:r>
            <w:r w:rsidRPr="00D15B31">
              <w:rPr>
                <w:color w:val="000000" w:themeColor="text1"/>
              </w:rPr>
              <w:t>reporting that the time commitment was “too great”.</w:t>
            </w:r>
          </w:p>
        </w:tc>
      </w:tr>
      <w:tr w:rsidR="00B80B9A" w:rsidRPr="00D15B31" w14:paraId="09BA1052"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51403735" w14:textId="77777777" w:rsidR="00B80B9A" w:rsidRPr="00D15B31" w:rsidRDefault="00B80B9A" w:rsidP="004361E5">
            <w:pPr>
              <w:rPr>
                <w:b w:val="0"/>
                <w:bCs w:val="0"/>
              </w:rPr>
            </w:pPr>
            <w:r w:rsidRPr="00D15B31">
              <w:t>Population</w:t>
            </w:r>
          </w:p>
        </w:tc>
        <w:tc>
          <w:tcPr>
            <w:tcW w:w="3884" w:type="pct"/>
          </w:tcPr>
          <w:p w14:paraId="2792BC94" w14:textId="77777777" w:rsidR="00B80B9A" w:rsidRPr="00D15B31"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15B31">
              <w:rPr>
                <w:rFonts w:cstheme="minorHAnsi"/>
                <w:color w:val="000000"/>
                <w:szCs w:val="20"/>
              </w:rPr>
              <w:t xml:space="preserve">United States. </w:t>
            </w:r>
          </w:p>
          <w:p w14:paraId="435948D1" w14:textId="77777777" w:rsidR="00B80B9A" w:rsidRPr="00D15B31"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15B31">
              <w:rPr>
                <w:rFonts w:cstheme="minorHAnsi"/>
                <w:color w:val="000000"/>
                <w:szCs w:val="20"/>
              </w:rPr>
              <w:t>OCD (primary diagnosis; DSM-5 criteria).</w:t>
            </w:r>
          </w:p>
          <w:p w14:paraId="534B459A" w14:textId="77777777" w:rsidR="00B80B9A" w:rsidRPr="00D15B31"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15B31">
              <w:rPr>
                <w:rFonts w:cstheme="minorHAnsi"/>
                <w:color w:val="000000"/>
                <w:szCs w:val="20"/>
              </w:rPr>
              <w:t>Total sample: M = 26.8 years (SD = 7.4); 67% male.</w:t>
            </w:r>
          </w:p>
        </w:tc>
      </w:tr>
      <w:tr w:rsidR="00B80B9A" w:rsidRPr="00D15B31" w14:paraId="3DA62AE7"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4210D86E" w14:textId="77777777" w:rsidR="00B80B9A" w:rsidRPr="00D15B31" w:rsidRDefault="00B80B9A" w:rsidP="004361E5">
            <w:pPr>
              <w:spacing w:line="259" w:lineRule="auto"/>
              <w:rPr>
                <w:b w:val="0"/>
                <w:bCs w:val="0"/>
              </w:rPr>
            </w:pPr>
            <w:r w:rsidRPr="00D15B31">
              <w:t xml:space="preserve">Intervention/s (I) and </w:t>
            </w:r>
          </w:p>
          <w:p w14:paraId="1B4BC81C" w14:textId="77777777" w:rsidR="00B80B9A" w:rsidRPr="00D15B31" w:rsidRDefault="00B80B9A" w:rsidP="004361E5">
            <w:pPr>
              <w:spacing w:line="259" w:lineRule="auto"/>
            </w:pPr>
            <w:r w:rsidRPr="00D15B31">
              <w:t xml:space="preserve">Comparator/s (C) </w:t>
            </w:r>
          </w:p>
        </w:tc>
        <w:tc>
          <w:tcPr>
            <w:tcW w:w="3884" w:type="pct"/>
          </w:tcPr>
          <w:p w14:paraId="409922A1" w14:textId="77777777" w:rsidR="004F5A39" w:rsidRPr="00F62917" w:rsidRDefault="00B80B9A" w:rsidP="004F5A39">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sidRPr="00D15B31">
              <w:t>All participants received three dried cannabis cigarettes (smoked) in a randomised order</w:t>
            </w:r>
            <w:r w:rsidR="004F5A39">
              <w:t xml:space="preserve"> </w:t>
            </w:r>
            <w:r w:rsidRPr="00D15B31">
              <w:rPr>
                <w:color w:val="000000" w:themeColor="text1"/>
              </w:rPr>
              <w:t>with a washout period between conditions</w:t>
            </w:r>
            <w:r w:rsidRPr="00D15B31">
              <w:t>.</w:t>
            </w:r>
            <w:r w:rsidR="004F5A39">
              <w:t xml:space="preserve"> </w:t>
            </w:r>
          </w:p>
          <w:p w14:paraId="6D8F2DDB" w14:textId="69C4DE82" w:rsidR="004F5A39" w:rsidRPr="00790D9F" w:rsidRDefault="004F5A39" w:rsidP="00F62917">
            <w:pPr>
              <w:numPr>
                <w:ilvl w:val="0"/>
                <w:numId w:val="88"/>
              </w:numPr>
              <w:spacing w:after="0"/>
              <w:ind w:left="357"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sidRPr="00D37733">
              <w:rPr>
                <w:rFonts w:ascii="Calibri" w:hAnsi="Calibri" w:cs="Calibri"/>
                <w:bCs/>
                <w:color w:val="000000"/>
                <w:szCs w:val="20"/>
              </w:rPr>
              <w:t xml:space="preserve">Participants completed no more than one session per calendar week to </w:t>
            </w:r>
            <w:r>
              <w:rPr>
                <w:rFonts w:ascii="Calibri" w:hAnsi="Calibri" w:cs="Calibri"/>
                <w:bCs/>
                <w:color w:val="000000"/>
                <w:szCs w:val="20"/>
              </w:rPr>
              <w:t xml:space="preserve">control for </w:t>
            </w:r>
            <w:r w:rsidRPr="00D37733">
              <w:rPr>
                <w:rFonts w:ascii="Calibri" w:hAnsi="Calibri" w:cs="Calibri"/>
                <w:bCs/>
                <w:color w:val="000000"/>
                <w:szCs w:val="20"/>
              </w:rPr>
              <w:t>potential carryover effects</w:t>
            </w:r>
            <w:r w:rsidRPr="00D85109">
              <w:rPr>
                <w:rFonts w:ascii="Calibri" w:hAnsi="Calibri" w:cs="Calibri"/>
                <w:bCs/>
                <w:color w:val="000000"/>
                <w:szCs w:val="20"/>
              </w:rPr>
              <w:t xml:space="preserve"> </w:t>
            </w:r>
            <w:r w:rsidRPr="00D37733">
              <w:rPr>
                <w:rFonts w:ascii="Calibri" w:hAnsi="Calibri" w:cs="Calibri"/>
                <w:bCs/>
                <w:color w:val="000000"/>
                <w:szCs w:val="20"/>
              </w:rPr>
              <w:t>(mean days between sessions = 12.5</w:t>
            </w:r>
            <w:r>
              <w:rPr>
                <w:rFonts w:ascii="Calibri" w:hAnsi="Calibri" w:cs="Calibri"/>
                <w:bCs/>
                <w:color w:val="000000"/>
                <w:szCs w:val="20"/>
              </w:rPr>
              <w:t>;</w:t>
            </w:r>
            <w:r w:rsidRPr="00D37733">
              <w:rPr>
                <w:rFonts w:ascii="Calibri" w:hAnsi="Calibri" w:cs="Calibri"/>
                <w:bCs/>
                <w:color w:val="000000"/>
                <w:szCs w:val="20"/>
              </w:rPr>
              <w:t xml:space="preserve"> standard deviation = 11.7</w:t>
            </w:r>
            <w:r>
              <w:rPr>
                <w:rFonts w:ascii="Calibri" w:hAnsi="Calibri" w:cs="Calibri"/>
                <w:bCs/>
                <w:color w:val="000000"/>
                <w:szCs w:val="20"/>
              </w:rPr>
              <w:t>;</w:t>
            </w:r>
            <w:r w:rsidRPr="00D37733">
              <w:rPr>
                <w:rFonts w:ascii="Calibri" w:hAnsi="Calibri" w:cs="Calibri"/>
                <w:bCs/>
                <w:color w:val="000000"/>
                <w:szCs w:val="20"/>
              </w:rPr>
              <w:t xml:space="preserve"> range</w:t>
            </w:r>
            <w:r>
              <w:rPr>
                <w:rFonts w:ascii="Calibri" w:hAnsi="Calibri" w:cs="Calibri"/>
                <w:bCs/>
                <w:color w:val="000000"/>
                <w:szCs w:val="20"/>
              </w:rPr>
              <w:t xml:space="preserve"> </w:t>
            </w:r>
            <w:r w:rsidRPr="00D37733">
              <w:rPr>
                <w:rFonts w:ascii="Calibri" w:hAnsi="Calibri" w:cs="Calibri"/>
                <w:bCs/>
                <w:color w:val="000000"/>
                <w:szCs w:val="20"/>
              </w:rPr>
              <w:t>= 5</w:t>
            </w:r>
            <w:r>
              <w:rPr>
                <w:rFonts w:ascii="Calibri" w:hAnsi="Calibri" w:cs="Calibri"/>
                <w:bCs/>
                <w:color w:val="000000"/>
                <w:szCs w:val="20"/>
              </w:rPr>
              <w:t xml:space="preserve"> to </w:t>
            </w:r>
            <w:r w:rsidRPr="00D37733">
              <w:rPr>
                <w:rFonts w:ascii="Calibri" w:hAnsi="Calibri" w:cs="Calibri"/>
                <w:bCs/>
                <w:color w:val="000000"/>
                <w:szCs w:val="20"/>
              </w:rPr>
              <w:t>56).</w:t>
            </w:r>
          </w:p>
          <w:p w14:paraId="0B550C25" w14:textId="77777777" w:rsidR="00B80B9A" w:rsidRPr="00D15B31" w:rsidRDefault="00B80B9A" w:rsidP="00B80B9A">
            <w:pPr>
              <w:pStyle w:val="ListParagraph"/>
              <w:numPr>
                <w:ilvl w:val="0"/>
                <w:numId w:val="96"/>
              </w:numPr>
              <w:spacing w:after="120"/>
              <w:cnfStyle w:val="000000000000" w:firstRow="0" w:lastRow="0" w:firstColumn="0" w:lastColumn="0" w:oddVBand="0" w:evenVBand="0" w:oddHBand="0" w:evenHBand="0" w:firstRowFirstColumn="0" w:firstRowLastColumn="0" w:lastRowFirstColumn="0" w:lastRowLastColumn="0"/>
            </w:pPr>
            <w:r w:rsidRPr="00D15B31">
              <w:t>I (n = 12): THC dominant (7.0% THC; 0.18% CBD).</w:t>
            </w:r>
          </w:p>
          <w:p w14:paraId="58BF9931" w14:textId="77777777" w:rsidR="00B80B9A" w:rsidRPr="00D15B31" w:rsidRDefault="00B80B9A" w:rsidP="00B80B9A">
            <w:pPr>
              <w:pStyle w:val="ListParagraph"/>
              <w:numPr>
                <w:ilvl w:val="0"/>
                <w:numId w:val="96"/>
              </w:numPr>
              <w:spacing w:after="120"/>
              <w:cnfStyle w:val="000000000000" w:firstRow="0" w:lastRow="0" w:firstColumn="0" w:lastColumn="0" w:oddVBand="0" w:evenVBand="0" w:oddHBand="0" w:evenHBand="0" w:firstRowFirstColumn="0" w:firstRowLastColumn="0" w:lastRowFirstColumn="0" w:lastRowLastColumn="0"/>
            </w:pPr>
            <w:r w:rsidRPr="00D15B31">
              <w:t>I (n = 12): CBD dominant (0.4% THC; 10.4% CBD).</w:t>
            </w:r>
          </w:p>
          <w:p w14:paraId="4964DE04" w14:textId="77777777" w:rsidR="00B80B9A" w:rsidRPr="00D15B31" w:rsidRDefault="00B80B9A" w:rsidP="00B80B9A">
            <w:pPr>
              <w:pStyle w:val="ListParagraph"/>
              <w:numPr>
                <w:ilvl w:val="0"/>
                <w:numId w:val="95"/>
              </w:numPr>
              <w:spacing w:after="120"/>
              <w:cnfStyle w:val="000000000000" w:firstRow="0" w:lastRow="0" w:firstColumn="0" w:lastColumn="0" w:oddVBand="0" w:evenVBand="0" w:oddHBand="0" w:evenHBand="0" w:firstRowFirstColumn="0" w:firstRowLastColumn="0" w:lastRowFirstColumn="0" w:lastRowLastColumn="0"/>
            </w:pPr>
            <w:r w:rsidRPr="00D15B31">
              <w:t>C (n = 12): placebo with no active cannabinoids (0% THC; 0% CBD).</w:t>
            </w:r>
          </w:p>
        </w:tc>
      </w:tr>
      <w:tr w:rsidR="00B80B9A" w:rsidRPr="00D15B31" w14:paraId="5BE12CEC"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2AC8A587" w14:textId="77777777" w:rsidR="00B80B9A" w:rsidRPr="00D15B31" w:rsidRDefault="00B80B9A" w:rsidP="004361E5">
            <w:pPr>
              <w:spacing w:line="259" w:lineRule="auto"/>
            </w:pPr>
            <w:r w:rsidRPr="00D15B31">
              <w:t>Outcome Measure/s</w:t>
            </w:r>
          </w:p>
        </w:tc>
        <w:tc>
          <w:tcPr>
            <w:tcW w:w="3884" w:type="pct"/>
          </w:tcPr>
          <w:p w14:paraId="6E82FC10" w14:textId="77777777" w:rsidR="00B80B9A" w:rsidRPr="00D15B31" w:rsidRDefault="00B80B9A" w:rsidP="00B80B9A">
            <w:pPr>
              <w:pStyle w:val="ListParagraph"/>
              <w:numPr>
                <w:ilvl w:val="0"/>
                <w:numId w:val="95"/>
              </w:numPr>
              <w:spacing w:after="120"/>
              <w:ind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15B31">
              <w:rPr>
                <w:rFonts w:cstheme="minorHAnsi"/>
                <w:color w:val="000000"/>
                <w:szCs w:val="20"/>
              </w:rPr>
              <w:t>Primary:</w:t>
            </w:r>
          </w:p>
          <w:p w14:paraId="320CF1B7" w14:textId="77777777" w:rsidR="00B80B9A" w:rsidRPr="00D15B31" w:rsidRDefault="00B80B9A" w:rsidP="00B80B9A">
            <w:pPr>
              <w:pStyle w:val="ListParagraph"/>
              <w:numPr>
                <w:ilvl w:val="0"/>
                <w:numId w:val="99"/>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15B31">
              <w:rPr>
                <w:rFonts w:cstheme="minorHAnsi"/>
                <w:color w:val="000000"/>
                <w:szCs w:val="20"/>
              </w:rPr>
              <w:t>Yale-Brown Obsessive Compulsive Scale (Y-BOCS).</w:t>
            </w:r>
          </w:p>
          <w:p w14:paraId="35A1D5B8" w14:textId="77777777" w:rsidR="00B80B9A" w:rsidRPr="00D15B31" w:rsidRDefault="00B80B9A" w:rsidP="00B80B9A">
            <w:pPr>
              <w:pStyle w:val="ListParagraph"/>
              <w:numPr>
                <w:ilvl w:val="0"/>
                <w:numId w:val="99"/>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15B31">
              <w:rPr>
                <w:rFonts w:cstheme="minorHAnsi"/>
                <w:color w:val="000000"/>
                <w:szCs w:val="20"/>
              </w:rPr>
              <w:t>Obsessive Compulsive – Visual Analog Scale (OCD‐VAS).</w:t>
            </w:r>
          </w:p>
          <w:p w14:paraId="1C90BE53" w14:textId="77777777" w:rsidR="00B80B9A" w:rsidRPr="00D15B31" w:rsidRDefault="00B80B9A" w:rsidP="00B80B9A">
            <w:pPr>
              <w:pStyle w:val="ListParagraph"/>
              <w:numPr>
                <w:ilvl w:val="0"/>
                <w:numId w:val="99"/>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15B31">
              <w:rPr>
                <w:color w:val="000000" w:themeColor="text1"/>
              </w:rPr>
              <w:t>State-Trait Anxiety Inventory – State (STAI-S) subscale</w:t>
            </w:r>
            <w:r w:rsidRPr="00D15B31">
              <w:rPr>
                <w:rFonts w:cstheme="minorHAnsi"/>
                <w:color w:val="000000"/>
                <w:szCs w:val="20"/>
              </w:rPr>
              <w:t>.</w:t>
            </w:r>
          </w:p>
          <w:p w14:paraId="77E23EC1" w14:textId="77777777" w:rsidR="00B80B9A" w:rsidRPr="00D15B31" w:rsidRDefault="00B80B9A" w:rsidP="00B80B9A">
            <w:pPr>
              <w:pStyle w:val="ListParagraph"/>
              <w:numPr>
                <w:ilvl w:val="0"/>
                <w:numId w:val="97"/>
              </w:numPr>
              <w:spacing w:after="120"/>
              <w:ind w:left="357"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15B31">
              <w:rPr>
                <w:rFonts w:cstheme="minorHAnsi"/>
                <w:color w:val="000000"/>
                <w:szCs w:val="20"/>
              </w:rPr>
              <w:t>Secondary:</w:t>
            </w:r>
          </w:p>
          <w:p w14:paraId="3D8E72B1" w14:textId="77777777" w:rsidR="00B80B9A" w:rsidRPr="00D15B31" w:rsidRDefault="00B80B9A" w:rsidP="00B80B9A">
            <w:pPr>
              <w:pStyle w:val="ListParagraph"/>
              <w:numPr>
                <w:ilvl w:val="0"/>
                <w:numId w:val="98"/>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15B31">
              <w:rPr>
                <w:rFonts w:cstheme="minorHAnsi"/>
                <w:color w:val="000000"/>
                <w:szCs w:val="20"/>
              </w:rPr>
              <w:t>Subjective drug-related effects measured using a modified version of the Marijuana Rating Form (MRF).</w:t>
            </w:r>
          </w:p>
          <w:p w14:paraId="1CD2BE74" w14:textId="77777777" w:rsidR="00B80B9A" w:rsidRPr="00D15B31" w:rsidRDefault="00B80B9A" w:rsidP="00B80B9A">
            <w:pPr>
              <w:pStyle w:val="ListParagraph"/>
              <w:numPr>
                <w:ilvl w:val="0"/>
                <w:numId w:val="98"/>
              </w:numPr>
              <w:spacing w:after="120"/>
              <w:cnfStyle w:val="000000100000" w:firstRow="0" w:lastRow="0" w:firstColumn="0" w:lastColumn="0" w:oddVBand="0" w:evenVBand="0" w:oddHBand="1" w:evenHBand="0" w:firstRowFirstColumn="0" w:firstRowLastColumn="0" w:lastRowFirstColumn="0" w:lastRowLastColumn="0"/>
            </w:pPr>
            <w:r w:rsidRPr="00D15B31">
              <w:rPr>
                <w:rFonts w:cstheme="minorHAnsi"/>
                <w:color w:val="000000"/>
                <w:szCs w:val="20"/>
              </w:rPr>
              <w:t>Cardiovascular measures.</w:t>
            </w:r>
          </w:p>
        </w:tc>
      </w:tr>
      <w:tr w:rsidR="00B80B9A" w:rsidRPr="00D15B31" w14:paraId="243C9487"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68855032" w14:textId="77777777" w:rsidR="00B80B9A" w:rsidRPr="00D15B31" w:rsidRDefault="00B80B9A" w:rsidP="004361E5">
            <w:r w:rsidRPr="00D15B31">
              <w:t>General</w:t>
            </w:r>
          </w:p>
        </w:tc>
        <w:tc>
          <w:tcPr>
            <w:tcW w:w="3884" w:type="pct"/>
          </w:tcPr>
          <w:p w14:paraId="5D626EAC" w14:textId="39E8EC64" w:rsidR="00B80B9A" w:rsidRPr="00D15B31"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D15B31">
              <w:rPr>
                <w:rFonts w:ascii="Calibri" w:hAnsi="Calibri" w:cs="Calibri"/>
                <w:color w:val="000000"/>
                <w:szCs w:val="20"/>
              </w:rPr>
              <w:t xml:space="preserve">Period study was conducted: October 2017 to October 2020. </w:t>
            </w:r>
          </w:p>
        </w:tc>
      </w:tr>
      <w:tr w:rsidR="00B80B9A" w:rsidRPr="00D15B31" w14:paraId="2B2AD7DF"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431AC2EE" w14:textId="77777777" w:rsidR="00B80B9A" w:rsidRPr="00D15B31" w:rsidRDefault="00B80B9A" w:rsidP="004361E5">
            <w:r w:rsidRPr="00D15B31">
              <w:t>Inclusion Criteria</w:t>
            </w:r>
          </w:p>
        </w:tc>
        <w:tc>
          <w:tcPr>
            <w:tcW w:w="3884" w:type="pct"/>
          </w:tcPr>
          <w:p w14:paraId="74B4EDAA" w14:textId="77777777" w:rsidR="00B80B9A" w:rsidRPr="00D15B31"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D15B31">
              <w:rPr>
                <w:rFonts w:cstheme="minorHAnsi"/>
                <w:color w:val="000000"/>
                <w:szCs w:val="20"/>
              </w:rPr>
              <w:t>21 to 55</w:t>
            </w:r>
            <w:r w:rsidRPr="00D15B31" w:rsidDel="00E71591">
              <w:rPr>
                <w:rFonts w:cstheme="minorHAnsi"/>
                <w:color w:val="000000"/>
                <w:szCs w:val="20"/>
              </w:rPr>
              <w:t xml:space="preserve"> </w:t>
            </w:r>
            <w:r w:rsidRPr="00D15B31">
              <w:rPr>
                <w:rFonts w:cstheme="minorHAnsi"/>
                <w:color w:val="000000"/>
                <w:szCs w:val="20"/>
              </w:rPr>
              <w:t>years of age.</w:t>
            </w:r>
          </w:p>
          <w:p w14:paraId="5C0E7E5A" w14:textId="77777777" w:rsidR="00B80B9A" w:rsidRPr="00D15B31"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D15B31">
              <w:rPr>
                <w:rFonts w:cstheme="minorHAnsi"/>
                <w:color w:val="000000"/>
                <w:szCs w:val="20"/>
              </w:rPr>
              <w:t>Physically healthy.</w:t>
            </w:r>
          </w:p>
          <w:p w14:paraId="33123C9B" w14:textId="77777777" w:rsidR="00B80B9A" w:rsidRPr="00D15B31"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D15B31">
              <w:rPr>
                <w:rFonts w:cstheme="minorHAnsi"/>
                <w:color w:val="000000"/>
                <w:szCs w:val="20"/>
              </w:rPr>
              <w:t>Primary diagnosis of OCD (DSM-5 criteria) with illness duration of at least (≥) one (1) year and near‐constant symptoms (i.e., greater than 8 hours per day or maximum symptom-free interval less than 1 hour per day).</w:t>
            </w:r>
          </w:p>
          <w:p w14:paraId="5DABCE17" w14:textId="77777777" w:rsidR="00B80B9A" w:rsidRPr="00D15B31"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D15B31">
              <w:rPr>
                <w:rFonts w:cstheme="minorHAnsi"/>
                <w:color w:val="000000"/>
                <w:szCs w:val="20"/>
              </w:rPr>
              <w:t>Y-BOCS score of at least (≥) 16.</w:t>
            </w:r>
          </w:p>
          <w:p w14:paraId="230E22A5" w14:textId="77777777" w:rsidR="00B80B9A" w:rsidRPr="00D15B31"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15B31">
              <w:rPr>
                <w:rFonts w:cstheme="minorHAnsi"/>
                <w:color w:val="000000"/>
                <w:szCs w:val="20"/>
              </w:rPr>
              <w:t>No psychotropic medication in last 6 weeks other than SRIs, and no change to SRI dose in past 6 weeks.</w:t>
            </w:r>
          </w:p>
          <w:p w14:paraId="7053E90F" w14:textId="77777777" w:rsidR="00B80B9A" w:rsidRPr="00D15B31"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D15B31">
              <w:rPr>
                <w:rFonts w:cstheme="minorHAnsi"/>
                <w:color w:val="000000"/>
                <w:szCs w:val="20"/>
              </w:rPr>
              <w:t>Prior experience using cannabis without significant adverse effects.</w:t>
            </w:r>
          </w:p>
          <w:p w14:paraId="5E20CB79" w14:textId="77777777" w:rsidR="00B80B9A" w:rsidRPr="00D15B31" w:rsidRDefault="00B80B9A" w:rsidP="00B80B9A">
            <w:pPr>
              <w:numPr>
                <w:ilvl w:val="0"/>
                <w:numId w:val="90"/>
              </w:num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15B31">
              <w:rPr>
                <w:rFonts w:cstheme="minorHAnsi"/>
                <w:color w:val="000000"/>
                <w:szCs w:val="20"/>
              </w:rPr>
              <w:lastRenderedPageBreak/>
              <w:t>Capable of providing informed consent.</w:t>
            </w:r>
          </w:p>
        </w:tc>
      </w:tr>
      <w:tr w:rsidR="00B80B9A" w:rsidRPr="00D15B31" w14:paraId="0C633327"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25A8439B" w14:textId="77777777" w:rsidR="00B80B9A" w:rsidRPr="00D15B31" w:rsidRDefault="00B80B9A" w:rsidP="004361E5">
            <w:r w:rsidRPr="00D15B31">
              <w:lastRenderedPageBreak/>
              <w:t>Exclusion Criteria</w:t>
            </w:r>
          </w:p>
        </w:tc>
        <w:tc>
          <w:tcPr>
            <w:tcW w:w="3884" w:type="pct"/>
          </w:tcPr>
          <w:p w14:paraId="433650A0" w14:textId="77777777" w:rsidR="00B80B9A" w:rsidRPr="00D15B31"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D15B31">
              <w:rPr>
                <w:rFonts w:cstheme="minorHAnsi"/>
                <w:color w:val="000000"/>
                <w:szCs w:val="20"/>
              </w:rPr>
              <w:t>Not pregnant or breastfeeding.</w:t>
            </w:r>
          </w:p>
          <w:p w14:paraId="15BFD043" w14:textId="77777777" w:rsidR="00B80B9A" w:rsidRPr="00D15B31"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D15B31">
              <w:rPr>
                <w:rFonts w:cstheme="minorHAnsi"/>
                <w:color w:val="000000"/>
                <w:szCs w:val="20"/>
              </w:rPr>
              <w:t>Lifetime history of bipolar disorder or psychosis, or first‐degree relative with these conditions.</w:t>
            </w:r>
          </w:p>
          <w:p w14:paraId="7AA54E69" w14:textId="77777777" w:rsidR="00B80B9A" w:rsidRPr="00D15B31"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D15B31">
              <w:rPr>
                <w:rFonts w:cstheme="minorHAnsi"/>
                <w:color w:val="000000"/>
                <w:szCs w:val="20"/>
              </w:rPr>
              <w:t>HDRS‐17 score greater than (&gt;) 25 or current suicidal ideation.</w:t>
            </w:r>
          </w:p>
          <w:p w14:paraId="32BE1B90" w14:textId="77777777" w:rsidR="00B80B9A" w:rsidRPr="00D15B31"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D15B31">
              <w:rPr>
                <w:rFonts w:cstheme="minorHAnsi"/>
                <w:color w:val="000000"/>
                <w:szCs w:val="20"/>
              </w:rPr>
              <w:t>History of significant medical condition that could increase risk of cannabis side effects.</w:t>
            </w:r>
          </w:p>
          <w:p w14:paraId="4234423F" w14:textId="77777777" w:rsidR="00B80B9A" w:rsidRPr="00D15B31"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D15B31">
              <w:rPr>
                <w:rFonts w:cstheme="minorHAnsi"/>
                <w:color w:val="000000"/>
                <w:szCs w:val="20"/>
              </w:rPr>
              <w:t>Currently enrolled in, or planning to commence, exposure and response/ritual prevention (ERP) therapy.</w:t>
            </w:r>
          </w:p>
          <w:p w14:paraId="69DE4A0B" w14:textId="77777777" w:rsidR="00B80B9A" w:rsidRPr="00D15B31"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D15B31">
              <w:rPr>
                <w:rFonts w:cstheme="minorHAnsi"/>
                <w:color w:val="000000"/>
                <w:szCs w:val="20"/>
              </w:rPr>
              <w:t>Substance use disorder in the last year (including cannabis use disorder) or positive urine toxicology (for substances other than cannabis) at screening.</w:t>
            </w:r>
          </w:p>
          <w:p w14:paraId="0FCB7C10" w14:textId="77777777" w:rsidR="00B80B9A" w:rsidRPr="00D15B31" w:rsidRDefault="00B80B9A" w:rsidP="00B80B9A">
            <w:pPr>
              <w:numPr>
                <w:ilvl w:val="0"/>
                <w:numId w:val="91"/>
              </w:numPr>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D15B31">
              <w:rPr>
                <w:rFonts w:cstheme="minorHAnsi"/>
                <w:color w:val="000000"/>
                <w:szCs w:val="20"/>
              </w:rPr>
              <w:t>Seeking treatment for substance use.</w:t>
            </w:r>
          </w:p>
        </w:tc>
      </w:tr>
      <w:tr w:rsidR="00B80B9A" w:rsidRPr="00D15B31" w14:paraId="67B7B88F"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54AE21A1" w14:textId="77777777" w:rsidR="00B80B9A" w:rsidRPr="00D15B31" w:rsidRDefault="00B80B9A" w:rsidP="004361E5">
            <w:r w:rsidRPr="00D15B31">
              <w:t>Assessment Time-Point/s</w:t>
            </w:r>
          </w:p>
        </w:tc>
        <w:tc>
          <w:tcPr>
            <w:tcW w:w="3884" w:type="pct"/>
          </w:tcPr>
          <w:p w14:paraId="374CFBC0" w14:textId="4463D899" w:rsidR="00B80B9A" w:rsidRPr="00D15B31" w:rsidRDefault="00B80B9A" w:rsidP="00B80B9A">
            <w:pPr>
              <w:pStyle w:val="ListParagraph"/>
              <w:numPr>
                <w:ilvl w:val="0"/>
                <w:numId w:val="100"/>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15B31">
              <w:rPr>
                <w:rFonts w:cstheme="minorHAnsi"/>
                <w:color w:val="000000"/>
                <w:szCs w:val="20"/>
              </w:rPr>
              <w:t>Three lab-based sessions conducted no more than once per calendar week</w:t>
            </w:r>
            <w:r w:rsidR="00866355">
              <w:rPr>
                <w:rFonts w:cstheme="minorHAnsi"/>
                <w:color w:val="000000"/>
                <w:szCs w:val="20"/>
              </w:rPr>
              <w:t>;</w:t>
            </w:r>
            <w:r w:rsidRPr="00D15B31">
              <w:rPr>
                <w:rFonts w:cstheme="minorHAnsi"/>
                <w:color w:val="000000"/>
                <w:szCs w:val="20"/>
              </w:rPr>
              <w:t xml:space="preserve"> schedule as follows:</w:t>
            </w:r>
          </w:p>
          <w:p w14:paraId="1F62BB8F" w14:textId="77777777" w:rsidR="00B80B9A" w:rsidRPr="00D15B31" w:rsidRDefault="00B80B9A" w:rsidP="00B80B9A">
            <w:pPr>
              <w:pStyle w:val="ListParagraph"/>
              <w:numPr>
                <w:ilvl w:val="1"/>
                <w:numId w:val="91"/>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15B31">
              <w:rPr>
                <w:rFonts w:cstheme="minorHAnsi"/>
                <w:color w:val="000000"/>
                <w:szCs w:val="20"/>
              </w:rPr>
              <w:t>Minute -50: carbon monoxide, breathalyser (alcohol), urine toxicology, and pregnancy test (female participants only).</w:t>
            </w:r>
          </w:p>
          <w:p w14:paraId="29C22961" w14:textId="77777777" w:rsidR="00B80B9A" w:rsidRPr="00D15B31" w:rsidRDefault="00B80B9A" w:rsidP="00B80B9A">
            <w:pPr>
              <w:pStyle w:val="ListParagraph"/>
              <w:numPr>
                <w:ilvl w:val="1"/>
                <w:numId w:val="91"/>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15B31">
              <w:rPr>
                <w:rFonts w:cstheme="minorHAnsi"/>
                <w:color w:val="000000"/>
                <w:szCs w:val="20"/>
              </w:rPr>
              <w:t>Minute -30: balance, TLFB, vitals (BP/HR), self‐report scales (OCD‐VAS, Y-BOCS, STAI‐S, and MRF).</w:t>
            </w:r>
          </w:p>
          <w:p w14:paraId="18BA2C35" w14:textId="77777777" w:rsidR="00B80B9A" w:rsidRPr="00D15B31" w:rsidRDefault="00B80B9A" w:rsidP="00B80B9A">
            <w:pPr>
              <w:pStyle w:val="ListParagraph"/>
              <w:numPr>
                <w:ilvl w:val="1"/>
                <w:numId w:val="91"/>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15B31">
              <w:rPr>
                <w:rFonts w:cstheme="minorHAnsi"/>
                <w:color w:val="000000"/>
                <w:szCs w:val="20"/>
              </w:rPr>
              <w:t>Minute 0: cannabis administration.</w:t>
            </w:r>
          </w:p>
          <w:p w14:paraId="393EA90C" w14:textId="77777777" w:rsidR="00B80B9A" w:rsidRPr="00D15B31" w:rsidRDefault="00B80B9A" w:rsidP="00B80B9A">
            <w:pPr>
              <w:pStyle w:val="ListParagraph"/>
              <w:numPr>
                <w:ilvl w:val="1"/>
                <w:numId w:val="91"/>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15B31">
              <w:rPr>
                <w:rFonts w:cstheme="minorHAnsi"/>
                <w:color w:val="000000"/>
                <w:szCs w:val="20"/>
              </w:rPr>
              <w:t>Minute 20, 40, 60, 90, and 120: vitals, self‐report scales.</w:t>
            </w:r>
          </w:p>
          <w:p w14:paraId="33E80940" w14:textId="77777777" w:rsidR="00B80B9A" w:rsidRPr="00D15B31" w:rsidRDefault="00B80B9A" w:rsidP="00B80B9A">
            <w:pPr>
              <w:pStyle w:val="ListParagraph"/>
              <w:numPr>
                <w:ilvl w:val="1"/>
                <w:numId w:val="91"/>
              </w:numPr>
              <w:spacing w:after="120"/>
              <w:ind w:left="714" w:hanging="357"/>
              <w:cnfStyle w:val="000000100000" w:firstRow="0" w:lastRow="0" w:firstColumn="0" w:lastColumn="0" w:oddVBand="0" w:evenVBand="0" w:oddHBand="1" w:evenHBand="0" w:firstRowFirstColumn="0" w:firstRowLastColumn="0" w:lastRowFirstColumn="0" w:lastRowLastColumn="0"/>
            </w:pPr>
            <w:r w:rsidRPr="00D15B31">
              <w:rPr>
                <w:rFonts w:cstheme="minorHAnsi"/>
                <w:color w:val="000000"/>
                <w:szCs w:val="20"/>
              </w:rPr>
              <w:t>Minute 180: vitals, self‐report scales, field sobriety test, and participant discharge.</w:t>
            </w:r>
          </w:p>
        </w:tc>
      </w:tr>
      <w:tr w:rsidR="00B80B9A" w:rsidRPr="00D15B31" w14:paraId="28964B9C"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0E303DC3" w14:textId="77777777" w:rsidR="00B80B9A" w:rsidRPr="00D15B31" w:rsidRDefault="00B80B9A" w:rsidP="004361E5">
            <w:r w:rsidRPr="00D15B31">
              <w:t>Main Findings</w:t>
            </w:r>
          </w:p>
        </w:tc>
        <w:tc>
          <w:tcPr>
            <w:tcW w:w="3884" w:type="pct"/>
          </w:tcPr>
          <w:p w14:paraId="6BBE2652" w14:textId="203BAA75" w:rsidR="00B80B9A" w:rsidRPr="00D15B31" w:rsidRDefault="00B80B9A" w:rsidP="00B80B9A">
            <w:pPr>
              <w:pStyle w:val="NoSpacing"/>
              <w:numPr>
                <w:ilvl w:val="0"/>
                <w:numId w:val="91"/>
              </w:numPr>
              <w:spacing w:after="120"/>
              <w:ind w:left="357" w:hanging="357"/>
              <w:contextualSpacing/>
              <w:cnfStyle w:val="000000000000" w:firstRow="0" w:lastRow="0" w:firstColumn="0" w:lastColumn="0" w:oddVBand="0" w:evenVBand="0" w:oddHBand="0" w:evenHBand="0" w:firstRowFirstColumn="0" w:firstRowLastColumn="0" w:lastRowFirstColumn="0" w:lastRowLastColumn="0"/>
              <w:rPr>
                <w:b/>
                <w:bCs/>
                <w:color w:val="000000"/>
                <w:szCs w:val="20"/>
              </w:rPr>
            </w:pPr>
            <w:r w:rsidRPr="00D15B31">
              <w:rPr>
                <w:color w:val="000000"/>
                <w:sz w:val="20"/>
                <w:szCs w:val="20"/>
              </w:rPr>
              <w:t xml:space="preserve">There was a significant effect of time on all three symptom self‐report measures, with significant decreases in OCD symptoms (as measured by the Y-BOCS: </w:t>
            </w:r>
            <w:r w:rsidRPr="00F62917">
              <w:rPr>
                <w:color w:val="000000"/>
                <w:sz w:val="20"/>
                <w:szCs w:val="20"/>
              </w:rPr>
              <w:t>F</w:t>
            </w:r>
            <w:r w:rsidRPr="00D15B31">
              <w:rPr>
                <w:color w:val="000000"/>
                <w:sz w:val="20"/>
                <w:szCs w:val="20"/>
              </w:rPr>
              <w:t xml:space="preserve"> (6, 10) = 10.50; </w:t>
            </w:r>
            <w:r w:rsidRPr="00F62917">
              <w:rPr>
                <w:color w:val="000000"/>
                <w:sz w:val="20"/>
                <w:szCs w:val="20"/>
              </w:rPr>
              <w:t>p</w:t>
            </w:r>
            <w:r w:rsidRPr="00D15B31">
              <w:rPr>
                <w:color w:val="000000"/>
                <w:sz w:val="20"/>
                <w:szCs w:val="20"/>
              </w:rPr>
              <w:t xml:space="preserve"> &lt; </w:t>
            </w:r>
            <w:r w:rsidR="00841050">
              <w:rPr>
                <w:color w:val="000000"/>
                <w:sz w:val="20"/>
                <w:szCs w:val="20"/>
              </w:rPr>
              <w:t>0</w:t>
            </w:r>
            <w:r w:rsidRPr="00D15B31">
              <w:rPr>
                <w:color w:val="000000"/>
                <w:sz w:val="20"/>
                <w:szCs w:val="20"/>
              </w:rPr>
              <w:t xml:space="preserve">.001; and the OCD‐VAS: </w:t>
            </w:r>
            <w:r w:rsidRPr="00F62917">
              <w:rPr>
                <w:color w:val="000000"/>
                <w:sz w:val="20"/>
                <w:szCs w:val="20"/>
              </w:rPr>
              <w:t>F</w:t>
            </w:r>
            <w:r w:rsidRPr="00D15B31">
              <w:rPr>
                <w:color w:val="000000"/>
                <w:sz w:val="20"/>
                <w:szCs w:val="20"/>
              </w:rPr>
              <w:t xml:space="preserve"> (6, 10) = 8.93; </w:t>
            </w:r>
            <w:r w:rsidRPr="00F62917">
              <w:rPr>
                <w:color w:val="000000"/>
                <w:sz w:val="20"/>
                <w:szCs w:val="20"/>
              </w:rPr>
              <w:t>p</w:t>
            </w:r>
            <w:r w:rsidRPr="00D15B31">
              <w:rPr>
                <w:color w:val="000000"/>
                <w:sz w:val="20"/>
                <w:szCs w:val="20"/>
              </w:rPr>
              <w:t xml:space="preserve"> &lt; </w:t>
            </w:r>
            <w:r w:rsidR="00841050">
              <w:rPr>
                <w:color w:val="000000"/>
                <w:sz w:val="20"/>
                <w:szCs w:val="20"/>
              </w:rPr>
              <w:t>0</w:t>
            </w:r>
            <w:r w:rsidRPr="00D15B31">
              <w:rPr>
                <w:color w:val="000000"/>
                <w:sz w:val="20"/>
                <w:szCs w:val="20"/>
              </w:rPr>
              <w:t xml:space="preserve">.001), and significant decreases in anxiety symptoms (as measured by the STAI‐S: </w:t>
            </w:r>
            <w:r w:rsidRPr="00F62917">
              <w:rPr>
                <w:color w:val="000000"/>
                <w:sz w:val="20"/>
                <w:szCs w:val="20"/>
              </w:rPr>
              <w:t>F</w:t>
            </w:r>
            <w:r w:rsidRPr="00D15B31">
              <w:rPr>
                <w:color w:val="000000"/>
                <w:sz w:val="20"/>
                <w:szCs w:val="20"/>
              </w:rPr>
              <w:t xml:space="preserve"> (6, 10) = 7.00; </w:t>
            </w:r>
            <w:r w:rsidRPr="00F62917">
              <w:rPr>
                <w:color w:val="000000"/>
                <w:sz w:val="20"/>
                <w:szCs w:val="20"/>
              </w:rPr>
              <w:t>p</w:t>
            </w:r>
            <w:r w:rsidRPr="00D15B31">
              <w:rPr>
                <w:color w:val="000000"/>
                <w:sz w:val="20"/>
                <w:szCs w:val="20"/>
              </w:rPr>
              <w:t xml:space="preserve"> &lt; </w:t>
            </w:r>
            <w:r w:rsidR="00841050">
              <w:rPr>
                <w:color w:val="000000"/>
                <w:sz w:val="20"/>
                <w:szCs w:val="20"/>
              </w:rPr>
              <w:t>0</w:t>
            </w:r>
            <w:r w:rsidRPr="00D15B31">
              <w:rPr>
                <w:color w:val="000000"/>
                <w:sz w:val="20"/>
                <w:szCs w:val="20"/>
              </w:rPr>
              <w:t xml:space="preserve">.001). </w:t>
            </w:r>
          </w:p>
          <w:p w14:paraId="78D118BD" w14:textId="0675365F" w:rsidR="00B80B9A" w:rsidRPr="00D15B31" w:rsidRDefault="00B80B9A" w:rsidP="00B80B9A">
            <w:pPr>
              <w:pStyle w:val="NoSpacing"/>
              <w:numPr>
                <w:ilvl w:val="0"/>
                <w:numId w:val="91"/>
              </w:numPr>
              <w:spacing w:after="120"/>
              <w:ind w:left="357" w:hanging="357"/>
              <w:contextualSpacing/>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D15B31">
              <w:rPr>
                <w:color w:val="000000"/>
                <w:sz w:val="20"/>
                <w:szCs w:val="20"/>
              </w:rPr>
              <w:t xml:space="preserve">There was a significant effect of cannabis varietal on anxiety symptoms (as measured by the STAI‐S: </w:t>
            </w:r>
            <w:r w:rsidRPr="00F62917">
              <w:rPr>
                <w:color w:val="000000"/>
                <w:sz w:val="20"/>
                <w:szCs w:val="20"/>
              </w:rPr>
              <w:t>F</w:t>
            </w:r>
            <w:r w:rsidRPr="00D15B31">
              <w:rPr>
                <w:color w:val="000000"/>
                <w:sz w:val="20"/>
                <w:szCs w:val="20"/>
              </w:rPr>
              <w:t xml:space="preserve"> (2, 10) = 6.26; </w:t>
            </w:r>
            <w:r w:rsidRPr="00F62917">
              <w:rPr>
                <w:color w:val="000000"/>
                <w:sz w:val="20"/>
                <w:szCs w:val="20"/>
              </w:rPr>
              <w:t>p</w:t>
            </w:r>
            <w:r w:rsidRPr="00D15B31">
              <w:rPr>
                <w:color w:val="000000"/>
                <w:sz w:val="20"/>
                <w:szCs w:val="20"/>
              </w:rPr>
              <w:t xml:space="preserve"> = </w:t>
            </w:r>
            <w:r w:rsidR="00841050">
              <w:rPr>
                <w:color w:val="000000"/>
                <w:sz w:val="20"/>
                <w:szCs w:val="20"/>
              </w:rPr>
              <w:t>0</w:t>
            </w:r>
            <w:r w:rsidRPr="00D15B31">
              <w:rPr>
                <w:color w:val="000000"/>
                <w:sz w:val="20"/>
                <w:szCs w:val="20"/>
              </w:rPr>
              <w:t xml:space="preserve">.002), but not on OCD symptoms (as measured by the Y-BOCS: </w:t>
            </w:r>
            <w:r w:rsidRPr="00F62917">
              <w:rPr>
                <w:color w:val="000000"/>
                <w:sz w:val="20"/>
                <w:szCs w:val="20"/>
              </w:rPr>
              <w:t>F</w:t>
            </w:r>
            <w:r w:rsidRPr="00D15B31">
              <w:rPr>
                <w:color w:val="000000"/>
                <w:sz w:val="20"/>
                <w:szCs w:val="20"/>
              </w:rPr>
              <w:t xml:space="preserve"> (2, 10) = 0.33; </w:t>
            </w:r>
            <w:r w:rsidRPr="00F62917">
              <w:rPr>
                <w:color w:val="000000"/>
                <w:sz w:val="20"/>
                <w:szCs w:val="20"/>
              </w:rPr>
              <w:t>p</w:t>
            </w:r>
            <w:r w:rsidRPr="00D15B31">
              <w:rPr>
                <w:color w:val="000000"/>
                <w:sz w:val="20"/>
                <w:szCs w:val="20"/>
              </w:rPr>
              <w:t xml:space="preserve"> = </w:t>
            </w:r>
            <w:r w:rsidR="00841050">
              <w:rPr>
                <w:color w:val="000000"/>
                <w:sz w:val="20"/>
                <w:szCs w:val="20"/>
              </w:rPr>
              <w:t>0</w:t>
            </w:r>
            <w:r w:rsidRPr="00D15B31">
              <w:rPr>
                <w:color w:val="000000"/>
                <w:sz w:val="20"/>
                <w:szCs w:val="20"/>
              </w:rPr>
              <w:t xml:space="preserve">.72; or the OCD‐VAS: </w:t>
            </w:r>
            <w:r w:rsidRPr="00F62917">
              <w:rPr>
                <w:color w:val="000000"/>
                <w:sz w:val="20"/>
                <w:szCs w:val="20"/>
              </w:rPr>
              <w:t>F</w:t>
            </w:r>
            <w:r w:rsidRPr="00D15B31">
              <w:rPr>
                <w:color w:val="000000"/>
                <w:sz w:val="20"/>
                <w:szCs w:val="20"/>
              </w:rPr>
              <w:t xml:space="preserve"> (2, 10) = 0.10; </w:t>
            </w:r>
            <w:r w:rsidRPr="00F62917">
              <w:rPr>
                <w:color w:val="000000"/>
                <w:sz w:val="20"/>
                <w:szCs w:val="20"/>
              </w:rPr>
              <w:t>p</w:t>
            </w:r>
            <w:r w:rsidRPr="00D15B31">
              <w:rPr>
                <w:color w:val="000000"/>
                <w:sz w:val="20"/>
                <w:szCs w:val="20"/>
              </w:rPr>
              <w:t xml:space="preserve"> = </w:t>
            </w:r>
            <w:r w:rsidR="00841050">
              <w:rPr>
                <w:color w:val="000000"/>
                <w:sz w:val="20"/>
                <w:szCs w:val="20"/>
              </w:rPr>
              <w:t>0</w:t>
            </w:r>
            <w:r w:rsidRPr="00D15B31">
              <w:rPr>
                <w:color w:val="000000"/>
                <w:sz w:val="20"/>
                <w:szCs w:val="20"/>
              </w:rPr>
              <w:t xml:space="preserve">.90). </w:t>
            </w:r>
          </w:p>
          <w:p w14:paraId="08AEFBBB" w14:textId="0BBBFF76" w:rsidR="00B80B9A" w:rsidRPr="00D15B31" w:rsidRDefault="00B80B9A" w:rsidP="00B80B9A">
            <w:pPr>
              <w:pStyle w:val="NoSpacing"/>
              <w:numPr>
                <w:ilvl w:val="0"/>
                <w:numId w:val="91"/>
              </w:numPr>
              <w:spacing w:after="120"/>
              <w:ind w:left="357" w:hanging="357"/>
              <w:contextualSpacing/>
              <w:cnfStyle w:val="000000000000" w:firstRow="0" w:lastRow="0" w:firstColumn="0" w:lastColumn="0" w:oddVBand="0" w:evenVBand="0" w:oddHBand="0" w:evenHBand="0" w:firstRowFirstColumn="0" w:firstRowLastColumn="0" w:lastRowFirstColumn="0" w:lastRowLastColumn="0"/>
              <w:rPr>
                <w:b/>
                <w:bCs/>
                <w:color w:val="000000"/>
                <w:szCs w:val="20"/>
              </w:rPr>
            </w:pPr>
            <w:r w:rsidRPr="00D15B31">
              <w:rPr>
                <w:color w:val="000000"/>
                <w:sz w:val="20"/>
                <w:szCs w:val="20"/>
              </w:rPr>
              <w:t xml:space="preserve">There was no significant cannabis varietal by time interaction (Y-BOCS: </w:t>
            </w:r>
            <w:r w:rsidRPr="00F62917">
              <w:rPr>
                <w:color w:val="000000"/>
                <w:sz w:val="20"/>
                <w:szCs w:val="20"/>
              </w:rPr>
              <w:t>p</w:t>
            </w:r>
            <w:r w:rsidRPr="00D15B31">
              <w:rPr>
                <w:color w:val="000000"/>
                <w:sz w:val="20"/>
                <w:szCs w:val="20"/>
              </w:rPr>
              <w:t xml:space="preserve"> = </w:t>
            </w:r>
            <w:r w:rsidR="00841050">
              <w:rPr>
                <w:color w:val="000000"/>
                <w:sz w:val="20"/>
                <w:szCs w:val="20"/>
              </w:rPr>
              <w:t>0</w:t>
            </w:r>
            <w:r w:rsidRPr="00D15B31">
              <w:rPr>
                <w:color w:val="000000"/>
                <w:sz w:val="20"/>
                <w:szCs w:val="20"/>
              </w:rPr>
              <w:t xml:space="preserve">.577; OCD‐VAS: </w:t>
            </w:r>
            <w:r w:rsidRPr="00F62917">
              <w:rPr>
                <w:color w:val="000000"/>
                <w:sz w:val="20"/>
                <w:szCs w:val="20"/>
              </w:rPr>
              <w:t>p</w:t>
            </w:r>
            <w:r w:rsidRPr="00D15B31">
              <w:rPr>
                <w:color w:val="000000"/>
                <w:sz w:val="20"/>
                <w:szCs w:val="20"/>
              </w:rPr>
              <w:t xml:space="preserve"> = </w:t>
            </w:r>
            <w:r w:rsidR="00841050">
              <w:rPr>
                <w:color w:val="000000"/>
                <w:sz w:val="20"/>
                <w:szCs w:val="20"/>
              </w:rPr>
              <w:t>0</w:t>
            </w:r>
            <w:r w:rsidRPr="00D15B31">
              <w:rPr>
                <w:color w:val="000000"/>
                <w:sz w:val="20"/>
                <w:szCs w:val="20"/>
              </w:rPr>
              <w:t xml:space="preserve">.818; STAI‐S: </w:t>
            </w:r>
            <w:r w:rsidRPr="00F62917">
              <w:rPr>
                <w:color w:val="000000"/>
                <w:sz w:val="20"/>
                <w:szCs w:val="20"/>
              </w:rPr>
              <w:t>p</w:t>
            </w:r>
            <w:r w:rsidRPr="00D15B31">
              <w:rPr>
                <w:color w:val="000000"/>
                <w:sz w:val="20"/>
                <w:szCs w:val="20"/>
              </w:rPr>
              <w:t xml:space="preserve"> = </w:t>
            </w:r>
            <w:r w:rsidR="00841050">
              <w:rPr>
                <w:color w:val="000000"/>
                <w:sz w:val="20"/>
                <w:szCs w:val="20"/>
              </w:rPr>
              <w:t>0</w:t>
            </w:r>
            <w:r w:rsidRPr="00D15B31">
              <w:rPr>
                <w:color w:val="000000"/>
                <w:sz w:val="20"/>
                <w:szCs w:val="20"/>
              </w:rPr>
              <w:t>.740).</w:t>
            </w:r>
          </w:p>
          <w:p w14:paraId="3BFBEC28" w14:textId="10D391A1" w:rsidR="00B80B9A" w:rsidRPr="00D15B31" w:rsidRDefault="00B80B9A" w:rsidP="00B80B9A">
            <w:pPr>
              <w:pStyle w:val="NoSpacing"/>
              <w:numPr>
                <w:ilvl w:val="0"/>
                <w:numId w:val="91"/>
              </w:numPr>
              <w:spacing w:after="120"/>
              <w:ind w:left="357" w:hanging="357"/>
              <w:contextualSpacing/>
              <w:cnfStyle w:val="000000000000" w:firstRow="0" w:lastRow="0" w:firstColumn="0" w:lastColumn="0" w:oddVBand="0" w:evenVBand="0" w:oddHBand="0" w:evenHBand="0" w:firstRowFirstColumn="0" w:firstRowLastColumn="0" w:lastRowFirstColumn="0" w:lastRowLastColumn="0"/>
              <w:rPr>
                <w:b/>
                <w:bCs/>
                <w:color w:val="000000"/>
                <w:szCs w:val="20"/>
              </w:rPr>
            </w:pPr>
            <w:r w:rsidRPr="00D15B31">
              <w:rPr>
                <w:color w:val="000000"/>
                <w:sz w:val="20"/>
                <w:szCs w:val="20"/>
              </w:rPr>
              <w:t xml:space="preserve">Though mean STAI‐S scores decreased in all three conditions, they were significantly lower for placebo compared with both THC [M(diff) = -4.31, SE = 1.34, </w:t>
            </w:r>
            <w:r w:rsidRPr="00F62917">
              <w:rPr>
                <w:color w:val="000000"/>
                <w:sz w:val="20"/>
                <w:szCs w:val="20"/>
              </w:rPr>
              <w:t>p</w:t>
            </w:r>
            <w:r w:rsidRPr="00D15B31">
              <w:rPr>
                <w:color w:val="000000"/>
                <w:sz w:val="20"/>
                <w:szCs w:val="20"/>
              </w:rPr>
              <w:t xml:space="preserve"> = </w:t>
            </w:r>
            <w:r w:rsidR="00841050">
              <w:rPr>
                <w:color w:val="000000"/>
                <w:sz w:val="20"/>
                <w:szCs w:val="20"/>
              </w:rPr>
              <w:t>0</w:t>
            </w:r>
            <w:r w:rsidRPr="00D15B31">
              <w:rPr>
                <w:color w:val="000000"/>
                <w:sz w:val="20"/>
                <w:szCs w:val="20"/>
              </w:rPr>
              <w:t xml:space="preserve">.001] and CBD [M(diff) = -3.85, SE = 1.34, </w:t>
            </w:r>
            <w:r w:rsidRPr="00F62917">
              <w:rPr>
                <w:color w:val="000000"/>
                <w:sz w:val="20"/>
                <w:szCs w:val="20"/>
              </w:rPr>
              <w:t>p</w:t>
            </w:r>
            <w:r w:rsidRPr="00D15B31">
              <w:rPr>
                <w:color w:val="000000"/>
                <w:sz w:val="20"/>
                <w:szCs w:val="20"/>
              </w:rPr>
              <w:t xml:space="preserve"> = </w:t>
            </w:r>
            <w:r w:rsidR="00841050">
              <w:rPr>
                <w:color w:val="000000"/>
                <w:sz w:val="20"/>
                <w:szCs w:val="20"/>
              </w:rPr>
              <w:t>0</w:t>
            </w:r>
            <w:r w:rsidRPr="00D15B31">
              <w:rPr>
                <w:color w:val="000000"/>
                <w:sz w:val="20"/>
                <w:szCs w:val="20"/>
              </w:rPr>
              <w:t xml:space="preserve">.004]. </w:t>
            </w:r>
          </w:p>
          <w:p w14:paraId="4A9F8F5A" w14:textId="77777777" w:rsidR="00B80B9A" w:rsidRPr="00D15B31" w:rsidRDefault="00B80B9A" w:rsidP="00B80B9A">
            <w:pPr>
              <w:pStyle w:val="NoSpacing"/>
              <w:numPr>
                <w:ilvl w:val="0"/>
                <w:numId w:val="91"/>
              </w:numPr>
              <w:spacing w:after="120"/>
              <w:ind w:left="357" w:hanging="357"/>
              <w:contextualSpacing/>
              <w:cnfStyle w:val="000000000000" w:firstRow="0" w:lastRow="0" w:firstColumn="0" w:lastColumn="0" w:oddVBand="0" w:evenVBand="0" w:oddHBand="0" w:evenHBand="0" w:firstRowFirstColumn="0" w:firstRowLastColumn="0" w:lastRowFirstColumn="0" w:lastRowLastColumn="0"/>
              <w:rPr>
                <w:b/>
                <w:bCs/>
                <w:color w:val="000000"/>
                <w:szCs w:val="20"/>
              </w:rPr>
            </w:pPr>
            <w:r w:rsidRPr="00D15B31">
              <w:rPr>
                <w:color w:val="000000"/>
                <w:sz w:val="20"/>
                <w:szCs w:val="20"/>
              </w:rPr>
              <w:t>Post-hoc analyses:</w:t>
            </w:r>
          </w:p>
          <w:p w14:paraId="664B3AD9" w14:textId="650F1028" w:rsidR="00B80B9A" w:rsidRPr="00D15B31" w:rsidRDefault="00B80B9A" w:rsidP="00B80B9A">
            <w:pPr>
              <w:pStyle w:val="NoSpacing"/>
              <w:numPr>
                <w:ilvl w:val="1"/>
                <w:numId w:val="91"/>
              </w:numPr>
              <w:spacing w:after="120"/>
              <w:ind w:left="714" w:hanging="357"/>
              <w:contextualSpacing/>
              <w:cnfStyle w:val="000000000000" w:firstRow="0" w:lastRow="0" w:firstColumn="0" w:lastColumn="0" w:oddVBand="0" w:evenVBand="0" w:oddHBand="0" w:evenHBand="0" w:firstRowFirstColumn="0" w:firstRowLastColumn="0" w:lastRowFirstColumn="0" w:lastRowLastColumn="0"/>
              <w:rPr>
                <w:b/>
                <w:bCs/>
                <w:color w:val="000000"/>
                <w:szCs w:val="20"/>
              </w:rPr>
            </w:pPr>
            <w:r w:rsidRPr="00D15B31">
              <w:rPr>
                <w:color w:val="000000"/>
                <w:sz w:val="20"/>
                <w:szCs w:val="20"/>
              </w:rPr>
              <w:t xml:space="preserve">At the 20-minute time-point, participants had significantly lower anxiety symptoms (as measured by the STAI‐S) after placebo administration compared with both THC [M(diff) = -11.25, SE = 3.54, </w:t>
            </w:r>
            <w:r w:rsidRPr="00F62917">
              <w:rPr>
                <w:color w:val="000000"/>
                <w:sz w:val="20"/>
                <w:szCs w:val="20"/>
              </w:rPr>
              <w:t>p</w:t>
            </w:r>
            <w:r w:rsidRPr="00D15B31">
              <w:rPr>
                <w:color w:val="000000"/>
                <w:sz w:val="20"/>
                <w:szCs w:val="20"/>
              </w:rPr>
              <w:t xml:space="preserve"> = </w:t>
            </w:r>
            <w:r w:rsidR="00841050">
              <w:rPr>
                <w:color w:val="000000"/>
                <w:sz w:val="20"/>
                <w:szCs w:val="20"/>
              </w:rPr>
              <w:t>0</w:t>
            </w:r>
            <w:r w:rsidRPr="00D15B31">
              <w:rPr>
                <w:color w:val="000000"/>
                <w:sz w:val="20"/>
                <w:szCs w:val="20"/>
              </w:rPr>
              <w:t xml:space="preserve">.002] and CBD cannabis [M(diff) = -7.33, SE = 3.54, </w:t>
            </w:r>
            <w:r w:rsidRPr="00F62917">
              <w:rPr>
                <w:color w:val="000000"/>
                <w:sz w:val="20"/>
                <w:szCs w:val="20"/>
              </w:rPr>
              <w:t>p</w:t>
            </w:r>
            <w:r w:rsidRPr="00D15B31">
              <w:rPr>
                <w:color w:val="000000"/>
                <w:sz w:val="20"/>
                <w:szCs w:val="20"/>
              </w:rPr>
              <w:t xml:space="preserve"> = </w:t>
            </w:r>
            <w:r w:rsidR="00841050">
              <w:rPr>
                <w:color w:val="000000"/>
                <w:sz w:val="20"/>
                <w:szCs w:val="20"/>
              </w:rPr>
              <w:t>0</w:t>
            </w:r>
            <w:r w:rsidRPr="00D15B31">
              <w:rPr>
                <w:color w:val="000000"/>
                <w:sz w:val="20"/>
                <w:szCs w:val="20"/>
              </w:rPr>
              <w:t xml:space="preserve">.039]. </w:t>
            </w:r>
          </w:p>
          <w:p w14:paraId="6F1D77C9" w14:textId="3E0DD4FF" w:rsidR="00B80B9A" w:rsidRPr="00D15B31" w:rsidRDefault="00B80B9A" w:rsidP="00B80B9A">
            <w:pPr>
              <w:pStyle w:val="NoSpacing"/>
              <w:numPr>
                <w:ilvl w:val="1"/>
                <w:numId w:val="91"/>
              </w:numPr>
              <w:spacing w:after="120"/>
              <w:ind w:left="714" w:hanging="357"/>
              <w:contextualSpacing/>
              <w:cnfStyle w:val="000000000000" w:firstRow="0" w:lastRow="0" w:firstColumn="0" w:lastColumn="0" w:oddVBand="0" w:evenVBand="0" w:oddHBand="0" w:evenHBand="0" w:firstRowFirstColumn="0" w:firstRowLastColumn="0" w:lastRowFirstColumn="0" w:lastRowLastColumn="0"/>
              <w:rPr>
                <w:b/>
                <w:bCs/>
                <w:color w:val="000000"/>
                <w:szCs w:val="20"/>
              </w:rPr>
            </w:pPr>
            <w:r w:rsidRPr="00D15B31">
              <w:rPr>
                <w:color w:val="000000"/>
                <w:sz w:val="20"/>
                <w:szCs w:val="20"/>
              </w:rPr>
              <w:t xml:space="preserve">At the 40-minute timepoint, anxiety symptoms (as measured by the STAI‐S) remained significantly lower for placebo compared with THC [M(diff) = -7.58, SE = 3.54, </w:t>
            </w:r>
            <w:r w:rsidRPr="00F62917">
              <w:rPr>
                <w:color w:val="000000"/>
                <w:sz w:val="20"/>
                <w:szCs w:val="20"/>
              </w:rPr>
              <w:t>p</w:t>
            </w:r>
            <w:r w:rsidRPr="00D15B31">
              <w:rPr>
                <w:color w:val="000000"/>
                <w:sz w:val="20"/>
                <w:szCs w:val="20"/>
              </w:rPr>
              <w:t xml:space="preserve"> = </w:t>
            </w:r>
            <w:r w:rsidR="00BF5483">
              <w:rPr>
                <w:color w:val="000000"/>
                <w:sz w:val="20"/>
                <w:szCs w:val="20"/>
              </w:rPr>
              <w:t>0</w:t>
            </w:r>
            <w:r w:rsidRPr="00D15B31">
              <w:rPr>
                <w:color w:val="000000"/>
                <w:sz w:val="20"/>
                <w:szCs w:val="20"/>
              </w:rPr>
              <w:t xml:space="preserve">.033), but not for placebo compared with CBD [M(diff) = -6.33, SE = 3.54, </w:t>
            </w:r>
            <w:r w:rsidRPr="00F62917">
              <w:rPr>
                <w:color w:val="000000"/>
                <w:sz w:val="20"/>
                <w:szCs w:val="20"/>
              </w:rPr>
              <w:t>p</w:t>
            </w:r>
            <w:r w:rsidRPr="00D15B31">
              <w:rPr>
                <w:color w:val="000000"/>
                <w:sz w:val="20"/>
                <w:szCs w:val="20"/>
              </w:rPr>
              <w:t xml:space="preserve"> = </w:t>
            </w:r>
            <w:r w:rsidR="00BF5483">
              <w:rPr>
                <w:color w:val="000000"/>
                <w:sz w:val="20"/>
                <w:szCs w:val="20"/>
              </w:rPr>
              <w:t>0</w:t>
            </w:r>
            <w:r w:rsidRPr="00D15B31">
              <w:rPr>
                <w:color w:val="000000"/>
                <w:sz w:val="20"/>
                <w:szCs w:val="20"/>
              </w:rPr>
              <w:t xml:space="preserve">.075]. </w:t>
            </w:r>
          </w:p>
          <w:p w14:paraId="58895BDE" w14:textId="77777777" w:rsidR="00B80B9A" w:rsidRPr="00D15B31" w:rsidRDefault="00B80B9A" w:rsidP="00B80B9A">
            <w:pPr>
              <w:pStyle w:val="NoSpacing"/>
              <w:numPr>
                <w:ilvl w:val="1"/>
                <w:numId w:val="91"/>
              </w:numPr>
              <w:spacing w:after="120"/>
              <w:ind w:left="714" w:hanging="357"/>
              <w:contextualSpacing/>
              <w:cnfStyle w:val="000000000000" w:firstRow="0" w:lastRow="0" w:firstColumn="0" w:lastColumn="0" w:oddVBand="0" w:evenVBand="0" w:oddHBand="0" w:evenHBand="0" w:firstRowFirstColumn="0" w:firstRowLastColumn="0" w:lastRowFirstColumn="0" w:lastRowLastColumn="0"/>
              <w:rPr>
                <w:b/>
                <w:bCs/>
                <w:color w:val="000000"/>
                <w:szCs w:val="20"/>
              </w:rPr>
            </w:pPr>
            <w:r w:rsidRPr="00D15B31">
              <w:rPr>
                <w:color w:val="000000"/>
                <w:sz w:val="20"/>
                <w:szCs w:val="20"/>
              </w:rPr>
              <w:t>At the 60-minute and subsequent time-points, there were no between‐group differences in anxiety symptoms (as measured by the STAI‐S; p-values not reported).</w:t>
            </w:r>
          </w:p>
        </w:tc>
      </w:tr>
      <w:tr w:rsidR="00B80B9A" w:rsidRPr="00D15B31" w14:paraId="1256EE32"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28DF7218" w14:textId="77777777" w:rsidR="00B80B9A" w:rsidRPr="00D15B31" w:rsidRDefault="00B80B9A" w:rsidP="004361E5">
            <w:r w:rsidRPr="00D15B31">
              <w:t>Safety and Adverse Events</w:t>
            </w:r>
          </w:p>
        </w:tc>
        <w:tc>
          <w:tcPr>
            <w:tcW w:w="3884" w:type="pct"/>
          </w:tcPr>
          <w:p w14:paraId="1F28D511" w14:textId="77777777" w:rsidR="00B80B9A" w:rsidRPr="00D15B31" w:rsidRDefault="00B80B9A" w:rsidP="00B80B9A">
            <w:pPr>
              <w:numPr>
                <w:ilvl w:val="0"/>
                <w:numId w:val="92"/>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D15B31">
              <w:rPr>
                <w:rFonts w:ascii="Calibri" w:hAnsi="Calibri" w:cs="Calibri"/>
                <w:color w:val="000000"/>
                <w:szCs w:val="20"/>
              </w:rPr>
              <w:t xml:space="preserve">No serious adverse events were reported. </w:t>
            </w:r>
          </w:p>
          <w:p w14:paraId="7C82B88D" w14:textId="77777777" w:rsidR="00B80B9A" w:rsidRPr="00D15B31" w:rsidRDefault="00B80B9A" w:rsidP="00B80B9A">
            <w:pPr>
              <w:numPr>
                <w:ilvl w:val="0"/>
                <w:numId w:val="92"/>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D15B31">
              <w:rPr>
                <w:rFonts w:ascii="Calibri" w:hAnsi="Calibri" w:cs="Calibri"/>
                <w:color w:val="000000"/>
                <w:szCs w:val="20"/>
              </w:rPr>
              <w:t>THC increased heart rate, blood pressure, and intoxication compared with CBD and placebo.</w:t>
            </w:r>
          </w:p>
          <w:p w14:paraId="3DEEEF16" w14:textId="77777777" w:rsidR="00B80B9A" w:rsidRPr="00D15B31" w:rsidRDefault="00B80B9A" w:rsidP="00B80B9A">
            <w:pPr>
              <w:numPr>
                <w:ilvl w:val="0"/>
                <w:numId w:val="92"/>
              </w:numPr>
              <w:spacing w:line="259" w:lineRule="auto"/>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D15B31">
              <w:rPr>
                <w:rFonts w:ascii="Calibri" w:hAnsi="Calibri" w:cs="Calibri"/>
                <w:color w:val="000000"/>
                <w:szCs w:val="20"/>
              </w:rPr>
              <w:lastRenderedPageBreak/>
              <w:t>Across all conditions, the most common self‐reported side effects were nervousness and dry mouth.</w:t>
            </w:r>
          </w:p>
        </w:tc>
      </w:tr>
    </w:tbl>
    <w:p w14:paraId="2BFCA76B" w14:textId="77777777" w:rsidR="00B80B9A" w:rsidRDefault="00B80B9A" w:rsidP="00B80B9A"/>
    <w:p w14:paraId="16AF70A4" w14:textId="77777777" w:rsidR="00B80B9A" w:rsidRDefault="00B80B9A" w:rsidP="00B80B9A">
      <w:pPr>
        <w:keepNext/>
        <w:keepLines/>
        <w:numPr>
          <w:ilvl w:val="0"/>
          <w:numId w:val="28"/>
        </w:numPr>
        <w:spacing w:before="40" w:after="40"/>
        <w:outlineLvl w:val="1"/>
        <w:rPr>
          <w:rFonts w:ascii="Calibri Light" w:eastAsia="Times New Roman" w:hAnsi="Calibri Light" w:cs="Times New Roman"/>
          <w:color w:val="2E74B5"/>
          <w:sz w:val="26"/>
          <w:szCs w:val="26"/>
        </w:rPr>
      </w:pPr>
      <w:bookmarkStart w:id="320" w:name="_Toc165018242"/>
      <w:r>
        <w:rPr>
          <w:rFonts w:ascii="Calibri Light" w:eastAsia="Times New Roman" w:hAnsi="Calibri Light" w:cs="Times New Roman"/>
          <w:color w:val="2E74B5"/>
          <w:sz w:val="26"/>
          <w:szCs w:val="26"/>
        </w:rPr>
        <w:t>Synthetic Cannabinoid (THC) for Cannabis Use Disorder (CUD): Standalone intervention</w:t>
      </w:r>
      <w:bookmarkEnd w:id="320"/>
    </w:p>
    <w:tbl>
      <w:tblPr>
        <w:tblStyle w:val="GridTable5Dark-Accent5"/>
        <w:tblW w:w="5000" w:type="pct"/>
        <w:tblLook w:val="04A0" w:firstRow="1" w:lastRow="0" w:firstColumn="1" w:lastColumn="0" w:noHBand="0" w:noVBand="1"/>
      </w:tblPr>
      <w:tblGrid>
        <w:gridCol w:w="2012"/>
        <w:gridCol w:w="7004"/>
      </w:tblGrid>
      <w:tr w:rsidR="00B80B9A" w:rsidRPr="002F020F" w14:paraId="43A9A17B" w14:textId="77777777" w:rsidTr="004F2F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638102F7" w14:textId="77777777" w:rsidR="00B80B9A" w:rsidRPr="002F020F" w:rsidRDefault="00B80B9A" w:rsidP="004361E5">
            <w:r w:rsidRPr="002F020F">
              <w:t>Citation</w:t>
            </w:r>
          </w:p>
        </w:tc>
        <w:tc>
          <w:tcPr>
            <w:tcW w:w="3884" w:type="pct"/>
          </w:tcPr>
          <w:p w14:paraId="675BB131" w14:textId="77777777" w:rsidR="00B80B9A" w:rsidRPr="00F93044" w:rsidRDefault="00B80B9A" w:rsidP="004361E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rPr>
            </w:pPr>
            <w:r w:rsidRPr="00F93044">
              <w:rPr>
                <w:rFonts w:cstheme="minorHAnsi"/>
                <w:szCs w:val="20"/>
              </w:rPr>
              <w:t>Schlienz et al. (2018)</w:t>
            </w:r>
          </w:p>
        </w:tc>
      </w:tr>
      <w:tr w:rsidR="00B80B9A" w:rsidRPr="002F020F" w14:paraId="204FE12C"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5DA4CF1D" w14:textId="77777777" w:rsidR="00B80B9A" w:rsidRPr="002F020F" w:rsidRDefault="00B80B9A" w:rsidP="004361E5">
            <w:r w:rsidRPr="002F020F">
              <w:t>Study Design</w:t>
            </w:r>
          </w:p>
        </w:tc>
        <w:tc>
          <w:tcPr>
            <w:tcW w:w="3884" w:type="pct"/>
          </w:tcPr>
          <w:p w14:paraId="16AA66CD" w14:textId="77777777" w:rsidR="00B80B9A" w:rsidRPr="00F9372F" w:rsidRDefault="00B80B9A" w:rsidP="00B80B9A">
            <w:pPr>
              <w:pStyle w:val="ListParagraph"/>
              <w:numPr>
                <w:ilvl w:val="0"/>
                <w:numId w:val="9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Pr>
                <w:rFonts w:cstheme="minorHAnsi"/>
                <w:szCs w:val="20"/>
              </w:rPr>
              <w:t>D</w:t>
            </w:r>
            <w:r w:rsidRPr="00192E5D">
              <w:rPr>
                <w:rFonts w:cstheme="minorHAnsi"/>
                <w:szCs w:val="20"/>
              </w:rPr>
              <w:t xml:space="preserve">ouble-blind, randomised, </w:t>
            </w:r>
            <w:r>
              <w:rPr>
                <w:rFonts w:cstheme="minorHAnsi"/>
                <w:szCs w:val="20"/>
              </w:rPr>
              <w:t>placebo-controlled, trial.</w:t>
            </w:r>
          </w:p>
          <w:p w14:paraId="22368317" w14:textId="77777777" w:rsidR="00B80B9A" w:rsidRPr="002F020F" w:rsidRDefault="00B80B9A" w:rsidP="00B80B9A">
            <w:pPr>
              <w:pStyle w:val="ListParagraph"/>
              <w:numPr>
                <w:ilvl w:val="0"/>
                <w:numId w:val="9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Pr>
                <w:rFonts w:cstheme="minorHAnsi"/>
                <w:szCs w:val="20"/>
              </w:rPr>
              <w:t>Crossover design.</w:t>
            </w:r>
          </w:p>
        </w:tc>
      </w:tr>
      <w:tr w:rsidR="00B80B9A" w:rsidRPr="002F020F" w14:paraId="6D5CF3D1"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337E2A54" w14:textId="77777777" w:rsidR="00B80B9A" w:rsidRPr="002F020F" w:rsidRDefault="00B80B9A" w:rsidP="004361E5">
            <w:r w:rsidRPr="002F020F">
              <w:t>Sample Size</w:t>
            </w:r>
          </w:p>
        </w:tc>
        <w:tc>
          <w:tcPr>
            <w:tcW w:w="3884" w:type="pct"/>
          </w:tcPr>
          <w:p w14:paraId="0A2AAE16" w14:textId="77777777" w:rsidR="00B80B9A" w:rsidRPr="00FA4A08" w:rsidRDefault="00B80B9A" w:rsidP="00B80B9A">
            <w:pPr>
              <w:pStyle w:val="ListParagraph"/>
              <w:numPr>
                <w:ilvl w:val="0"/>
                <w:numId w:val="101"/>
              </w:numPr>
              <w:spacing w:after="120"/>
              <w:cnfStyle w:val="000000000000" w:firstRow="0" w:lastRow="0" w:firstColumn="0" w:lastColumn="0" w:oddVBand="0" w:evenVBand="0" w:oddHBand="0" w:evenHBand="0" w:firstRowFirstColumn="0" w:firstRowLastColumn="0" w:lastRowFirstColumn="0" w:lastRowLastColumn="0"/>
              <w:rPr>
                <w:szCs w:val="20"/>
              </w:rPr>
            </w:pPr>
            <w:r w:rsidRPr="006401F4">
              <w:rPr>
                <w:rFonts w:cstheme="minorHAnsi"/>
                <w:color w:val="000000"/>
                <w:szCs w:val="20"/>
              </w:rPr>
              <w:t>13 participants (per-protocol sample)</w:t>
            </w:r>
            <w:r>
              <w:rPr>
                <w:rFonts w:cstheme="minorHAnsi"/>
                <w:color w:val="000000"/>
                <w:szCs w:val="20"/>
              </w:rPr>
              <w:t>.</w:t>
            </w:r>
          </w:p>
          <w:p w14:paraId="2265461B" w14:textId="77777777" w:rsidR="00B80B9A" w:rsidRPr="006401F4" w:rsidRDefault="00B80B9A" w:rsidP="00B80B9A">
            <w:pPr>
              <w:pStyle w:val="ListParagraph"/>
              <w:numPr>
                <w:ilvl w:val="0"/>
                <w:numId w:val="101"/>
              </w:numPr>
              <w:spacing w:after="120"/>
              <w:cnfStyle w:val="000000000000" w:firstRow="0" w:lastRow="0" w:firstColumn="0" w:lastColumn="0" w:oddVBand="0" w:evenVBand="0" w:oddHBand="0" w:evenHBand="0" w:firstRowFirstColumn="0" w:firstRowLastColumn="0" w:lastRowFirstColumn="0" w:lastRowLastColumn="0"/>
              <w:rPr>
                <w:szCs w:val="20"/>
              </w:rPr>
            </w:pPr>
            <w:r>
              <w:rPr>
                <w:color w:val="000000"/>
                <w:szCs w:val="20"/>
              </w:rPr>
              <w:t>16 participants enrolled.</w:t>
            </w:r>
          </w:p>
          <w:p w14:paraId="223F318F" w14:textId="77777777" w:rsidR="00B80B9A" w:rsidRPr="004E747B" w:rsidRDefault="00B80B9A" w:rsidP="00B80B9A">
            <w:pPr>
              <w:pStyle w:val="ListParagraph"/>
              <w:numPr>
                <w:ilvl w:val="0"/>
                <w:numId w:val="101"/>
              </w:numPr>
              <w:spacing w:after="120"/>
              <w:cnfStyle w:val="000000000000" w:firstRow="0" w:lastRow="0" w:firstColumn="0" w:lastColumn="0" w:oddVBand="0" w:evenVBand="0" w:oddHBand="0" w:evenHBand="0" w:firstRowFirstColumn="0" w:firstRowLastColumn="0" w:lastRowFirstColumn="0" w:lastRowLastColumn="0"/>
              <w:rPr>
                <w:szCs w:val="20"/>
              </w:rPr>
            </w:pPr>
            <w:r w:rsidRPr="009B4729">
              <w:rPr>
                <w:rFonts w:cstheme="minorHAnsi"/>
                <w:color w:val="000000"/>
                <w:szCs w:val="20"/>
              </w:rPr>
              <w:t xml:space="preserve">3 participants </w:t>
            </w:r>
            <w:r>
              <w:rPr>
                <w:rFonts w:cstheme="minorHAnsi"/>
                <w:color w:val="000000"/>
                <w:szCs w:val="20"/>
              </w:rPr>
              <w:t xml:space="preserve">were </w:t>
            </w:r>
            <w:r w:rsidRPr="009B4729">
              <w:rPr>
                <w:rFonts w:cstheme="minorHAnsi"/>
                <w:color w:val="000000"/>
                <w:szCs w:val="20"/>
              </w:rPr>
              <w:t>excluded</w:t>
            </w:r>
            <w:r>
              <w:rPr>
                <w:rFonts w:cstheme="minorHAnsi"/>
                <w:color w:val="000000"/>
                <w:szCs w:val="20"/>
              </w:rPr>
              <w:t xml:space="preserve"> due to protocol deviations</w:t>
            </w:r>
            <w:r w:rsidRPr="009B4729">
              <w:rPr>
                <w:rFonts w:cstheme="minorHAnsi"/>
                <w:color w:val="000000"/>
                <w:szCs w:val="20"/>
              </w:rPr>
              <w:t>;</w:t>
            </w:r>
            <w:r>
              <w:rPr>
                <w:rFonts w:cstheme="minorHAnsi"/>
                <w:color w:val="000000"/>
                <w:szCs w:val="20"/>
              </w:rPr>
              <w:t xml:space="preserve"> 2</w:t>
            </w:r>
            <w:r w:rsidRPr="009B4729">
              <w:rPr>
                <w:szCs w:val="20"/>
              </w:rPr>
              <w:t xml:space="preserve"> were discharged </w:t>
            </w:r>
            <w:r>
              <w:rPr>
                <w:szCs w:val="20"/>
              </w:rPr>
              <w:t xml:space="preserve">from the study following initial </w:t>
            </w:r>
            <w:r w:rsidRPr="0090054D">
              <w:rPr>
                <w:szCs w:val="20"/>
              </w:rPr>
              <w:t xml:space="preserve">exposure and discrimination </w:t>
            </w:r>
            <w:r>
              <w:rPr>
                <w:szCs w:val="20"/>
              </w:rPr>
              <w:t>training (</w:t>
            </w:r>
            <w:r>
              <w:t xml:space="preserve">prior to dronabinol dosing) </w:t>
            </w:r>
            <w:r w:rsidRPr="009B4729">
              <w:rPr>
                <w:szCs w:val="20"/>
              </w:rPr>
              <w:t xml:space="preserve">because they indicated a preference for </w:t>
            </w:r>
            <w:r>
              <w:rPr>
                <w:szCs w:val="20"/>
              </w:rPr>
              <w:t>pl</w:t>
            </w:r>
            <w:r w:rsidRPr="009B4729">
              <w:rPr>
                <w:szCs w:val="20"/>
              </w:rPr>
              <w:t>acebo</w:t>
            </w:r>
            <w:r>
              <w:rPr>
                <w:szCs w:val="20"/>
              </w:rPr>
              <w:t xml:space="preserve"> cannabis over active cannabis; 1 </w:t>
            </w:r>
            <w:r w:rsidRPr="00AD46A6">
              <w:rPr>
                <w:szCs w:val="20"/>
              </w:rPr>
              <w:t xml:space="preserve">participant </w:t>
            </w:r>
            <w:r>
              <w:rPr>
                <w:szCs w:val="20"/>
              </w:rPr>
              <w:t xml:space="preserve">voluntarily </w:t>
            </w:r>
            <w:r w:rsidRPr="00AD46A6">
              <w:rPr>
                <w:szCs w:val="20"/>
              </w:rPr>
              <w:t>withdrew from the study for personal reasons.</w:t>
            </w:r>
          </w:p>
        </w:tc>
      </w:tr>
      <w:tr w:rsidR="00B80B9A" w:rsidRPr="002F020F" w14:paraId="58D887B3"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220293F6" w14:textId="77777777" w:rsidR="00B80B9A" w:rsidRPr="0094024F" w:rsidRDefault="00B80B9A" w:rsidP="004361E5">
            <w:pPr>
              <w:rPr>
                <w:b w:val="0"/>
                <w:bCs w:val="0"/>
              </w:rPr>
            </w:pPr>
            <w:r w:rsidRPr="002F020F">
              <w:t>Population</w:t>
            </w:r>
          </w:p>
        </w:tc>
        <w:tc>
          <w:tcPr>
            <w:tcW w:w="3884" w:type="pct"/>
          </w:tcPr>
          <w:p w14:paraId="57F301BB" w14:textId="77777777" w:rsidR="00B80B9A" w:rsidRPr="0074686F" w:rsidRDefault="00B80B9A" w:rsidP="00B80B9A">
            <w:pPr>
              <w:pStyle w:val="ListParagraph"/>
              <w:numPr>
                <w:ilvl w:val="0"/>
                <w:numId w:val="102"/>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74686F">
              <w:rPr>
                <w:rFonts w:cstheme="minorHAnsi"/>
                <w:color w:val="000000"/>
                <w:szCs w:val="20"/>
              </w:rPr>
              <w:t>United States</w:t>
            </w:r>
            <w:r>
              <w:rPr>
                <w:rFonts w:cstheme="minorHAnsi"/>
                <w:color w:val="000000"/>
                <w:szCs w:val="20"/>
              </w:rPr>
              <w:t>.</w:t>
            </w:r>
          </w:p>
          <w:p w14:paraId="20965A12" w14:textId="77777777" w:rsidR="00B80B9A" w:rsidRPr="00017523" w:rsidRDefault="00B80B9A" w:rsidP="00B80B9A">
            <w:pPr>
              <w:pStyle w:val="ListParagraph"/>
              <w:numPr>
                <w:ilvl w:val="0"/>
                <w:numId w:val="102"/>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D</w:t>
            </w:r>
            <w:r w:rsidRPr="0074686F">
              <w:rPr>
                <w:rFonts w:cstheme="minorHAnsi"/>
                <w:color w:val="000000"/>
                <w:szCs w:val="20"/>
              </w:rPr>
              <w:t xml:space="preserve">aily cannabis users </w:t>
            </w:r>
            <w:r>
              <w:rPr>
                <w:rFonts w:cstheme="minorHAnsi"/>
                <w:color w:val="000000"/>
                <w:szCs w:val="20"/>
              </w:rPr>
              <w:t>(</w:t>
            </w:r>
            <w:r w:rsidRPr="002D2009">
              <w:t xml:space="preserve">defined as </w:t>
            </w:r>
            <w:r>
              <w:t xml:space="preserve">self-reported </w:t>
            </w:r>
            <w:r w:rsidRPr="002D2009">
              <w:t xml:space="preserve">cannabis use </w:t>
            </w:r>
            <w:r>
              <w:t xml:space="preserve">for </w:t>
            </w:r>
            <w:r w:rsidRPr="002D2009">
              <w:t>a minimum of 25 days per month in the past year</w:t>
            </w:r>
            <w:r>
              <w:t>).</w:t>
            </w:r>
          </w:p>
          <w:p w14:paraId="430A3709" w14:textId="77777777" w:rsidR="00B80B9A" w:rsidRDefault="00B80B9A" w:rsidP="00B80B9A">
            <w:pPr>
              <w:pStyle w:val="ListParagraph"/>
              <w:numPr>
                <w:ilvl w:val="0"/>
                <w:numId w:val="102"/>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74686F">
              <w:rPr>
                <w:rFonts w:cstheme="minorHAnsi"/>
                <w:color w:val="000000"/>
                <w:szCs w:val="20"/>
              </w:rPr>
              <w:t>10</w:t>
            </w:r>
            <w:r>
              <w:rPr>
                <w:rFonts w:cstheme="minorHAnsi"/>
                <w:color w:val="000000"/>
                <w:szCs w:val="20"/>
              </w:rPr>
              <w:t xml:space="preserve"> of </w:t>
            </w:r>
            <w:r w:rsidRPr="0074686F">
              <w:rPr>
                <w:rFonts w:cstheme="minorHAnsi"/>
                <w:color w:val="000000"/>
                <w:szCs w:val="20"/>
              </w:rPr>
              <w:t>13 participants met DSM-IV criteria for cannabis dependence</w:t>
            </w:r>
            <w:r>
              <w:rPr>
                <w:rFonts w:cstheme="minorHAnsi"/>
                <w:color w:val="000000"/>
                <w:szCs w:val="20"/>
              </w:rPr>
              <w:t>.</w:t>
            </w:r>
          </w:p>
          <w:p w14:paraId="79EE2D95" w14:textId="77777777" w:rsidR="00B80B9A" w:rsidRPr="0074686F" w:rsidRDefault="00B80B9A" w:rsidP="00B80B9A">
            <w:pPr>
              <w:pStyle w:val="ListParagraph"/>
              <w:numPr>
                <w:ilvl w:val="0"/>
                <w:numId w:val="102"/>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Not treatment-seeking.</w:t>
            </w:r>
          </w:p>
          <w:p w14:paraId="41579AC0" w14:textId="77777777" w:rsidR="00B80B9A" w:rsidRPr="002F020F" w:rsidRDefault="00B80B9A" w:rsidP="00B80B9A">
            <w:pPr>
              <w:pStyle w:val="ListParagraph"/>
              <w:numPr>
                <w:ilvl w:val="0"/>
                <w:numId w:val="94"/>
              </w:numPr>
              <w:spacing w:after="120"/>
              <w:cnfStyle w:val="000000100000" w:firstRow="0" w:lastRow="0" w:firstColumn="0" w:lastColumn="0" w:oddVBand="0" w:evenVBand="0" w:oddHBand="1" w:evenHBand="0" w:firstRowFirstColumn="0" w:firstRowLastColumn="0" w:lastRowFirstColumn="0" w:lastRowLastColumn="0"/>
            </w:pPr>
            <w:r>
              <w:rPr>
                <w:rFonts w:cstheme="minorHAnsi"/>
                <w:color w:val="000000"/>
                <w:szCs w:val="20"/>
              </w:rPr>
              <w:t>Total sample: M = 25 years</w:t>
            </w:r>
            <w:r w:rsidRPr="00803C50">
              <w:rPr>
                <w:rFonts w:cstheme="minorHAnsi"/>
                <w:color w:val="000000"/>
                <w:szCs w:val="20"/>
              </w:rPr>
              <w:t xml:space="preserve"> (</w:t>
            </w:r>
            <w:r>
              <w:rPr>
                <w:rFonts w:cstheme="minorHAnsi"/>
                <w:color w:val="000000"/>
                <w:szCs w:val="20"/>
              </w:rPr>
              <w:t xml:space="preserve">SD = </w:t>
            </w:r>
            <w:r w:rsidRPr="00803C50">
              <w:rPr>
                <w:rFonts w:cstheme="minorHAnsi"/>
                <w:color w:val="000000"/>
                <w:szCs w:val="20"/>
              </w:rPr>
              <w:t>5); 7</w:t>
            </w:r>
            <w:r>
              <w:rPr>
                <w:rFonts w:cstheme="minorHAnsi"/>
                <w:color w:val="000000"/>
                <w:szCs w:val="20"/>
              </w:rPr>
              <w:t>7</w:t>
            </w:r>
            <w:r w:rsidRPr="00803C50">
              <w:rPr>
                <w:rFonts w:cstheme="minorHAnsi"/>
                <w:color w:val="000000"/>
                <w:szCs w:val="20"/>
              </w:rPr>
              <w:t>% male</w:t>
            </w:r>
            <w:r>
              <w:rPr>
                <w:rFonts w:cstheme="minorHAnsi"/>
                <w:color w:val="000000"/>
                <w:szCs w:val="20"/>
              </w:rPr>
              <w:t>.</w:t>
            </w:r>
          </w:p>
        </w:tc>
      </w:tr>
      <w:tr w:rsidR="00B80B9A" w:rsidRPr="002F020F" w14:paraId="3F0C8DF1"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05DAB09A" w14:textId="77777777" w:rsidR="00B80B9A" w:rsidRPr="002F020F" w:rsidRDefault="00B80B9A" w:rsidP="004361E5">
            <w:pPr>
              <w:spacing w:line="259" w:lineRule="auto"/>
              <w:rPr>
                <w:b w:val="0"/>
                <w:bCs w:val="0"/>
              </w:rPr>
            </w:pPr>
            <w:r w:rsidRPr="002F020F">
              <w:t xml:space="preserve">Intervention/s (I) and </w:t>
            </w:r>
          </w:p>
          <w:p w14:paraId="31B5BDDE" w14:textId="77777777" w:rsidR="00B80B9A" w:rsidRPr="002F020F" w:rsidRDefault="00B80B9A" w:rsidP="004361E5">
            <w:pPr>
              <w:spacing w:line="259" w:lineRule="auto"/>
            </w:pPr>
            <w:r w:rsidRPr="002F020F">
              <w:t xml:space="preserve">Comparator/s (C) </w:t>
            </w:r>
          </w:p>
        </w:tc>
        <w:tc>
          <w:tcPr>
            <w:tcW w:w="3884" w:type="pct"/>
          </w:tcPr>
          <w:p w14:paraId="2441B0C9" w14:textId="77777777" w:rsidR="00B80B9A" w:rsidRDefault="00B80B9A" w:rsidP="00B80B9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t>Once the maximum dronabinol dose was determined; all participants received three (3) oral capsules per day for three, sequential (</w:t>
            </w:r>
            <w:r w:rsidRPr="002D2009">
              <w:t>12-day</w:t>
            </w:r>
            <w:r>
              <w:t>)</w:t>
            </w:r>
            <w:r w:rsidRPr="002D2009">
              <w:t xml:space="preserve"> </w:t>
            </w:r>
            <w:r>
              <w:t xml:space="preserve">dronabinol maintenance </w:t>
            </w:r>
            <w:r w:rsidRPr="002D2009">
              <w:t>period</w:t>
            </w:r>
            <w:r>
              <w:t>s (with dose o</w:t>
            </w:r>
            <w:r w:rsidRPr="00DC0316">
              <w:rPr>
                <w:rFonts w:cstheme="minorHAnsi"/>
                <w:color w:val="000000"/>
                <w:szCs w:val="20"/>
              </w:rPr>
              <w:t>rder counterbalanced across participants</w:t>
            </w:r>
            <w:r>
              <w:rPr>
                <w:rFonts w:cstheme="minorHAnsi"/>
                <w:color w:val="000000"/>
                <w:szCs w:val="20"/>
              </w:rPr>
              <w:t>).</w:t>
            </w:r>
          </w:p>
          <w:p w14:paraId="0727DF46" w14:textId="77777777" w:rsidR="00B80B9A" w:rsidRPr="00527A2B" w:rsidRDefault="00B80B9A" w:rsidP="00B80B9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527A2B">
              <w:rPr>
                <w:rFonts w:cstheme="minorHAnsi"/>
                <w:color w:val="000000"/>
                <w:szCs w:val="20"/>
              </w:rPr>
              <w:t xml:space="preserve">I (n = 13): low-dose dronabinol (120 mg/day: 40 mg three times </w:t>
            </w:r>
            <w:r>
              <w:rPr>
                <w:rFonts w:cstheme="minorHAnsi"/>
                <w:color w:val="000000"/>
                <w:szCs w:val="20"/>
              </w:rPr>
              <w:t>per day</w:t>
            </w:r>
            <w:r w:rsidRPr="00527A2B">
              <w:rPr>
                <w:rFonts w:cstheme="minorHAnsi"/>
                <w:color w:val="000000"/>
                <w:szCs w:val="20"/>
              </w:rPr>
              <w:t>)</w:t>
            </w:r>
            <w:r>
              <w:rPr>
                <w:rFonts w:cstheme="minorHAnsi"/>
                <w:color w:val="000000"/>
                <w:szCs w:val="20"/>
              </w:rPr>
              <w:t>.</w:t>
            </w:r>
          </w:p>
          <w:p w14:paraId="1FAD2226" w14:textId="77777777" w:rsidR="00B80B9A" w:rsidRPr="00527A2B" w:rsidRDefault="00B80B9A" w:rsidP="00B80B9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527A2B">
              <w:rPr>
                <w:rFonts w:cstheme="minorHAnsi"/>
                <w:color w:val="000000"/>
                <w:szCs w:val="20"/>
              </w:rPr>
              <w:t>I (n = 13): high-dose dronabinol (180</w:t>
            </w:r>
            <w:r>
              <w:rPr>
                <w:rFonts w:cstheme="minorHAnsi"/>
                <w:color w:val="000000"/>
                <w:szCs w:val="20"/>
              </w:rPr>
              <w:t xml:space="preserve"> to </w:t>
            </w:r>
            <w:r w:rsidRPr="00527A2B">
              <w:rPr>
                <w:rFonts w:cstheme="minorHAnsi"/>
                <w:color w:val="000000"/>
                <w:szCs w:val="20"/>
              </w:rPr>
              <w:t>240 mg/day: 60</w:t>
            </w:r>
            <w:r>
              <w:rPr>
                <w:rFonts w:cstheme="minorHAnsi"/>
                <w:color w:val="000000"/>
                <w:szCs w:val="20"/>
              </w:rPr>
              <w:t xml:space="preserve"> to </w:t>
            </w:r>
            <w:r w:rsidRPr="00527A2B">
              <w:rPr>
                <w:rFonts w:cstheme="minorHAnsi"/>
                <w:color w:val="000000"/>
                <w:szCs w:val="20"/>
              </w:rPr>
              <w:t xml:space="preserve">80 mg three times </w:t>
            </w:r>
            <w:r>
              <w:rPr>
                <w:rFonts w:cstheme="minorHAnsi"/>
                <w:color w:val="000000"/>
                <w:szCs w:val="20"/>
              </w:rPr>
              <w:t>per day)</w:t>
            </w:r>
            <w:r w:rsidRPr="00527A2B">
              <w:rPr>
                <w:rFonts w:cstheme="minorHAnsi"/>
                <w:color w:val="000000"/>
                <w:szCs w:val="20"/>
              </w:rPr>
              <w:t>.</w:t>
            </w:r>
          </w:p>
          <w:p w14:paraId="5003DB9A" w14:textId="77777777" w:rsidR="00B80B9A" w:rsidRPr="00527A2B" w:rsidRDefault="00B80B9A" w:rsidP="00B80B9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527A2B">
              <w:rPr>
                <w:rFonts w:cstheme="minorHAnsi"/>
                <w:color w:val="000000"/>
                <w:szCs w:val="20"/>
              </w:rPr>
              <w:t>C (n = 13): placebo</w:t>
            </w:r>
            <w:r>
              <w:rPr>
                <w:rFonts w:cstheme="minorHAnsi"/>
                <w:color w:val="000000"/>
                <w:szCs w:val="20"/>
              </w:rPr>
              <w:t xml:space="preserve"> dronabinol (three times per day).</w:t>
            </w:r>
            <w:r w:rsidRPr="00527A2B">
              <w:rPr>
                <w:rFonts w:cstheme="minorHAnsi"/>
                <w:color w:val="000000"/>
                <w:szCs w:val="20"/>
              </w:rPr>
              <w:t xml:space="preserve"> </w:t>
            </w:r>
          </w:p>
        </w:tc>
      </w:tr>
      <w:tr w:rsidR="00B80B9A" w:rsidRPr="002F020F" w14:paraId="2DB4350F"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5FAE3F13" w14:textId="77777777" w:rsidR="00B80B9A" w:rsidRPr="002F020F" w:rsidRDefault="00B80B9A" w:rsidP="004361E5">
            <w:pPr>
              <w:spacing w:line="259" w:lineRule="auto"/>
            </w:pPr>
            <w:r w:rsidRPr="002F020F">
              <w:t>Outcome Measure/s</w:t>
            </w:r>
          </w:p>
        </w:tc>
        <w:tc>
          <w:tcPr>
            <w:tcW w:w="3884" w:type="pct"/>
          </w:tcPr>
          <w:p w14:paraId="3AB6A4A7" w14:textId="77777777" w:rsidR="00B80B9A" w:rsidRPr="00C22526" w:rsidRDefault="00B80B9A" w:rsidP="00B80B9A">
            <w:pPr>
              <w:pStyle w:val="ListParagraph"/>
              <w:numPr>
                <w:ilvl w:val="0"/>
                <w:numId w:val="115"/>
              </w:numPr>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C22526">
              <w:rPr>
                <w:rFonts w:cstheme="minorHAnsi"/>
                <w:bCs/>
                <w:color w:val="000000"/>
                <w:szCs w:val="20"/>
              </w:rPr>
              <w:t>Primary:</w:t>
            </w:r>
          </w:p>
          <w:p w14:paraId="0BD771F7" w14:textId="77777777" w:rsidR="00B80B9A" w:rsidRDefault="00B80B9A" w:rsidP="00B80B9A">
            <w:pPr>
              <w:pStyle w:val="ListParagraph"/>
              <w:numPr>
                <w:ilvl w:val="1"/>
                <w:numId w:val="60"/>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0D71D5">
              <w:rPr>
                <w:rFonts w:cstheme="minorHAnsi"/>
                <w:color w:val="000000"/>
                <w:szCs w:val="20"/>
              </w:rPr>
              <w:t xml:space="preserve">Number of self-administered cannabis cigarettes (active vs. placebo) under two access conditions: </w:t>
            </w:r>
          </w:p>
          <w:p w14:paraId="633BB54B" w14:textId="77777777" w:rsidR="00B80B9A" w:rsidRDefault="00B80B9A" w:rsidP="00B80B9A">
            <w:pPr>
              <w:pStyle w:val="ListParagraph"/>
              <w:numPr>
                <w:ilvl w:val="0"/>
                <w:numId w:val="60"/>
              </w:numPr>
              <w:spacing w:after="120"/>
              <w:ind w:left="1077"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0D71D5">
              <w:rPr>
                <w:rFonts w:cstheme="minorHAnsi"/>
                <w:color w:val="000000"/>
                <w:szCs w:val="20"/>
              </w:rPr>
              <w:t xml:space="preserve">progressive-ratio; and </w:t>
            </w:r>
          </w:p>
          <w:p w14:paraId="04A6F0AA" w14:textId="77777777" w:rsidR="00B80B9A" w:rsidRPr="000D71D5" w:rsidRDefault="00B80B9A" w:rsidP="00B80B9A">
            <w:pPr>
              <w:pStyle w:val="ListParagraph"/>
              <w:numPr>
                <w:ilvl w:val="0"/>
                <w:numId w:val="60"/>
              </w:numPr>
              <w:spacing w:after="120"/>
              <w:ind w:left="1077"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0D71D5">
              <w:rPr>
                <w:rFonts w:cstheme="minorHAnsi"/>
                <w:color w:val="000000"/>
                <w:szCs w:val="20"/>
              </w:rPr>
              <w:t>forced-choice (cannabis vs. money).</w:t>
            </w:r>
          </w:p>
          <w:p w14:paraId="136B6B40" w14:textId="77777777" w:rsidR="00B80B9A" w:rsidRPr="00327E9C" w:rsidRDefault="00B80B9A" w:rsidP="00B80B9A">
            <w:pPr>
              <w:pStyle w:val="ListParagraph"/>
              <w:numPr>
                <w:ilvl w:val="0"/>
                <w:numId w:val="89"/>
              </w:numPr>
              <w:spacing w:after="120"/>
              <w:cnfStyle w:val="000000100000" w:firstRow="0" w:lastRow="0" w:firstColumn="0" w:lastColumn="0" w:oddVBand="0" w:evenVBand="0" w:oddHBand="1" w:evenHBand="0" w:firstRowFirstColumn="0" w:firstRowLastColumn="0" w:lastRowFirstColumn="0" w:lastRowLastColumn="0"/>
            </w:pPr>
            <w:r>
              <w:rPr>
                <w:rFonts w:cstheme="minorHAnsi"/>
                <w:color w:val="000000"/>
                <w:szCs w:val="20"/>
              </w:rPr>
              <w:t>Secondary (past 24 hours)</w:t>
            </w:r>
          </w:p>
          <w:p w14:paraId="1AFE204A" w14:textId="77777777" w:rsidR="00B80B9A" w:rsidRPr="00CD11C9" w:rsidRDefault="00B80B9A" w:rsidP="00B80B9A">
            <w:pPr>
              <w:pStyle w:val="ListParagraph"/>
              <w:numPr>
                <w:ilvl w:val="1"/>
                <w:numId w:val="89"/>
              </w:numPr>
              <w:spacing w:after="120"/>
              <w:ind w:left="714" w:hanging="357"/>
              <w:cnfStyle w:val="000000100000" w:firstRow="0" w:lastRow="0" w:firstColumn="0" w:lastColumn="0" w:oddVBand="0" w:evenVBand="0" w:oddHBand="1" w:evenHBand="0" w:firstRowFirstColumn="0" w:firstRowLastColumn="0" w:lastRowFirstColumn="0" w:lastRowLastColumn="0"/>
            </w:pPr>
            <w:r w:rsidRPr="00CD11C9">
              <w:rPr>
                <w:rFonts w:cstheme="minorHAnsi"/>
                <w:color w:val="000000"/>
                <w:szCs w:val="20"/>
              </w:rPr>
              <w:t>Marijuana Withdrawal Checklist</w:t>
            </w:r>
            <w:r>
              <w:rPr>
                <w:rFonts w:cstheme="minorHAnsi"/>
                <w:color w:val="000000"/>
                <w:szCs w:val="20"/>
              </w:rPr>
              <w:t xml:space="preserve">: </w:t>
            </w:r>
            <w:r w:rsidRPr="00CD11C9">
              <w:rPr>
                <w:rFonts w:cstheme="minorHAnsi"/>
                <w:color w:val="000000"/>
                <w:szCs w:val="20"/>
              </w:rPr>
              <w:t xml:space="preserve">cannabis withdrawal symptoms. </w:t>
            </w:r>
          </w:p>
          <w:p w14:paraId="2229668A" w14:textId="133FBA16" w:rsidR="00B80B9A" w:rsidRPr="00450224" w:rsidRDefault="00B80B9A" w:rsidP="00B80B9A">
            <w:pPr>
              <w:pStyle w:val="ListParagraph"/>
              <w:numPr>
                <w:ilvl w:val="1"/>
                <w:numId w:val="89"/>
              </w:numPr>
              <w:spacing w:after="120"/>
              <w:ind w:left="714" w:hanging="357"/>
              <w:cnfStyle w:val="000000100000" w:firstRow="0" w:lastRow="0" w:firstColumn="0" w:lastColumn="0" w:oddVBand="0" w:evenVBand="0" w:oddHBand="1" w:evenHBand="0" w:firstRowFirstColumn="0" w:firstRowLastColumn="0" w:lastRowFirstColumn="0" w:lastRowLastColumn="0"/>
            </w:pPr>
            <w:r>
              <w:rPr>
                <w:rFonts w:cstheme="minorHAnsi"/>
                <w:color w:val="000000"/>
                <w:szCs w:val="20"/>
              </w:rPr>
              <w:t>S</w:t>
            </w:r>
            <w:r w:rsidRPr="00CD11C9">
              <w:rPr>
                <w:rFonts w:cstheme="minorHAnsi"/>
                <w:color w:val="000000"/>
                <w:szCs w:val="20"/>
              </w:rPr>
              <w:t>leep diary</w:t>
            </w:r>
            <w:r>
              <w:rPr>
                <w:rFonts w:cstheme="minorHAnsi"/>
                <w:color w:val="000000"/>
                <w:szCs w:val="20"/>
              </w:rPr>
              <w:t xml:space="preserve">: </w:t>
            </w:r>
            <w:r w:rsidRPr="00CD11C9">
              <w:rPr>
                <w:rFonts w:cstheme="minorHAnsi"/>
                <w:color w:val="000000"/>
                <w:szCs w:val="20"/>
              </w:rPr>
              <w:t>self-reported latency to sleep onset, total sleep, number of nocturnal awakenings, time awake after sleep onset, and 100 mm visual analog</w:t>
            </w:r>
            <w:r w:rsidR="00CB6B24">
              <w:rPr>
                <w:rFonts w:cstheme="minorHAnsi"/>
                <w:color w:val="000000"/>
                <w:szCs w:val="20"/>
              </w:rPr>
              <w:t>ue</w:t>
            </w:r>
            <w:r w:rsidRPr="00CD11C9">
              <w:rPr>
                <w:rFonts w:cstheme="minorHAnsi"/>
                <w:color w:val="000000"/>
                <w:szCs w:val="20"/>
              </w:rPr>
              <w:t xml:space="preserve"> scale (VAS) ratings of sleep quality, mood on awakening, and alertness on awakening. </w:t>
            </w:r>
          </w:p>
          <w:p w14:paraId="294F83B1" w14:textId="77777777" w:rsidR="00B80B9A" w:rsidRPr="00450224" w:rsidRDefault="00B80B9A" w:rsidP="00B80B9A">
            <w:pPr>
              <w:pStyle w:val="ListParagraph"/>
              <w:numPr>
                <w:ilvl w:val="1"/>
                <w:numId w:val="89"/>
              </w:numPr>
              <w:spacing w:after="120"/>
              <w:ind w:left="714" w:hanging="357"/>
              <w:cnfStyle w:val="000000100000" w:firstRow="0" w:lastRow="0" w:firstColumn="0" w:lastColumn="0" w:oddVBand="0" w:evenVBand="0" w:oddHBand="1" w:evenHBand="0" w:firstRowFirstColumn="0" w:firstRowLastColumn="0" w:lastRowFirstColumn="0" w:lastRowLastColumn="0"/>
            </w:pPr>
            <w:r>
              <w:rPr>
                <w:rFonts w:cstheme="minorHAnsi"/>
                <w:color w:val="000000"/>
                <w:szCs w:val="20"/>
              </w:rPr>
              <w:t>S</w:t>
            </w:r>
            <w:r w:rsidRPr="00CD11C9">
              <w:rPr>
                <w:rFonts w:cstheme="minorHAnsi"/>
                <w:color w:val="000000"/>
                <w:szCs w:val="20"/>
              </w:rPr>
              <w:t xml:space="preserve">elf-reported adverse event form </w:t>
            </w:r>
            <w:r>
              <w:rPr>
                <w:rFonts w:cstheme="minorHAnsi"/>
                <w:color w:val="000000"/>
                <w:szCs w:val="20"/>
              </w:rPr>
              <w:t>(</w:t>
            </w:r>
            <w:r w:rsidRPr="00CD11C9">
              <w:rPr>
                <w:rFonts w:cstheme="minorHAnsi"/>
                <w:color w:val="000000"/>
                <w:szCs w:val="20"/>
              </w:rPr>
              <w:t>4-point Likert scale</w:t>
            </w:r>
            <w:r>
              <w:rPr>
                <w:rFonts w:cstheme="minorHAnsi"/>
                <w:color w:val="000000"/>
                <w:szCs w:val="20"/>
              </w:rPr>
              <w:t xml:space="preserve">: </w:t>
            </w:r>
            <w:r w:rsidRPr="00CD11C9">
              <w:rPr>
                <w:rFonts w:cstheme="minorHAnsi"/>
                <w:color w:val="000000"/>
                <w:szCs w:val="20"/>
              </w:rPr>
              <w:t>none, mild, moderate, severe)</w:t>
            </w:r>
            <w:r>
              <w:rPr>
                <w:rFonts w:cstheme="minorHAnsi"/>
                <w:color w:val="000000"/>
                <w:szCs w:val="20"/>
              </w:rPr>
              <w:t xml:space="preserve">: </w:t>
            </w:r>
            <w:r w:rsidRPr="00CD11C9">
              <w:rPr>
                <w:rFonts w:cstheme="minorHAnsi"/>
                <w:color w:val="000000"/>
                <w:szCs w:val="20"/>
              </w:rPr>
              <w:t xml:space="preserve">medication side effects for dronabinol. </w:t>
            </w:r>
          </w:p>
          <w:p w14:paraId="6A7BE2AF" w14:textId="77777777" w:rsidR="00B80B9A" w:rsidRPr="002F020F" w:rsidRDefault="00B80B9A" w:rsidP="00B80B9A">
            <w:pPr>
              <w:pStyle w:val="ListParagraph"/>
              <w:numPr>
                <w:ilvl w:val="1"/>
                <w:numId w:val="89"/>
              </w:numPr>
              <w:spacing w:after="120"/>
              <w:ind w:left="714" w:hanging="357"/>
              <w:cnfStyle w:val="000000100000" w:firstRow="0" w:lastRow="0" w:firstColumn="0" w:lastColumn="0" w:oddVBand="0" w:evenVBand="0" w:oddHBand="1" w:evenHBand="0" w:firstRowFirstColumn="0" w:firstRowLastColumn="0" w:lastRowFirstColumn="0" w:lastRowLastColumn="0"/>
            </w:pPr>
            <w:r>
              <w:rPr>
                <w:rFonts w:cstheme="minorHAnsi"/>
                <w:color w:val="000000"/>
                <w:szCs w:val="20"/>
              </w:rPr>
              <w:t>Vital signs (as measured by an automated monitor): three times per day (</w:t>
            </w:r>
            <w:r w:rsidRPr="00CD11C9">
              <w:rPr>
                <w:rFonts w:cstheme="minorHAnsi"/>
                <w:color w:val="000000"/>
                <w:szCs w:val="20"/>
              </w:rPr>
              <w:t>09:00, 14:00, and 19:00</w:t>
            </w:r>
            <w:r>
              <w:rPr>
                <w:rFonts w:cstheme="minorHAnsi"/>
                <w:color w:val="000000"/>
                <w:szCs w:val="20"/>
              </w:rPr>
              <w:t>)</w:t>
            </w:r>
            <w:r w:rsidRPr="00CD11C9">
              <w:rPr>
                <w:rFonts w:cstheme="minorHAnsi"/>
                <w:color w:val="000000"/>
                <w:szCs w:val="20"/>
              </w:rPr>
              <w:t>.</w:t>
            </w:r>
          </w:p>
        </w:tc>
      </w:tr>
      <w:tr w:rsidR="00B80B9A" w:rsidRPr="002F020F" w14:paraId="650BB7BE"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75643FFC" w14:textId="77777777" w:rsidR="00B80B9A" w:rsidRPr="002F020F" w:rsidRDefault="00B80B9A" w:rsidP="004361E5">
            <w:r w:rsidRPr="002F020F">
              <w:t>General</w:t>
            </w:r>
          </w:p>
        </w:tc>
        <w:tc>
          <w:tcPr>
            <w:tcW w:w="3884" w:type="pct"/>
          </w:tcPr>
          <w:p w14:paraId="21F7A7F3" w14:textId="77777777" w:rsidR="00B80B9A"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CB1CE2">
              <w:rPr>
                <w:rFonts w:ascii="Calibri" w:hAnsi="Calibri" w:cs="Calibri"/>
                <w:color w:val="000000"/>
                <w:szCs w:val="20"/>
              </w:rPr>
              <w:t>Participants were not treatment-seeking or otherwise motivated to abstain from cannabis</w:t>
            </w:r>
            <w:r>
              <w:rPr>
                <w:rFonts w:ascii="Calibri" w:hAnsi="Calibri" w:cs="Calibri"/>
                <w:color w:val="000000"/>
                <w:szCs w:val="20"/>
              </w:rPr>
              <w:t xml:space="preserve"> use</w:t>
            </w:r>
            <w:r w:rsidRPr="00CB1CE2">
              <w:rPr>
                <w:rFonts w:ascii="Calibri" w:hAnsi="Calibri" w:cs="Calibri"/>
                <w:color w:val="000000"/>
                <w:szCs w:val="20"/>
              </w:rPr>
              <w:t xml:space="preserve"> </w:t>
            </w:r>
            <w:r>
              <w:rPr>
                <w:rFonts w:ascii="Calibri" w:hAnsi="Calibri" w:cs="Calibri"/>
                <w:color w:val="000000"/>
                <w:szCs w:val="20"/>
              </w:rPr>
              <w:t>(except for</w:t>
            </w:r>
            <w:r w:rsidRPr="00CB1CE2">
              <w:rPr>
                <w:rFonts w:ascii="Calibri" w:hAnsi="Calibri" w:cs="Calibri"/>
                <w:color w:val="000000"/>
                <w:szCs w:val="20"/>
              </w:rPr>
              <w:t xml:space="preserve"> the</w:t>
            </w:r>
            <w:r>
              <w:rPr>
                <w:rFonts w:ascii="Calibri" w:hAnsi="Calibri" w:cs="Calibri"/>
                <w:color w:val="000000"/>
                <w:szCs w:val="20"/>
              </w:rPr>
              <w:t xml:space="preserve"> </w:t>
            </w:r>
            <w:r w:rsidRPr="00CB1CE2">
              <w:rPr>
                <w:rFonts w:ascii="Calibri" w:hAnsi="Calibri" w:cs="Calibri"/>
                <w:color w:val="000000"/>
                <w:szCs w:val="20"/>
              </w:rPr>
              <w:t>behavio</w:t>
            </w:r>
            <w:r>
              <w:rPr>
                <w:rFonts w:ascii="Calibri" w:hAnsi="Calibri" w:cs="Calibri"/>
                <w:color w:val="000000"/>
                <w:szCs w:val="20"/>
              </w:rPr>
              <w:t>u</w:t>
            </w:r>
            <w:r w:rsidRPr="00CB1CE2">
              <w:rPr>
                <w:rFonts w:ascii="Calibri" w:hAnsi="Calibri" w:cs="Calibri"/>
                <w:color w:val="000000"/>
                <w:szCs w:val="20"/>
              </w:rPr>
              <w:t xml:space="preserve">ral or monetary costs incurred as part of the </w:t>
            </w:r>
            <w:r>
              <w:rPr>
                <w:rFonts w:ascii="Calibri" w:hAnsi="Calibri" w:cs="Calibri"/>
                <w:color w:val="000000"/>
                <w:szCs w:val="20"/>
              </w:rPr>
              <w:t>study).</w:t>
            </w:r>
          </w:p>
          <w:p w14:paraId="34F2E36E" w14:textId="77777777" w:rsidR="00B80B9A" w:rsidRPr="00EF0D06"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D2009">
              <w:rPr>
                <w:rFonts w:cstheme="minorHAnsi"/>
                <w:color w:val="000000"/>
                <w:szCs w:val="20"/>
              </w:rPr>
              <w:t xml:space="preserve">During each </w:t>
            </w:r>
            <w:r>
              <w:rPr>
                <w:rFonts w:cstheme="minorHAnsi"/>
                <w:color w:val="000000"/>
                <w:szCs w:val="20"/>
              </w:rPr>
              <w:t>of the three (</w:t>
            </w:r>
            <w:r w:rsidRPr="002D2009">
              <w:rPr>
                <w:rFonts w:cstheme="minorHAnsi"/>
                <w:color w:val="000000"/>
                <w:szCs w:val="20"/>
              </w:rPr>
              <w:t>12-day</w:t>
            </w:r>
            <w:r>
              <w:rPr>
                <w:rFonts w:cstheme="minorHAnsi"/>
                <w:color w:val="000000"/>
                <w:szCs w:val="20"/>
              </w:rPr>
              <w:t>) study</w:t>
            </w:r>
            <w:r w:rsidRPr="002D2009">
              <w:rPr>
                <w:rFonts w:cstheme="minorHAnsi"/>
                <w:color w:val="000000"/>
                <w:szCs w:val="20"/>
              </w:rPr>
              <w:t xml:space="preserve"> </w:t>
            </w:r>
            <w:r>
              <w:rPr>
                <w:rFonts w:cstheme="minorHAnsi"/>
                <w:color w:val="000000"/>
                <w:szCs w:val="20"/>
              </w:rPr>
              <w:t>conditions</w:t>
            </w:r>
            <w:r w:rsidRPr="002D2009">
              <w:rPr>
                <w:rFonts w:cstheme="minorHAnsi"/>
                <w:color w:val="000000"/>
                <w:szCs w:val="20"/>
              </w:rPr>
              <w:t xml:space="preserve">, participants could self-administer cannabis under four </w:t>
            </w:r>
            <w:r>
              <w:rPr>
                <w:rFonts w:cstheme="minorHAnsi"/>
                <w:color w:val="000000"/>
                <w:szCs w:val="20"/>
              </w:rPr>
              <w:t>access</w:t>
            </w:r>
            <w:r w:rsidRPr="002D2009">
              <w:rPr>
                <w:rFonts w:cstheme="minorHAnsi"/>
                <w:color w:val="000000"/>
                <w:szCs w:val="20"/>
              </w:rPr>
              <w:t xml:space="preserve"> conditions: (i) progressive</w:t>
            </w:r>
            <w:r>
              <w:rPr>
                <w:rFonts w:cstheme="minorHAnsi"/>
                <w:color w:val="000000"/>
                <w:szCs w:val="20"/>
              </w:rPr>
              <w:t>-</w:t>
            </w:r>
            <w:r w:rsidRPr="002D2009">
              <w:rPr>
                <w:rFonts w:cstheme="minorHAnsi"/>
                <w:color w:val="000000"/>
                <w:szCs w:val="20"/>
              </w:rPr>
              <w:t>ratio access to smoked</w:t>
            </w:r>
            <w:r>
              <w:rPr>
                <w:rFonts w:cstheme="minorHAnsi"/>
                <w:color w:val="000000"/>
                <w:szCs w:val="20"/>
              </w:rPr>
              <w:t>, active (</w:t>
            </w:r>
            <w:r w:rsidRPr="002D2009">
              <w:rPr>
                <w:rFonts w:cstheme="minorHAnsi"/>
                <w:color w:val="000000"/>
                <w:szCs w:val="20"/>
              </w:rPr>
              <w:t>5.7% THC</w:t>
            </w:r>
            <w:r>
              <w:rPr>
                <w:rFonts w:cstheme="minorHAnsi"/>
                <w:color w:val="000000"/>
                <w:szCs w:val="20"/>
              </w:rPr>
              <w:t>)</w:t>
            </w:r>
            <w:r w:rsidRPr="002D2009">
              <w:rPr>
                <w:rFonts w:cstheme="minorHAnsi"/>
                <w:color w:val="000000"/>
                <w:szCs w:val="20"/>
              </w:rPr>
              <w:t xml:space="preserve"> cannabis (3 days); (ii) progressive</w:t>
            </w:r>
            <w:r>
              <w:rPr>
                <w:rFonts w:cstheme="minorHAnsi"/>
                <w:color w:val="000000"/>
                <w:szCs w:val="20"/>
              </w:rPr>
              <w:t>-</w:t>
            </w:r>
            <w:r w:rsidRPr="002D2009">
              <w:rPr>
                <w:rFonts w:cstheme="minorHAnsi"/>
                <w:color w:val="000000"/>
                <w:szCs w:val="20"/>
              </w:rPr>
              <w:t xml:space="preserve">ratio access to </w:t>
            </w:r>
            <w:r w:rsidRPr="002D2009">
              <w:rPr>
                <w:rFonts w:cstheme="minorHAnsi"/>
                <w:color w:val="000000"/>
                <w:szCs w:val="20"/>
              </w:rPr>
              <w:lastRenderedPageBreak/>
              <w:t>smoked</w:t>
            </w:r>
            <w:r>
              <w:rPr>
                <w:rFonts w:cstheme="minorHAnsi"/>
                <w:color w:val="000000"/>
                <w:szCs w:val="20"/>
              </w:rPr>
              <w:t>,</w:t>
            </w:r>
            <w:r w:rsidRPr="002D2009">
              <w:rPr>
                <w:rFonts w:cstheme="minorHAnsi"/>
                <w:color w:val="000000"/>
                <w:szCs w:val="20"/>
              </w:rPr>
              <w:t xml:space="preserve"> placebo</w:t>
            </w:r>
            <w:r>
              <w:rPr>
                <w:rFonts w:cstheme="minorHAnsi"/>
                <w:color w:val="000000"/>
                <w:szCs w:val="20"/>
              </w:rPr>
              <w:t xml:space="preserve"> (</w:t>
            </w:r>
            <w:r w:rsidRPr="002D2009">
              <w:rPr>
                <w:rFonts w:cstheme="minorHAnsi"/>
                <w:color w:val="000000"/>
                <w:szCs w:val="20"/>
              </w:rPr>
              <w:t>&lt; 1% THC) cannabis (3 days); (iii) forced-choice between smoked</w:t>
            </w:r>
            <w:r>
              <w:rPr>
                <w:rFonts w:cstheme="minorHAnsi"/>
                <w:color w:val="000000"/>
                <w:szCs w:val="20"/>
              </w:rPr>
              <w:t>, active (</w:t>
            </w:r>
            <w:r w:rsidRPr="002D2009">
              <w:rPr>
                <w:rFonts w:cstheme="minorHAnsi"/>
                <w:color w:val="000000"/>
                <w:szCs w:val="20"/>
              </w:rPr>
              <w:t>5.7% THC</w:t>
            </w:r>
            <w:r>
              <w:rPr>
                <w:rFonts w:cstheme="minorHAnsi"/>
                <w:color w:val="000000"/>
                <w:szCs w:val="20"/>
              </w:rPr>
              <w:t>)</w:t>
            </w:r>
            <w:r w:rsidRPr="002D2009">
              <w:rPr>
                <w:rFonts w:cstheme="minorHAnsi"/>
                <w:color w:val="000000"/>
                <w:szCs w:val="20"/>
              </w:rPr>
              <w:t xml:space="preserve"> cannabis or receiving money (3 days); and (iv) forced-choice between smoked</w:t>
            </w:r>
            <w:r>
              <w:rPr>
                <w:rFonts w:cstheme="minorHAnsi"/>
                <w:color w:val="000000"/>
                <w:szCs w:val="20"/>
              </w:rPr>
              <w:t>, placebo (</w:t>
            </w:r>
            <w:r w:rsidRPr="002D2009">
              <w:rPr>
                <w:rFonts w:cstheme="minorHAnsi"/>
                <w:color w:val="000000"/>
                <w:szCs w:val="20"/>
              </w:rPr>
              <w:t>&lt; 1% THC) cannabis or receiving money (3 days).</w:t>
            </w:r>
          </w:p>
        </w:tc>
      </w:tr>
      <w:tr w:rsidR="00B80B9A" w:rsidRPr="002F020F" w14:paraId="37904C29"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0D94EA7D" w14:textId="77777777" w:rsidR="00B80B9A" w:rsidRPr="002F020F" w:rsidRDefault="00B80B9A" w:rsidP="004361E5">
            <w:r w:rsidRPr="002F020F">
              <w:lastRenderedPageBreak/>
              <w:t>Inclusion Criteria</w:t>
            </w:r>
          </w:p>
        </w:tc>
        <w:tc>
          <w:tcPr>
            <w:tcW w:w="3884" w:type="pct"/>
          </w:tcPr>
          <w:p w14:paraId="24F4778E" w14:textId="77777777" w:rsidR="00B80B9A" w:rsidRDefault="00B80B9A" w:rsidP="00B80B9A">
            <w:pPr>
              <w:pStyle w:val="ListParagraph"/>
              <w:numPr>
                <w:ilvl w:val="0"/>
                <w:numId w:val="90"/>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18 years of age and older.</w:t>
            </w:r>
          </w:p>
          <w:p w14:paraId="519B5AA0" w14:textId="77777777" w:rsidR="00B80B9A" w:rsidRPr="00AC7408" w:rsidRDefault="00B80B9A" w:rsidP="00B80B9A">
            <w:pPr>
              <w:pStyle w:val="ListParagraph"/>
              <w:numPr>
                <w:ilvl w:val="0"/>
                <w:numId w:val="90"/>
              </w:numPr>
              <w:spacing w:after="120"/>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t>C</w:t>
            </w:r>
            <w:r w:rsidRPr="002D2009">
              <w:t xml:space="preserve">annabis use </w:t>
            </w:r>
            <w:r>
              <w:t xml:space="preserve">for </w:t>
            </w:r>
            <w:r w:rsidRPr="002D2009">
              <w:t>a minimum of 25 days per month in the past year</w:t>
            </w:r>
            <w:r>
              <w:t xml:space="preserve"> (self-report)</w:t>
            </w:r>
            <w:r>
              <w:rPr>
                <w:rFonts w:cstheme="minorHAnsi"/>
                <w:color w:val="000000"/>
                <w:szCs w:val="20"/>
              </w:rPr>
              <w:t>.</w:t>
            </w:r>
          </w:p>
          <w:p w14:paraId="4FF0965F" w14:textId="77777777" w:rsidR="00B80B9A" w:rsidRPr="00AC7408" w:rsidRDefault="00B80B9A" w:rsidP="00B80B9A">
            <w:pPr>
              <w:pStyle w:val="ListParagraph"/>
              <w:numPr>
                <w:ilvl w:val="0"/>
                <w:numId w:val="90"/>
              </w:numPr>
              <w:spacing w:after="120"/>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Pr>
                <w:rFonts w:cstheme="minorHAnsi"/>
                <w:color w:val="000000"/>
                <w:szCs w:val="20"/>
              </w:rPr>
              <w:t>U</w:t>
            </w:r>
            <w:r w:rsidRPr="00AC7408">
              <w:rPr>
                <w:rFonts w:cstheme="minorHAnsi"/>
                <w:color w:val="000000"/>
                <w:szCs w:val="20"/>
              </w:rPr>
              <w:t>rine specimen &gt; 50 ng/mL THCCOOH</w:t>
            </w:r>
            <w:r w:rsidRPr="00022220">
              <w:rPr>
                <w:rFonts w:cstheme="minorHAnsi"/>
                <w:color w:val="000000"/>
                <w:szCs w:val="20"/>
              </w:rPr>
              <w:t>.</w:t>
            </w:r>
          </w:p>
          <w:p w14:paraId="5BC5AA14" w14:textId="77777777" w:rsidR="00B80B9A" w:rsidRPr="00AC7408" w:rsidRDefault="00B80B9A" w:rsidP="00B80B9A">
            <w:pPr>
              <w:pStyle w:val="ListParagraph"/>
              <w:numPr>
                <w:ilvl w:val="0"/>
                <w:numId w:val="90"/>
              </w:numPr>
              <w:spacing w:after="120"/>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Pr>
                <w:rFonts w:cstheme="minorHAnsi"/>
                <w:color w:val="000000"/>
                <w:szCs w:val="20"/>
              </w:rPr>
              <w:t>N</w:t>
            </w:r>
            <w:r w:rsidRPr="00AC7408">
              <w:rPr>
                <w:rFonts w:cstheme="minorHAnsi"/>
                <w:color w:val="000000"/>
                <w:szCs w:val="20"/>
              </w:rPr>
              <w:t>ot currently taking psychoactive medication</w:t>
            </w:r>
            <w:r>
              <w:rPr>
                <w:rFonts w:cstheme="minorHAnsi"/>
                <w:color w:val="000000"/>
                <w:szCs w:val="20"/>
              </w:rPr>
              <w:t>.</w:t>
            </w:r>
          </w:p>
          <w:p w14:paraId="491AACDD" w14:textId="77777777" w:rsidR="00B80B9A" w:rsidRPr="00AC7408" w:rsidRDefault="00B80B9A" w:rsidP="00B80B9A">
            <w:pPr>
              <w:pStyle w:val="ListParagraph"/>
              <w:numPr>
                <w:ilvl w:val="0"/>
                <w:numId w:val="90"/>
              </w:numPr>
              <w:spacing w:after="120"/>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Pr>
                <w:rFonts w:cstheme="minorHAnsi"/>
                <w:color w:val="000000"/>
                <w:szCs w:val="20"/>
              </w:rPr>
              <w:t>D</w:t>
            </w:r>
            <w:r w:rsidRPr="00AC7408">
              <w:rPr>
                <w:rFonts w:cstheme="minorHAnsi"/>
                <w:color w:val="000000"/>
                <w:szCs w:val="20"/>
              </w:rPr>
              <w:t>oes not meet DSM-IV-TR criteria for an Axis I psychiatric disorder other than nicotine or cannabis dependence</w:t>
            </w:r>
            <w:r>
              <w:rPr>
                <w:rFonts w:cstheme="minorHAnsi"/>
                <w:color w:val="000000"/>
                <w:szCs w:val="20"/>
              </w:rPr>
              <w:t>.</w:t>
            </w:r>
          </w:p>
          <w:p w14:paraId="1F666DD5" w14:textId="77777777" w:rsidR="00B80B9A" w:rsidRPr="001D1FF9" w:rsidRDefault="00B80B9A" w:rsidP="00B80B9A">
            <w:pPr>
              <w:pStyle w:val="ListParagraph"/>
              <w:numPr>
                <w:ilvl w:val="0"/>
                <w:numId w:val="90"/>
              </w:numPr>
              <w:spacing w:after="120"/>
              <w:contextualSpacing w:val="0"/>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Pr>
                <w:rFonts w:cstheme="minorHAnsi"/>
                <w:color w:val="000000"/>
                <w:szCs w:val="20"/>
              </w:rPr>
              <w:t>N</w:t>
            </w:r>
            <w:r w:rsidRPr="00AC7408">
              <w:rPr>
                <w:rFonts w:cstheme="minorHAnsi"/>
                <w:color w:val="000000"/>
                <w:szCs w:val="20"/>
              </w:rPr>
              <w:t xml:space="preserve">egative urine </w:t>
            </w:r>
            <w:r w:rsidRPr="00FF598B">
              <w:rPr>
                <w:rFonts w:cstheme="minorHAnsi"/>
                <w:color w:val="000000"/>
                <w:szCs w:val="20"/>
              </w:rPr>
              <w:t>toxicology test for illicit drugs other t</w:t>
            </w:r>
            <w:r>
              <w:rPr>
                <w:rFonts w:cstheme="minorHAnsi"/>
                <w:color w:val="000000"/>
                <w:szCs w:val="20"/>
              </w:rPr>
              <w:t>han cannabis at study admission.</w:t>
            </w:r>
          </w:p>
        </w:tc>
      </w:tr>
      <w:tr w:rsidR="00B80B9A" w:rsidRPr="002F020F" w14:paraId="601C457A"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35C69B2F" w14:textId="77777777" w:rsidR="00B80B9A" w:rsidRPr="002F020F" w:rsidRDefault="00B80B9A" w:rsidP="004361E5">
            <w:r w:rsidRPr="002F020F">
              <w:t>Exclusion Criteria</w:t>
            </w:r>
          </w:p>
        </w:tc>
        <w:tc>
          <w:tcPr>
            <w:tcW w:w="3884" w:type="pct"/>
          </w:tcPr>
          <w:p w14:paraId="1F3C2F32" w14:textId="77777777" w:rsidR="00B80B9A" w:rsidRPr="00B27A25"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Pr>
                <w:rFonts w:cstheme="minorHAnsi"/>
                <w:color w:val="000000"/>
                <w:szCs w:val="20"/>
              </w:rPr>
              <w:t>P</w:t>
            </w:r>
            <w:r w:rsidRPr="00FF598B">
              <w:rPr>
                <w:rFonts w:cstheme="minorHAnsi"/>
                <w:color w:val="000000"/>
                <w:szCs w:val="20"/>
              </w:rPr>
              <w:t xml:space="preserve">regnant, breastfeeding, or planning to become pregnant in the next </w:t>
            </w:r>
            <w:r>
              <w:rPr>
                <w:rFonts w:cstheme="minorHAnsi"/>
                <w:color w:val="000000"/>
                <w:szCs w:val="20"/>
              </w:rPr>
              <w:t xml:space="preserve">three </w:t>
            </w:r>
            <w:r w:rsidRPr="00FF598B">
              <w:rPr>
                <w:rFonts w:cstheme="minorHAnsi"/>
                <w:color w:val="000000"/>
                <w:szCs w:val="20"/>
              </w:rPr>
              <w:t>months</w:t>
            </w:r>
            <w:r>
              <w:rPr>
                <w:rFonts w:cstheme="minorHAnsi"/>
                <w:color w:val="000000"/>
                <w:szCs w:val="20"/>
              </w:rPr>
              <w:t>.</w:t>
            </w:r>
          </w:p>
          <w:p w14:paraId="62EB51D3" w14:textId="77777777" w:rsidR="00B80B9A" w:rsidRPr="00697967"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Pr>
                <w:rFonts w:cstheme="minorHAnsi"/>
                <w:color w:val="000000"/>
                <w:szCs w:val="20"/>
              </w:rPr>
              <w:t>T</w:t>
            </w:r>
            <w:r w:rsidRPr="00FF598B">
              <w:rPr>
                <w:rFonts w:cstheme="minorHAnsi"/>
                <w:color w:val="000000"/>
                <w:szCs w:val="20"/>
              </w:rPr>
              <w:t>reatment</w:t>
            </w:r>
            <w:r>
              <w:rPr>
                <w:rFonts w:cstheme="minorHAnsi"/>
                <w:color w:val="000000"/>
                <w:szCs w:val="20"/>
              </w:rPr>
              <w:t>-seeking</w:t>
            </w:r>
            <w:r w:rsidRPr="00FF598B">
              <w:rPr>
                <w:rFonts w:cstheme="minorHAnsi"/>
                <w:color w:val="000000"/>
                <w:szCs w:val="20"/>
              </w:rPr>
              <w:t xml:space="preserve"> for cannabis-related problems or </w:t>
            </w:r>
            <w:r>
              <w:rPr>
                <w:rFonts w:cstheme="minorHAnsi"/>
                <w:color w:val="000000"/>
                <w:szCs w:val="20"/>
              </w:rPr>
              <w:t>otherwise trying to reduce use.</w:t>
            </w:r>
          </w:p>
          <w:p w14:paraId="78AF027C" w14:textId="77777777" w:rsidR="00B80B9A" w:rsidRPr="00697967"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Pr>
                <w:rFonts w:cstheme="minorHAnsi"/>
                <w:color w:val="000000"/>
                <w:szCs w:val="20"/>
              </w:rPr>
              <w:t>U</w:t>
            </w:r>
            <w:r w:rsidRPr="00697967">
              <w:rPr>
                <w:rFonts w:cstheme="minorHAnsi"/>
                <w:color w:val="000000"/>
                <w:szCs w:val="20"/>
              </w:rPr>
              <w:t>s</w:t>
            </w:r>
            <w:r>
              <w:rPr>
                <w:rFonts w:cstheme="minorHAnsi"/>
                <w:color w:val="000000"/>
                <w:szCs w:val="20"/>
              </w:rPr>
              <w:t>ing</w:t>
            </w:r>
            <w:r w:rsidRPr="00697967">
              <w:rPr>
                <w:rFonts w:cstheme="minorHAnsi"/>
                <w:color w:val="000000"/>
                <w:szCs w:val="20"/>
              </w:rPr>
              <w:t xml:space="preserve"> cannabis under the guidance of a physician for a medical disorder</w:t>
            </w:r>
            <w:r>
              <w:rPr>
                <w:rFonts w:cstheme="minorHAnsi"/>
                <w:color w:val="000000"/>
                <w:szCs w:val="20"/>
              </w:rPr>
              <w:t>.</w:t>
            </w:r>
          </w:p>
          <w:p w14:paraId="6CFF5265" w14:textId="77777777" w:rsidR="00B80B9A" w:rsidRPr="00697967"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Pr>
                <w:rFonts w:cstheme="minorHAnsi"/>
                <w:color w:val="000000"/>
                <w:szCs w:val="20"/>
              </w:rPr>
              <w:t>U</w:t>
            </w:r>
            <w:r w:rsidRPr="00697967">
              <w:rPr>
                <w:rFonts w:cstheme="minorHAnsi"/>
                <w:color w:val="000000"/>
                <w:szCs w:val="20"/>
              </w:rPr>
              <w:t>nstable or uncontrolled cardiovascular disease (e.g., hypertension, angina)</w:t>
            </w:r>
            <w:r>
              <w:rPr>
                <w:rFonts w:cstheme="minorHAnsi"/>
                <w:color w:val="000000"/>
                <w:szCs w:val="20"/>
              </w:rPr>
              <w:t>.</w:t>
            </w:r>
          </w:p>
          <w:p w14:paraId="1A08D691" w14:textId="77777777" w:rsidR="00B80B9A" w:rsidRPr="00BE5E52" w:rsidRDefault="00B80B9A" w:rsidP="00B80B9A">
            <w:pPr>
              <w:numPr>
                <w:ilvl w:val="0"/>
                <w:numId w:val="91"/>
              </w:numPr>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Pr>
                <w:rFonts w:cstheme="minorHAnsi"/>
                <w:color w:val="000000"/>
                <w:szCs w:val="20"/>
              </w:rPr>
              <w:t>A</w:t>
            </w:r>
            <w:r w:rsidRPr="00697967">
              <w:rPr>
                <w:rFonts w:cstheme="minorHAnsi"/>
                <w:color w:val="000000"/>
                <w:szCs w:val="20"/>
              </w:rPr>
              <w:t>llerg</w:t>
            </w:r>
            <w:r>
              <w:rPr>
                <w:rFonts w:cstheme="minorHAnsi"/>
                <w:color w:val="000000"/>
                <w:szCs w:val="20"/>
              </w:rPr>
              <w:t>ic</w:t>
            </w:r>
            <w:r w:rsidRPr="00697967">
              <w:rPr>
                <w:rFonts w:cstheme="minorHAnsi"/>
                <w:color w:val="000000"/>
                <w:szCs w:val="20"/>
              </w:rPr>
              <w:t xml:space="preserve"> to </w:t>
            </w:r>
            <w:r>
              <w:rPr>
                <w:rFonts w:cstheme="minorHAnsi"/>
                <w:color w:val="000000"/>
                <w:szCs w:val="20"/>
              </w:rPr>
              <w:t xml:space="preserve">the </w:t>
            </w:r>
            <w:r w:rsidRPr="00697967">
              <w:rPr>
                <w:rFonts w:cstheme="minorHAnsi"/>
                <w:color w:val="000000"/>
                <w:szCs w:val="20"/>
              </w:rPr>
              <w:t>study medication</w:t>
            </w:r>
            <w:r>
              <w:rPr>
                <w:rFonts w:cstheme="minorHAnsi"/>
                <w:color w:val="000000"/>
                <w:szCs w:val="20"/>
              </w:rPr>
              <w:t>.</w:t>
            </w:r>
          </w:p>
        </w:tc>
      </w:tr>
      <w:tr w:rsidR="00B80B9A" w:rsidRPr="002F020F" w14:paraId="4C1F74E6"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37A23A21" w14:textId="77777777" w:rsidR="00B80B9A" w:rsidRPr="002F020F" w:rsidRDefault="00B80B9A" w:rsidP="004361E5">
            <w:r w:rsidRPr="002F020F">
              <w:t>Assessment Time-</w:t>
            </w:r>
            <w:r>
              <w:t>P</w:t>
            </w:r>
            <w:r w:rsidRPr="002F020F">
              <w:t>oint/s</w:t>
            </w:r>
          </w:p>
        </w:tc>
        <w:tc>
          <w:tcPr>
            <w:tcW w:w="3884" w:type="pct"/>
          </w:tcPr>
          <w:p w14:paraId="659CD189" w14:textId="77777777" w:rsidR="00B80B9A" w:rsidRPr="00AD4BE4" w:rsidRDefault="00B80B9A" w:rsidP="00B80B9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Cs w:val="20"/>
              </w:rPr>
            </w:pPr>
            <w:r>
              <w:rPr>
                <w:bCs/>
              </w:rPr>
              <w:t>E</w:t>
            </w:r>
            <w:r w:rsidRPr="00043FA0">
              <w:rPr>
                <w:bCs/>
              </w:rPr>
              <w:t xml:space="preserve">very day </w:t>
            </w:r>
            <w:r>
              <w:rPr>
                <w:bCs/>
              </w:rPr>
              <w:t xml:space="preserve">(day 1 to day 12) for each of the three (12-day) </w:t>
            </w:r>
            <w:r w:rsidRPr="00043FA0">
              <w:rPr>
                <w:bCs/>
              </w:rPr>
              <w:t>study</w:t>
            </w:r>
            <w:r>
              <w:rPr>
                <w:bCs/>
              </w:rPr>
              <w:t xml:space="preserve"> conditions (placebo, low-dose, and high-dose dronabinol maintenance).</w:t>
            </w:r>
          </w:p>
        </w:tc>
      </w:tr>
      <w:tr w:rsidR="00B80B9A" w:rsidRPr="002F020F" w14:paraId="5F78188F"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6DD46641" w14:textId="77777777" w:rsidR="00B80B9A" w:rsidRPr="002F020F" w:rsidRDefault="00B80B9A" w:rsidP="004361E5">
            <w:r w:rsidRPr="002F020F">
              <w:t>Main Findings</w:t>
            </w:r>
          </w:p>
        </w:tc>
        <w:tc>
          <w:tcPr>
            <w:tcW w:w="3884" w:type="pct"/>
          </w:tcPr>
          <w:p w14:paraId="0863CF7E" w14:textId="77777777" w:rsidR="00B80B9A" w:rsidRPr="002D7715"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D7715">
              <w:rPr>
                <w:rFonts w:ascii="Calibri" w:hAnsi="Calibri" w:cs="Calibri"/>
                <w:color w:val="000000"/>
                <w:szCs w:val="20"/>
              </w:rPr>
              <w:t>Progressive</w:t>
            </w:r>
            <w:r>
              <w:rPr>
                <w:rFonts w:ascii="Calibri" w:hAnsi="Calibri" w:cs="Calibri"/>
                <w:color w:val="000000"/>
                <w:szCs w:val="20"/>
              </w:rPr>
              <w:t>-</w:t>
            </w:r>
            <w:r w:rsidRPr="002D7715">
              <w:rPr>
                <w:rFonts w:ascii="Calibri" w:hAnsi="Calibri" w:cs="Calibri"/>
                <w:color w:val="000000"/>
                <w:szCs w:val="20"/>
              </w:rPr>
              <w:t xml:space="preserve">ratio access </w:t>
            </w:r>
            <w:r>
              <w:rPr>
                <w:rFonts w:ascii="Calibri" w:hAnsi="Calibri" w:cs="Calibri"/>
                <w:color w:val="000000"/>
                <w:szCs w:val="20"/>
              </w:rPr>
              <w:t>condition</w:t>
            </w:r>
            <w:r w:rsidRPr="002D7715">
              <w:rPr>
                <w:rFonts w:ascii="Calibri" w:hAnsi="Calibri" w:cs="Calibri"/>
                <w:color w:val="000000"/>
                <w:szCs w:val="20"/>
              </w:rPr>
              <w:t>s:</w:t>
            </w:r>
          </w:p>
          <w:p w14:paraId="781BBC42" w14:textId="77777777" w:rsidR="00B80B9A"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D7715">
              <w:rPr>
                <w:rFonts w:ascii="Calibri" w:hAnsi="Calibri" w:cs="Calibri"/>
                <w:color w:val="000000"/>
                <w:szCs w:val="20"/>
              </w:rPr>
              <w:t xml:space="preserve">Significant main effects of cannabis-type </w:t>
            </w:r>
            <w:r>
              <w:rPr>
                <w:rFonts w:ascii="Calibri" w:hAnsi="Calibri" w:cs="Calibri"/>
                <w:color w:val="000000"/>
                <w:szCs w:val="20"/>
              </w:rPr>
              <w:t>[</w:t>
            </w:r>
            <w:r w:rsidRPr="002D7715">
              <w:rPr>
                <w:rFonts w:ascii="Calibri" w:hAnsi="Calibri" w:cs="Calibri"/>
                <w:color w:val="000000"/>
                <w:szCs w:val="20"/>
              </w:rPr>
              <w:t>F</w:t>
            </w:r>
            <w:r>
              <w:rPr>
                <w:rFonts w:ascii="Calibri" w:hAnsi="Calibri" w:cs="Calibri"/>
                <w:color w:val="000000"/>
                <w:szCs w:val="20"/>
              </w:rPr>
              <w:t xml:space="preserve"> </w:t>
            </w:r>
            <w:r w:rsidRPr="002D7715">
              <w:rPr>
                <w:rFonts w:ascii="Calibri" w:hAnsi="Calibri" w:cs="Calibri"/>
                <w:color w:val="000000"/>
                <w:szCs w:val="20"/>
              </w:rPr>
              <w:t xml:space="preserve">(1,12) = 391.5, p &lt; </w:t>
            </w:r>
            <w:r>
              <w:rPr>
                <w:rFonts w:ascii="Calibri" w:hAnsi="Calibri" w:cs="Calibri"/>
                <w:color w:val="000000"/>
                <w:szCs w:val="20"/>
              </w:rPr>
              <w:t>0</w:t>
            </w:r>
            <w:r w:rsidRPr="002D7715">
              <w:rPr>
                <w:rFonts w:ascii="Calibri" w:hAnsi="Calibri" w:cs="Calibri"/>
                <w:color w:val="000000"/>
                <w:szCs w:val="20"/>
              </w:rPr>
              <w:t>.001</w:t>
            </w:r>
            <w:r>
              <w:rPr>
                <w:rFonts w:ascii="Calibri" w:hAnsi="Calibri" w:cs="Calibri"/>
                <w:color w:val="000000"/>
                <w:szCs w:val="20"/>
              </w:rPr>
              <w:t>]</w:t>
            </w:r>
            <w:r w:rsidRPr="002D7715">
              <w:rPr>
                <w:rFonts w:ascii="Calibri" w:hAnsi="Calibri" w:cs="Calibri"/>
                <w:color w:val="000000"/>
                <w:szCs w:val="20"/>
              </w:rPr>
              <w:t xml:space="preserve"> and dronabinol dose </w:t>
            </w:r>
            <w:r>
              <w:rPr>
                <w:rFonts w:ascii="Calibri" w:hAnsi="Calibri" w:cs="Calibri"/>
                <w:color w:val="000000"/>
                <w:szCs w:val="20"/>
              </w:rPr>
              <w:t>[</w:t>
            </w:r>
            <w:r w:rsidRPr="002D7715">
              <w:rPr>
                <w:rFonts w:ascii="Calibri" w:hAnsi="Calibri" w:cs="Calibri"/>
                <w:color w:val="000000"/>
                <w:szCs w:val="20"/>
              </w:rPr>
              <w:t>F</w:t>
            </w:r>
            <w:r>
              <w:rPr>
                <w:rFonts w:ascii="Calibri" w:hAnsi="Calibri" w:cs="Calibri"/>
                <w:color w:val="000000"/>
                <w:szCs w:val="20"/>
              </w:rPr>
              <w:t xml:space="preserve"> </w:t>
            </w:r>
            <w:r w:rsidRPr="002D7715">
              <w:rPr>
                <w:rFonts w:ascii="Calibri" w:hAnsi="Calibri" w:cs="Calibri"/>
                <w:color w:val="000000"/>
                <w:szCs w:val="20"/>
              </w:rPr>
              <w:t xml:space="preserve">(2,24) = 9.1, p = </w:t>
            </w:r>
            <w:r>
              <w:rPr>
                <w:rFonts w:ascii="Calibri" w:hAnsi="Calibri" w:cs="Calibri"/>
                <w:color w:val="000000"/>
                <w:szCs w:val="20"/>
              </w:rPr>
              <w:t>0</w:t>
            </w:r>
            <w:r w:rsidRPr="002D7715">
              <w:rPr>
                <w:rFonts w:ascii="Calibri" w:hAnsi="Calibri" w:cs="Calibri"/>
                <w:color w:val="000000"/>
                <w:szCs w:val="20"/>
              </w:rPr>
              <w:t>.001</w:t>
            </w:r>
            <w:r>
              <w:rPr>
                <w:rFonts w:ascii="Calibri" w:hAnsi="Calibri" w:cs="Calibri"/>
                <w:color w:val="000000"/>
                <w:szCs w:val="20"/>
              </w:rPr>
              <w:t>]</w:t>
            </w:r>
            <w:r w:rsidRPr="002D7715">
              <w:rPr>
                <w:rFonts w:ascii="Calibri" w:hAnsi="Calibri" w:cs="Calibri"/>
                <w:color w:val="000000"/>
                <w:szCs w:val="20"/>
              </w:rPr>
              <w:t xml:space="preserve"> were observed</w:t>
            </w:r>
            <w:r>
              <w:rPr>
                <w:rFonts w:ascii="Calibri" w:hAnsi="Calibri" w:cs="Calibri"/>
                <w:color w:val="000000"/>
                <w:szCs w:val="20"/>
              </w:rPr>
              <w:t xml:space="preserve"> </w:t>
            </w:r>
            <w:r w:rsidRPr="002D7715">
              <w:rPr>
                <w:rFonts w:ascii="Calibri" w:hAnsi="Calibri" w:cs="Calibri"/>
                <w:color w:val="000000"/>
                <w:szCs w:val="20"/>
              </w:rPr>
              <w:t xml:space="preserve">on days in which cannabis was available under </w:t>
            </w:r>
            <w:r>
              <w:rPr>
                <w:rFonts w:ascii="Calibri" w:hAnsi="Calibri" w:cs="Calibri"/>
                <w:color w:val="000000"/>
                <w:szCs w:val="20"/>
              </w:rPr>
              <w:t>the two</w:t>
            </w:r>
            <w:r w:rsidRPr="002D7715">
              <w:rPr>
                <w:rFonts w:ascii="Calibri" w:hAnsi="Calibri" w:cs="Calibri"/>
                <w:color w:val="000000"/>
                <w:szCs w:val="20"/>
              </w:rPr>
              <w:t xml:space="preserve"> progressive</w:t>
            </w:r>
            <w:r>
              <w:rPr>
                <w:rFonts w:ascii="Calibri" w:hAnsi="Calibri" w:cs="Calibri"/>
                <w:color w:val="000000"/>
                <w:szCs w:val="20"/>
              </w:rPr>
              <w:t>-</w:t>
            </w:r>
            <w:r w:rsidRPr="002D7715">
              <w:rPr>
                <w:rFonts w:ascii="Calibri" w:hAnsi="Calibri" w:cs="Calibri"/>
                <w:color w:val="000000"/>
                <w:szCs w:val="20"/>
              </w:rPr>
              <w:t xml:space="preserve">ratio </w:t>
            </w:r>
            <w:r>
              <w:rPr>
                <w:rFonts w:ascii="Calibri" w:hAnsi="Calibri" w:cs="Calibri"/>
                <w:color w:val="000000"/>
                <w:szCs w:val="20"/>
              </w:rPr>
              <w:t>access conditions</w:t>
            </w:r>
            <w:r w:rsidRPr="002D7715">
              <w:rPr>
                <w:rFonts w:ascii="Calibri" w:hAnsi="Calibri" w:cs="Calibri"/>
                <w:color w:val="000000"/>
                <w:szCs w:val="20"/>
              </w:rPr>
              <w:t xml:space="preserve">. </w:t>
            </w:r>
          </w:p>
          <w:p w14:paraId="5B12259D" w14:textId="77777777" w:rsidR="00B80B9A" w:rsidRPr="000A7CAA"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P</w:t>
            </w:r>
            <w:r w:rsidRPr="000A7CAA">
              <w:rPr>
                <w:rFonts w:ascii="Calibri" w:hAnsi="Calibri" w:cs="Calibri"/>
                <w:color w:val="000000"/>
                <w:szCs w:val="20"/>
              </w:rPr>
              <w:t>articipants self-administered significantly fewer placebo</w:t>
            </w:r>
            <w:r>
              <w:rPr>
                <w:rFonts w:ascii="Calibri" w:hAnsi="Calibri" w:cs="Calibri"/>
                <w:color w:val="000000"/>
                <w:szCs w:val="20"/>
              </w:rPr>
              <w:t xml:space="preserve"> (&lt; 1% THC)</w:t>
            </w:r>
            <w:r w:rsidRPr="000A7CAA">
              <w:rPr>
                <w:rFonts w:ascii="Calibri" w:hAnsi="Calibri" w:cs="Calibri"/>
                <w:color w:val="000000"/>
                <w:szCs w:val="20"/>
              </w:rPr>
              <w:t xml:space="preserve"> cannabis cigarettes compared with</w:t>
            </w:r>
            <w:r>
              <w:rPr>
                <w:rFonts w:ascii="Calibri" w:hAnsi="Calibri" w:cs="Calibri"/>
                <w:color w:val="000000"/>
                <w:szCs w:val="20"/>
              </w:rPr>
              <w:t xml:space="preserve"> active</w:t>
            </w:r>
            <w:r w:rsidRPr="000A7CAA">
              <w:rPr>
                <w:rFonts w:ascii="Calibri" w:hAnsi="Calibri" w:cs="Calibri"/>
                <w:color w:val="000000"/>
                <w:szCs w:val="20"/>
              </w:rPr>
              <w:t xml:space="preserve"> </w:t>
            </w:r>
            <w:r>
              <w:rPr>
                <w:rFonts w:ascii="Calibri" w:hAnsi="Calibri" w:cs="Calibri"/>
                <w:color w:val="000000"/>
                <w:szCs w:val="20"/>
              </w:rPr>
              <w:t>(</w:t>
            </w:r>
            <w:r w:rsidRPr="000A7CAA">
              <w:rPr>
                <w:rFonts w:ascii="Calibri" w:hAnsi="Calibri" w:cs="Calibri"/>
                <w:color w:val="000000"/>
                <w:szCs w:val="20"/>
              </w:rPr>
              <w:t>5.7% THC</w:t>
            </w:r>
            <w:r>
              <w:rPr>
                <w:rFonts w:ascii="Calibri" w:hAnsi="Calibri" w:cs="Calibri"/>
                <w:color w:val="000000"/>
                <w:szCs w:val="20"/>
              </w:rPr>
              <w:t>)</w:t>
            </w:r>
            <w:r w:rsidRPr="000A7CAA">
              <w:rPr>
                <w:rFonts w:ascii="Calibri" w:hAnsi="Calibri" w:cs="Calibri"/>
                <w:color w:val="000000"/>
                <w:szCs w:val="20"/>
              </w:rPr>
              <w:t xml:space="preserve"> cannabis cigarettes on progressive</w:t>
            </w:r>
            <w:r>
              <w:rPr>
                <w:rFonts w:ascii="Calibri" w:hAnsi="Calibri" w:cs="Calibri"/>
                <w:color w:val="000000"/>
                <w:szCs w:val="20"/>
              </w:rPr>
              <w:t>-</w:t>
            </w:r>
            <w:r w:rsidRPr="000A7CAA">
              <w:rPr>
                <w:rFonts w:ascii="Calibri" w:hAnsi="Calibri" w:cs="Calibri"/>
                <w:color w:val="000000"/>
                <w:szCs w:val="20"/>
              </w:rPr>
              <w:t xml:space="preserve">ratio study days. </w:t>
            </w:r>
          </w:p>
          <w:p w14:paraId="6239D8C4" w14:textId="77777777" w:rsidR="00B80B9A" w:rsidRPr="002D7715"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C</w:t>
            </w:r>
            <w:r w:rsidRPr="002D7715">
              <w:rPr>
                <w:rFonts w:ascii="Calibri" w:hAnsi="Calibri" w:cs="Calibri"/>
                <w:color w:val="000000"/>
                <w:szCs w:val="20"/>
              </w:rPr>
              <w:t>ompared with placebo dronabinol maintenance</w:t>
            </w:r>
            <w:r>
              <w:rPr>
                <w:rFonts w:ascii="Calibri" w:hAnsi="Calibri" w:cs="Calibri"/>
                <w:color w:val="000000"/>
                <w:szCs w:val="20"/>
              </w:rPr>
              <w:t>,</w:t>
            </w:r>
            <w:r w:rsidRPr="002D7715">
              <w:rPr>
                <w:rFonts w:ascii="Calibri" w:hAnsi="Calibri" w:cs="Calibri"/>
                <w:color w:val="000000"/>
                <w:szCs w:val="20"/>
              </w:rPr>
              <w:t xml:space="preserve"> </w:t>
            </w:r>
            <w:r>
              <w:rPr>
                <w:rFonts w:ascii="Calibri" w:hAnsi="Calibri" w:cs="Calibri"/>
                <w:color w:val="000000"/>
                <w:szCs w:val="20"/>
              </w:rPr>
              <w:t>m</w:t>
            </w:r>
            <w:r w:rsidRPr="002D7715">
              <w:rPr>
                <w:rFonts w:ascii="Calibri" w:hAnsi="Calibri" w:cs="Calibri"/>
                <w:color w:val="000000"/>
                <w:szCs w:val="20"/>
              </w:rPr>
              <w:t>aintenance on both low-dose (120 mg) and high-dose (180</w:t>
            </w:r>
            <w:r>
              <w:rPr>
                <w:rFonts w:ascii="Calibri" w:hAnsi="Calibri" w:cs="Calibri"/>
                <w:color w:val="000000"/>
                <w:szCs w:val="20"/>
              </w:rPr>
              <w:t xml:space="preserve"> to </w:t>
            </w:r>
            <w:r w:rsidRPr="002D7715">
              <w:rPr>
                <w:rFonts w:ascii="Calibri" w:hAnsi="Calibri" w:cs="Calibri"/>
                <w:color w:val="000000"/>
                <w:szCs w:val="20"/>
              </w:rPr>
              <w:t xml:space="preserve">240 mg) dronabinol significantly reduced self-administration of </w:t>
            </w:r>
            <w:r>
              <w:rPr>
                <w:rFonts w:ascii="Calibri" w:hAnsi="Calibri" w:cs="Calibri"/>
                <w:color w:val="000000"/>
                <w:szCs w:val="20"/>
              </w:rPr>
              <w:t>active (</w:t>
            </w:r>
            <w:r w:rsidRPr="002D7715">
              <w:rPr>
                <w:rFonts w:ascii="Calibri" w:hAnsi="Calibri" w:cs="Calibri"/>
                <w:color w:val="000000"/>
                <w:szCs w:val="20"/>
              </w:rPr>
              <w:t>5.7% THC</w:t>
            </w:r>
            <w:r>
              <w:rPr>
                <w:rFonts w:ascii="Calibri" w:hAnsi="Calibri" w:cs="Calibri"/>
                <w:color w:val="000000"/>
                <w:szCs w:val="20"/>
              </w:rPr>
              <w:t>)</w:t>
            </w:r>
            <w:r w:rsidRPr="002D7715">
              <w:rPr>
                <w:rFonts w:ascii="Calibri" w:hAnsi="Calibri" w:cs="Calibri"/>
                <w:color w:val="000000"/>
                <w:szCs w:val="20"/>
              </w:rPr>
              <w:t xml:space="preserve"> cannabis</w:t>
            </w:r>
            <w:r>
              <w:rPr>
                <w:rFonts w:ascii="Calibri" w:hAnsi="Calibri" w:cs="Calibri"/>
                <w:color w:val="000000"/>
                <w:szCs w:val="20"/>
              </w:rPr>
              <w:t xml:space="preserve"> cigarettes</w:t>
            </w:r>
            <w:r w:rsidRPr="002D7715">
              <w:rPr>
                <w:rFonts w:ascii="Calibri" w:hAnsi="Calibri" w:cs="Calibri"/>
                <w:color w:val="000000"/>
                <w:szCs w:val="20"/>
              </w:rPr>
              <w:t xml:space="preserve"> under progressive</w:t>
            </w:r>
            <w:r>
              <w:rPr>
                <w:rFonts w:ascii="Calibri" w:hAnsi="Calibri" w:cs="Calibri"/>
                <w:color w:val="000000"/>
                <w:szCs w:val="20"/>
              </w:rPr>
              <w:t>-</w:t>
            </w:r>
            <w:r w:rsidRPr="002D7715">
              <w:rPr>
                <w:rFonts w:ascii="Calibri" w:hAnsi="Calibri" w:cs="Calibri"/>
                <w:color w:val="000000"/>
                <w:szCs w:val="20"/>
              </w:rPr>
              <w:t xml:space="preserve">ratio access (both p's </w:t>
            </w:r>
            <w:r>
              <w:rPr>
                <w:rFonts w:ascii="Calibri" w:hAnsi="Calibri" w:cs="Calibri"/>
                <w:color w:val="000000"/>
                <w:szCs w:val="20"/>
              </w:rPr>
              <w:t>≥</w:t>
            </w:r>
            <w:r w:rsidRPr="002D7715">
              <w:rPr>
                <w:rFonts w:ascii="Calibri" w:hAnsi="Calibri" w:cs="Calibri"/>
                <w:color w:val="000000"/>
                <w:szCs w:val="20"/>
              </w:rPr>
              <w:t xml:space="preserve"> 0.05). </w:t>
            </w:r>
          </w:p>
          <w:p w14:paraId="603DC426" w14:textId="77777777" w:rsidR="00B80B9A"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D7715">
              <w:rPr>
                <w:rFonts w:ascii="Calibri" w:hAnsi="Calibri" w:cs="Calibri"/>
                <w:color w:val="000000"/>
                <w:szCs w:val="20"/>
              </w:rPr>
              <w:t xml:space="preserve">There was no difference between low-dose and high-dose dronabinol maintenance on </w:t>
            </w:r>
            <w:r>
              <w:rPr>
                <w:rFonts w:ascii="Calibri" w:hAnsi="Calibri" w:cs="Calibri"/>
                <w:color w:val="000000"/>
                <w:szCs w:val="20"/>
              </w:rPr>
              <w:t>self-administration of active (</w:t>
            </w:r>
            <w:r w:rsidRPr="002D7715">
              <w:rPr>
                <w:rFonts w:ascii="Calibri" w:hAnsi="Calibri" w:cs="Calibri"/>
                <w:color w:val="000000"/>
                <w:szCs w:val="20"/>
              </w:rPr>
              <w:t>5.7% THC</w:t>
            </w:r>
            <w:r>
              <w:rPr>
                <w:rFonts w:ascii="Calibri" w:hAnsi="Calibri" w:cs="Calibri"/>
                <w:color w:val="000000"/>
                <w:szCs w:val="20"/>
              </w:rPr>
              <w:t>)</w:t>
            </w:r>
            <w:r w:rsidRPr="002D7715">
              <w:rPr>
                <w:rFonts w:ascii="Calibri" w:hAnsi="Calibri" w:cs="Calibri"/>
                <w:color w:val="000000"/>
                <w:szCs w:val="20"/>
              </w:rPr>
              <w:t xml:space="preserve"> cannabis cigarettes under progressive</w:t>
            </w:r>
            <w:r>
              <w:rPr>
                <w:rFonts w:ascii="Calibri" w:hAnsi="Calibri" w:cs="Calibri"/>
                <w:color w:val="000000"/>
                <w:szCs w:val="20"/>
              </w:rPr>
              <w:t>-</w:t>
            </w:r>
            <w:r w:rsidRPr="002D7715">
              <w:rPr>
                <w:rFonts w:ascii="Calibri" w:hAnsi="Calibri" w:cs="Calibri"/>
                <w:color w:val="000000"/>
                <w:szCs w:val="20"/>
              </w:rPr>
              <w:t xml:space="preserve">ratio access (p = </w:t>
            </w:r>
            <w:r>
              <w:rPr>
                <w:rFonts w:ascii="Calibri" w:hAnsi="Calibri" w:cs="Calibri"/>
                <w:color w:val="000000"/>
                <w:szCs w:val="20"/>
              </w:rPr>
              <w:t>0</w:t>
            </w:r>
            <w:r w:rsidRPr="002D7715">
              <w:rPr>
                <w:rFonts w:ascii="Calibri" w:hAnsi="Calibri" w:cs="Calibri"/>
                <w:color w:val="000000"/>
                <w:szCs w:val="20"/>
              </w:rPr>
              <w:t>.63).</w:t>
            </w:r>
          </w:p>
          <w:p w14:paraId="3C9AC3B1" w14:textId="77777777" w:rsidR="00B80B9A" w:rsidRPr="00FA43D4"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FA43D4">
              <w:rPr>
                <w:rFonts w:ascii="Calibri" w:hAnsi="Calibri" w:cs="Calibri"/>
                <w:color w:val="000000"/>
                <w:szCs w:val="20"/>
              </w:rPr>
              <w:t>Forced-choice access</w:t>
            </w:r>
            <w:r>
              <w:rPr>
                <w:rFonts w:ascii="Calibri" w:hAnsi="Calibri" w:cs="Calibri"/>
                <w:color w:val="000000"/>
                <w:szCs w:val="20"/>
              </w:rPr>
              <w:t xml:space="preserve"> conditions: </w:t>
            </w:r>
          </w:p>
          <w:p w14:paraId="185227A2" w14:textId="77777777" w:rsidR="00B80B9A"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B224EB">
              <w:rPr>
                <w:rFonts w:ascii="Calibri" w:hAnsi="Calibri" w:cs="Calibri"/>
                <w:color w:val="000000"/>
                <w:szCs w:val="20"/>
              </w:rPr>
              <w:t>Significant main effects of cannabis-type were observed for self</w:t>
            </w:r>
            <w:r>
              <w:rPr>
                <w:rFonts w:ascii="Calibri" w:hAnsi="Calibri" w:cs="Calibri"/>
                <w:color w:val="000000"/>
                <w:szCs w:val="20"/>
              </w:rPr>
              <w:t>-</w:t>
            </w:r>
            <w:r w:rsidRPr="00B224EB">
              <w:rPr>
                <w:rFonts w:ascii="Calibri" w:hAnsi="Calibri" w:cs="Calibri"/>
                <w:color w:val="000000"/>
                <w:szCs w:val="20"/>
              </w:rPr>
              <w:t>administration</w:t>
            </w:r>
            <w:r>
              <w:rPr>
                <w:rFonts w:ascii="Calibri" w:hAnsi="Calibri" w:cs="Calibri"/>
                <w:color w:val="000000"/>
                <w:szCs w:val="20"/>
              </w:rPr>
              <w:t xml:space="preserve"> of cannabis</w:t>
            </w:r>
            <w:r w:rsidRPr="00B224EB">
              <w:rPr>
                <w:rFonts w:ascii="Calibri" w:hAnsi="Calibri" w:cs="Calibri"/>
                <w:color w:val="000000"/>
                <w:szCs w:val="20"/>
              </w:rPr>
              <w:t xml:space="preserve"> </w:t>
            </w:r>
            <w:r>
              <w:rPr>
                <w:rFonts w:ascii="Calibri" w:hAnsi="Calibri" w:cs="Calibri"/>
                <w:color w:val="000000"/>
                <w:szCs w:val="20"/>
              </w:rPr>
              <w:t xml:space="preserve">cigarettes </w:t>
            </w:r>
            <w:r w:rsidRPr="00B224EB">
              <w:rPr>
                <w:rFonts w:ascii="Calibri" w:hAnsi="Calibri" w:cs="Calibri"/>
                <w:color w:val="000000"/>
                <w:szCs w:val="20"/>
              </w:rPr>
              <w:t>at all three monetary choice values (</w:t>
            </w:r>
            <w:r>
              <w:rPr>
                <w:rFonts w:ascii="Calibri" w:hAnsi="Calibri" w:cs="Calibri"/>
                <w:color w:val="000000"/>
                <w:szCs w:val="20"/>
              </w:rPr>
              <w:t xml:space="preserve">USD </w:t>
            </w:r>
            <w:r w:rsidRPr="00B224EB">
              <w:rPr>
                <w:rFonts w:ascii="Calibri" w:hAnsi="Calibri" w:cs="Calibri"/>
                <w:color w:val="000000"/>
                <w:szCs w:val="20"/>
              </w:rPr>
              <w:t>0.25, 1.00, or 2.00</w:t>
            </w:r>
            <w:r>
              <w:rPr>
                <w:rFonts w:ascii="Calibri" w:hAnsi="Calibri" w:cs="Calibri"/>
                <w:color w:val="000000"/>
                <w:szCs w:val="20"/>
              </w:rPr>
              <w:t xml:space="preserve">; </w:t>
            </w:r>
            <w:r w:rsidRPr="00B224EB">
              <w:rPr>
                <w:rFonts w:ascii="Calibri" w:hAnsi="Calibri" w:cs="Calibri"/>
                <w:color w:val="000000"/>
                <w:szCs w:val="20"/>
              </w:rPr>
              <w:t>F</w:t>
            </w:r>
            <w:r>
              <w:rPr>
                <w:rFonts w:ascii="Calibri" w:hAnsi="Calibri" w:cs="Calibri"/>
                <w:color w:val="000000"/>
                <w:szCs w:val="20"/>
              </w:rPr>
              <w:t>’</w:t>
            </w:r>
            <w:r w:rsidRPr="00B224EB">
              <w:rPr>
                <w:rFonts w:ascii="Calibri" w:hAnsi="Calibri" w:cs="Calibri"/>
                <w:color w:val="000000"/>
                <w:szCs w:val="20"/>
              </w:rPr>
              <w:t>s</w:t>
            </w:r>
            <w:r>
              <w:rPr>
                <w:rFonts w:ascii="Calibri" w:hAnsi="Calibri" w:cs="Calibri"/>
                <w:color w:val="000000"/>
                <w:szCs w:val="20"/>
              </w:rPr>
              <w:t xml:space="preserve"> </w:t>
            </w:r>
            <w:r w:rsidRPr="00B224EB">
              <w:rPr>
                <w:rFonts w:ascii="Calibri" w:hAnsi="Calibri" w:cs="Calibri"/>
                <w:color w:val="000000"/>
                <w:szCs w:val="20"/>
              </w:rPr>
              <w:t>(1,12) = 52.2</w:t>
            </w:r>
            <w:r>
              <w:rPr>
                <w:rFonts w:ascii="Calibri" w:hAnsi="Calibri" w:cs="Calibri"/>
                <w:color w:val="000000"/>
                <w:szCs w:val="20"/>
              </w:rPr>
              <w:t xml:space="preserve"> to </w:t>
            </w:r>
            <w:r w:rsidRPr="00B224EB">
              <w:rPr>
                <w:rFonts w:ascii="Calibri" w:hAnsi="Calibri" w:cs="Calibri"/>
                <w:color w:val="000000"/>
                <w:szCs w:val="20"/>
              </w:rPr>
              <w:t>117.3; all p</w:t>
            </w:r>
            <w:r>
              <w:rPr>
                <w:rFonts w:ascii="Calibri" w:hAnsi="Calibri" w:cs="Calibri"/>
                <w:color w:val="000000"/>
                <w:szCs w:val="20"/>
              </w:rPr>
              <w:t>’</w:t>
            </w:r>
            <w:r w:rsidRPr="00B224EB">
              <w:rPr>
                <w:rFonts w:ascii="Calibri" w:hAnsi="Calibri" w:cs="Calibri"/>
                <w:color w:val="000000"/>
                <w:szCs w:val="20"/>
              </w:rPr>
              <w:t xml:space="preserve">s &lt; </w:t>
            </w:r>
            <w:r>
              <w:rPr>
                <w:rFonts w:ascii="Calibri" w:hAnsi="Calibri" w:cs="Calibri"/>
                <w:color w:val="000000"/>
                <w:szCs w:val="20"/>
              </w:rPr>
              <w:t>0</w:t>
            </w:r>
            <w:r w:rsidRPr="00B224EB">
              <w:rPr>
                <w:rFonts w:ascii="Calibri" w:hAnsi="Calibri" w:cs="Calibri"/>
                <w:color w:val="000000"/>
                <w:szCs w:val="20"/>
              </w:rPr>
              <w:t xml:space="preserve">.001). </w:t>
            </w:r>
            <w:r>
              <w:rPr>
                <w:rFonts w:ascii="Calibri" w:hAnsi="Calibri" w:cs="Calibri"/>
                <w:color w:val="000000"/>
                <w:szCs w:val="20"/>
              </w:rPr>
              <w:t>Main effects for dronabinol dose: findings not reported.</w:t>
            </w:r>
          </w:p>
          <w:p w14:paraId="22C72C86" w14:textId="77777777" w:rsidR="00B80B9A"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 xml:space="preserve">In keeping with the </w:t>
            </w:r>
            <w:r w:rsidRPr="00B224EB">
              <w:rPr>
                <w:rFonts w:ascii="Calibri" w:hAnsi="Calibri" w:cs="Calibri"/>
                <w:color w:val="000000"/>
                <w:szCs w:val="20"/>
              </w:rPr>
              <w:t>progressive</w:t>
            </w:r>
            <w:r>
              <w:rPr>
                <w:rFonts w:ascii="Calibri" w:hAnsi="Calibri" w:cs="Calibri"/>
                <w:color w:val="000000"/>
                <w:szCs w:val="20"/>
              </w:rPr>
              <w:t>-</w:t>
            </w:r>
            <w:r w:rsidRPr="00B224EB">
              <w:rPr>
                <w:rFonts w:ascii="Calibri" w:hAnsi="Calibri" w:cs="Calibri"/>
                <w:color w:val="000000"/>
                <w:szCs w:val="20"/>
              </w:rPr>
              <w:t xml:space="preserve">ratio </w:t>
            </w:r>
            <w:r>
              <w:rPr>
                <w:rFonts w:ascii="Calibri" w:hAnsi="Calibri" w:cs="Calibri"/>
                <w:color w:val="000000"/>
                <w:szCs w:val="20"/>
              </w:rPr>
              <w:t xml:space="preserve">access </w:t>
            </w:r>
            <w:r w:rsidRPr="00B224EB">
              <w:rPr>
                <w:rFonts w:ascii="Calibri" w:hAnsi="Calibri" w:cs="Calibri"/>
                <w:color w:val="000000"/>
                <w:szCs w:val="20"/>
              </w:rPr>
              <w:t>condition</w:t>
            </w:r>
            <w:r>
              <w:rPr>
                <w:rFonts w:ascii="Calibri" w:hAnsi="Calibri" w:cs="Calibri"/>
                <w:color w:val="000000"/>
                <w:szCs w:val="20"/>
              </w:rPr>
              <w:t>s</w:t>
            </w:r>
            <w:r w:rsidRPr="00B224EB">
              <w:rPr>
                <w:rFonts w:ascii="Calibri" w:hAnsi="Calibri" w:cs="Calibri"/>
                <w:color w:val="000000"/>
                <w:szCs w:val="20"/>
              </w:rPr>
              <w:t>, participants self-administered a greater number of</w:t>
            </w:r>
            <w:r>
              <w:rPr>
                <w:rFonts w:ascii="Calibri" w:hAnsi="Calibri" w:cs="Calibri"/>
                <w:color w:val="000000"/>
                <w:szCs w:val="20"/>
              </w:rPr>
              <w:t xml:space="preserve"> active (</w:t>
            </w:r>
            <w:r w:rsidRPr="00B224EB">
              <w:rPr>
                <w:rFonts w:ascii="Calibri" w:hAnsi="Calibri" w:cs="Calibri"/>
                <w:color w:val="000000"/>
                <w:szCs w:val="20"/>
              </w:rPr>
              <w:t>5.7% THC</w:t>
            </w:r>
            <w:r>
              <w:rPr>
                <w:rFonts w:ascii="Calibri" w:hAnsi="Calibri" w:cs="Calibri"/>
                <w:color w:val="000000"/>
                <w:szCs w:val="20"/>
              </w:rPr>
              <w:t>)</w:t>
            </w:r>
            <w:r w:rsidRPr="00B224EB">
              <w:rPr>
                <w:rFonts w:ascii="Calibri" w:hAnsi="Calibri" w:cs="Calibri"/>
                <w:color w:val="000000"/>
                <w:szCs w:val="20"/>
              </w:rPr>
              <w:t xml:space="preserve"> cannabis cigarettes compared with placebo</w:t>
            </w:r>
            <w:r>
              <w:rPr>
                <w:rFonts w:ascii="Calibri" w:hAnsi="Calibri" w:cs="Calibri"/>
                <w:color w:val="000000"/>
                <w:szCs w:val="20"/>
              </w:rPr>
              <w:t xml:space="preserve"> (&lt; 1% THC) cannabis cigarettes under the forced-choice access conditions</w:t>
            </w:r>
            <w:r w:rsidRPr="00B224EB">
              <w:rPr>
                <w:rFonts w:ascii="Calibri" w:hAnsi="Calibri" w:cs="Calibri"/>
                <w:color w:val="000000"/>
                <w:szCs w:val="20"/>
              </w:rPr>
              <w:t xml:space="preserve">. </w:t>
            </w:r>
          </w:p>
          <w:p w14:paraId="4E03CCC6" w14:textId="77777777" w:rsidR="00B80B9A"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C</w:t>
            </w:r>
            <w:r w:rsidRPr="00B224EB">
              <w:rPr>
                <w:rFonts w:ascii="Calibri" w:hAnsi="Calibri" w:cs="Calibri"/>
                <w:color w:val="000000"/>
                <w:szCs w:val="20"/>
              </w:rPr>
              <w:t>ompared with placebo dronabinol maintenance</w:t>
            </w:r>
            <w:r>
              <w:rPr>
                <w:rFonts w:ascii="Calibri" w:hAnsi="Calibri" w:cs="Calibri"/>
                <w:color w:val="000000"/>
                <w:szCs w:val="20"/>
              </w:rPr>
              <w:t>:</w:t>
            </w:r>
          </w:p>
          <w:p w14:paraId="02D39556" w14:textId="77777777" w:rsidR="00B80B9A" w:rsidRDefault="00B80B9A" w:rsidP="00B80B9A">
            <w:pPr>
              <w:numPr>
                <w:ilvl w:val="2"/>
                <w:numId w:val="91"/>
              </w:numPr>
              <w:ind w:left="1077"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I</w:t>
            </w:r>
            <w:r w:rsidRPr="00B224EB">
              <w:rPr>
                <w:rFonts w:ascii="Calibri" w:hAnsi="Calibri" w:cs="Calibri"/>
                <w:color w:val="000000"/>
                <w:szCs w:val="20"/>
              </w:rPr>
              <w:t>n the</w:t>
            </w:r>
            <w:r>
              <w:rPr>
                <w:rFonts w:ascii="Calibri" w:hAnsi="Calibri" w:cs="Calibri"/>
                <w:color w:val="000000"/>
                <w:szCs w:val="20"/>
              </w:rPr>
              <w:t xml:space="preserve"> cannabis versus USD </w:t>
            </w:r>
            <w:r w:rsidRPr="00B224EB">
              <w:rPr>
                <w:rFonts w:ascii="Calibri" w:hAnsi="Calibri" w:cs="Calibri"/>
                <w:color w:val="000000"/>
                <w:szCs w:val="20"/>
              </w:rPr>
              <w:t>0.25 choice condition, high-dose but not low-dose dronabinol maintenance</w:t>
            </w:r>
            <w:r>
              <w:rPr>
                <w:rFonts w:ascii="Calibri" w:hAnsi="Calibri" w:cs="Calibri"/>
                <w:color w:val="000000"/>
                <w:szCs w:val="20"/>
              </w:rPr>
              <w:t xml:space="preserve"> </w:t>
            </w:r>
            <w:r w:rsidRPr="00B224EB">
              <w:rPr>
                <w:rFonts w:ascii="Calibri" w:hAnsi="Calibri" w:cs="Calibri"/>
                <w:color w:val="000000"/>
                <w:szCs w:val="20"/>
              </w:rPr>
              <w:t xml:space="preserve">reduced self-administration of </w:t>
            </w:r>
            <w:r>
              <w:rPr>
                <w:rFonts w:ascii="Calibri" w:hAnsi="Calibri" w:cs="Calibri"/>
                <w:color w:val="000000"/>
                <w:szCs w:val="20"/>
              </w:rPr>
              <w:t>active (</w:t>
            </w:r>
            <w:r w:rsidRPr="00B224EB">
              <w:rPr>
                <w:rFonts w:ascii="Calibri" w:hAnsi="Calibri" w:cs="Calibri"/>
                <w:color w:val="000000"/>
                <w:szCs w:val="20"/>
              </w:rPr>
              <w:t>5.7% THC</w:t>
            </w:r>
            <w:r>
              <w:rPr>
                <w:rFonts w:ascii="Calibri" w:hAnsi="Calibri" w:cs="Calibri"/>
                <w:color w:val="000000"/>
                <w:szCs w:val="20"/>
              </w:rPr>
              <w:t>)</w:t>
            </w:r>
            <w:r w:rsidRPr="00B224EB">
              <w:rPr>
                <w:rFonts w:ascii="Calibri" w:hAnsi="Calibri" w:cs="Calibri"/>
                <w:color w:val="000000"/>
                <w:szCs w:val="20"/>
              </w:rPr>
              <w:t xml:space="preserve"> cannabis </w:t>
            </w:r>
            <w:r>
              <w:rPr>
                <w:rFonts w:ascii="Calibri" w:hAnsi="Calibri" w:cs="Calibri"/>
                <w:color w:val="000000"/>
                <w:szCs w:val="20"/>
              </w:rPr>
              <w:t xml:space="preserve">cigarettes </w:t>
            </w:r>
            <w:r w:rsidRPr="00B224EB">
              <w:rPr>
                <w:rFonts w:ascii="Calibri" w:hAnsi="Calibri" w:cs="Calibri"/>
                <w:color w:val="000000"/>
                <w:szCs w:val="20"/>
              </w:rPr>
              <w:t xml:space="preserve">(p = </w:t>
            </w:r>
            <w:r>
              <w:rPr>
                <w:rFonts w:ascii="Calibri" w:hAnsi="Calibri" w:cs="Calibri"/>
                <w:color w:val="000000"/>
                <w:szCs w:val="20"/>
              </w:rPr>
              <w:t>0</w:t>
            </w:r>
            <w:r w:rsidRPr="00B224EB">
              <w:rPr>
                <w:rFonts w:ascii="Calibri" w:hAnsi="Calibri" w:cs="Calibri"/>
                <w:color w:val="000000"/>
                <w:szCs w:val="20"/>
              </w:rPr>
              <w:t xml:space="preserve">.05). </w:t>
            </w:r>
          </w:p>
          <w:p w14:paraId="0A14A9B6" w14:textId="77777777" w:rsidR="00B80B9A" w:rsidRDefault="00B80B9A" w:rsidP="00B80B9A">
            <w:pPr>
              <w:numPr>
                <w:ilvl w:val="2"/>
                <w:numId w:val="91"/>
              </w:numPr>
              <w:ind w:left="1077"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7A7BB1">
              <w:rPr>
                <w:rFonts w:ascii="Calibri" w:hAnsi="Calibri" w:cs="Calibri"/>
                <w:color w:val="000000"/>
                <w:szCs w:val="20"/>
              </w:rPr>
              <w:t xml:space="preserve">In the cannabis versus </w:t>
            </w:r>
            <w:r>
              <w:rPr>
                <w:rFonts w:ascii="Calibri" w:hAnsi="Calibri" w:cs="Calibri"/>
                <w:color w:val="000000"/>
                <w:szCs w:val="20"/>
              </w:rPr>
              <w:t xml:space="preserve">USD </w:t>
            </w:r>
            <w:r w:rsidRPr="007A7BB1">
              <w:rPr>
                <w:rFonts w:ascii="Calibri" w:hAnsi="Calibri" w:cs="Calibri"/>
                <w:color w:val="000000"/>
                <w:szCs w:val="20"/>
              </w:rPr>
              <w:t>1.00 choice condition, both low-dose and high-dose dronabinol maintenance significantly reduced self-administration of</w:t>
            </w:r>
            <w:r>
              <w:rPr>
                <w:rFonts w:ascii="Calibri" w:hAnsi="Calibri" w:cs="Calibri"/>
                <w:color w:val="000000"/>
                <w:szCs w:val="20"/>
              </w:rPr>
              <w:t xml:space="preserve"> active (</w:t>
            </w:r>
            <w:r w:rsidRPr="007A7BB1">
              <w:rPr>
                <w:rFonts w:ascii="Calibri" w:hAnsi="Calibri" w:cs="Calibri"/>
                <w:color w:val="000000"/>
                <w:szCs w:val="20"/>
              </w:rPr>
              <w:t>5.7% THC</w:t>
            </w:r>
            <w:r>
              <w:rPr>
                <w:rFonts w:ascii="Calibri" w:hAnsi="Calibri" w:cs="Calibri"/>
                <w:color w:val="000000"/>
                <w:szCs w:val="20"/>
              </w:rPr>
              <w:t>)</w:t>
            </w:r>
            <w:r w:rsidRPr="007A7BB1">
              <w:rPr>
                <w:rFonts w:ascii="Calibri" w:hAnsi="Calibri" w:cs="Calibri"/>
                <w:color w:val="000000"/>
                <w:szCs w:val="20"/>
              </w:rPr>
              <w:t xml:space="preserve"> cannabis </w:t>
            </w:r>
            <w:r>
              <w:rPr>
                <w:rFonts w:ascii="Calibri" w:hAnsi="Calibri" w:cs="Calibri"/>
                <w:color w:val="000000"/>
                <w:szCs w:val="20"/>
              </w:rPr>
              <w:t xml:space="preserve">cigarettes </w:t>
            </w:r>
            <w:r w:rsidRPr="007A7BB1">
              <w:rPr>
                <w:rFonts w:ascii="Calibri" w:hAnsi="Calibri" w:cs="Calibri"/>
                <w:color w:val="000000"/>
                <w:szCs w:val="20"/>
              </w:rPr>
              <w:t xml:space="preserve">(p = </w:t>
            </w:r>
            <w:r>
              <w:rPr>
                <w:rFonts w:ascii="Calibri" w:hAnsi="Calibri" w:cs="Calibri"/>
                <w:color w:val="000000"/>
                <w:szCs w:val="20"/>
              </w:rPr>
              <w:t>0</w:t>
            </w:r>
            <w:r w:rsidRPr="007A7BB1">
              <w:rPr>
                <w:rFonts w:ascii="Calibri" w:hAnsi="Calibri" w:cs="Calibri"/>
                <w:color w:val="000000"/>
                <w:szCs w:val="20"/>
              </w:rPr>
              <w:t xml:space="preserve">.01 and p = </w:t>
            </w:r>
            <w:r>
              <w:rPr>
                <w:rFonts w:ascii="Calibri" w:hAnsi="Calibri" w:cs="Calibri"/>
                <w:color w:val="000000"/>
                <w:szCs w:val="20"/>
              </w:rPr>
              <w:t>0</w:t>
            </w:r>
            <w:r w:rsidRPr="007A7BB1">
              <w:rPr>
                <w:rFonts w:ascii="Calibri" w:hAnsi="Calibri" w:cs="Calibri"/>
                <w:color w:val="000000"/>
                <w:szCs w:val="20"/>
              </w:rPr>
              <w:t xml:space="preserve">.03, respectively). </w:t>
            </w:r>
          </w:p>
          <w:p w14:paraId="55BF57B3" w14:textId="77777777" w:rsidR="00B80B9A" w:rsidRPr="007A7BB1" w:rsidRDefault="00B80B9A" w:rsidP="00B80B9A">
            <w:pPr>
              <w:numPr>
                <w:ilvl w:val="2"/>
                <w:numId w:val="91"/>
              </w:numPr>
              <w:ind w:left="1077"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7A7BB1">
              <w:rPr>
                <w:rFonts w:ascii="Calibri" w:hAnsi="Calibri" w:cs="Calibri"/>
                <w:color w:val="000000"/>
                <w:szCs w:val="20"/>
              </w:rPr>
              <w:lastRenderedPageBreak/>
              <w:t xml:space="preserve">In the </w:t>
            </w:r>
            <w:r>
              <w:rPr>
                <w:rFonts w:ascii="Calibri" w:hAnsi="Calibri" w:cs="Calibri"/>
                <w:color w:val="000000"/>
                <w:szCs w:val="20"/>
              </w:rPr>
              <w:t xml:space="preserve">cannabis versus USD </w:t>
            </w:r>
            <w:r w:rsidRPr="007A7BB1">
              <w:rPr>
                <w:rFonts w:ascii="Calibri" w:hAnsi="Calibri" w:cs="Calibri"/>
                <w:color w:val="000000"/>
                <w:szCs w:val="20"/>
              </w:rPr>
              <w:t xml:space="preserve">2.00 </w:t>
            </w:r>
            <w:r>
              <w:rPr>
                <w:rFonts w:ascii="Calibri" w:hAnsi="Calibri" w:cs="Calibri"/>
                <w:color w:val="000000"/>
                <w:szCs w:val="20"/>
              </w:rPr>
              <w:t xml:space="preserve">choice </w:t>
            </w:r>
            <w:r w:rsidRPr="007A7BB1">
              <w:rPr>
                <w:rFonts w:ascii="Calibri" w:hAnsi="Calibri" w:cs="Calibri"/>
                <w:color w:val="000000"/>
                <w:szCs w:val="20"/>
              </w:rPr>
              <w:t xml:space="preserve">condition, low-dose but not high-dose dronabinol maintenance significantly reduced </w:t>
            </w:r>
            <w:r>
              <w:rPr>
                <w:rFonts w:ascii="Calibri" w:hAnsi="Calibri" w:cs="Calibri"/>
                <w:color w:val="000000"/>
                <w:szCs w:val="20"/>
              </w:rPr>
              <w:t>self-administration of active (</w:t>
            </w:r>
            <w:r w:rsidRPr="007A7BB1">
              <w:rPr>
                <w:rFonts w:ascii="Calibri" w:hAnsi="Calibri" w:cs="Calibri"/>
                <w:color w:val="000000"/>
                <w:szCs w:val="20"/>
              </w:rPr>
              <w:t>5.7% THC</w:t>
            </w:r>
            <w:r>
              <w:rPr>
                <w:rFonts w:ascii="Calibri" w:hAnsi="Calibri" w:cs="Calibri"/>
                <w:color w:val="000000"/>
                <w:szCs w:val="20"/>
              </w:rPr>
              <w:t>)</w:t>
            </w:r>
            <w:r w:rsidRPr="007A7BB1">
              <w:rPr>
                <w:rFonts w:ascii="Calibri" w:hAnsi="Calibri" w:cs="Calibri"/>
                <w:color w:val="000000"/>
                <w:szCs w:val="20"/>
              </w:rPr>
              <w:t xml:space="preserve"> cannabis</w:t>
            </w:r>
            <w:r>
              <w:rPr>
                <w:rFonts w:ascii="Calibri" w:hAnsi="Calibri" w:cs="Calibri"/>
                <w:color w:val="000000"/>
                <w:szCs w:val="20"/>
              </w:rPr>
              <w:t xml:space="preserve"> cigarettes (</w:t>
            </w:r>
            <w:r w:rsidRPr="007A7BB1">
              <w:rPr>
                <w:rFonts w:ascii="Calibri" w:hAnsi="Calibri" w:cs="Calibri"/>
                <w:color w:val="000000"/>
                <w:szCs w:val="20"/>
              </w:rPr>
              <w:t xml:space="preserve">p = </w:t>
            </w:r>
            <w:r>
              <w:rPr>
                <w:rFonts w:ascii="Calibri" w:hAnsi="Calibri" w:cs="Calibri"/>
                <w:color w:val="000000"/>
                <w:szCs w:val="20"/>
              </w:rPr>
              <w:t>0</w:t>
            </w:r>
            <w:r w:rsidRPr="007A7BB1">
              <w:rPr>
                <w:rFonts w:ascii="Calibri" w:hAnsi="Calibri" w:cs="Calibri"/>
                <w:color w:val="000000"/>
                <w:szCs w:val="20"/>
              </w:rPr>
              <w:t>.03</w:t>
            </w:r>
            <w:r>
              <w:rPr>
                <w:rFonts w:ascii="Calibri" w:hAnsi="Calibri" w:cs="Calibri"/>
                <w:color w:val="000000"/>
                <w:szCs w:val="20"/>
              </w:rPr>
              <w:t xml:space="preserve"> and p = 0.23, respectively)</w:t>
            </w:r>
            <w:r w:rsidRPr="007A7BB1">
              <w:rPr>
                <w:rFonts w:ascii="Calibri" w:hAnsi="Calibri" w:cs="Calibri"/>
                <w:color w:val="000000"/>
                <w:szCs w:val="20"/>
              </w:rPr>
              <w:t xml:space="preserve">. </w:t>
            </w:r>
          </w:p>
          <w:p w14:paraId="289461C9" w14:textId="77777777" w:rsidR="00B80B9A" w:rsidRPr="00FA43D4" w:rsidRDefault="00B80B9A" w:rsidP="00B80B9A">
            <w:pPr>
              <w:numPr>
                <w:ilvl w:val="1"/>
                <w:numId w:val="91"/>
              </w:numPr>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FA43D4">
              <w:rPr>
                <w:rFonts w:ascii="Calibri" w:hAnsi="Calibri" w:cs="Calibri"/>
                <w:color w:val="000000"/>
                <w:szCs w:val="20"/>
              </w:rPr>
              <w:t xml:space="preserve">There were no differences between low-dose and high-dose dronabinol maintenance on </w:t>
            </w:r>
            <w:r>
              <w:rPr>
                <w:rFonts w:ascii="Calibri" w:hAnsi="Calibri" w:cs="Calibri"/>
                <w:color w:val="000000"/>
                <w:szCs w:val="20"/>
              </w:rPr>
              <w:t>self-administration of active (</w:t>
            </w:r>
            <w:r w:rsidRPr="00FA43D4">
              <w:rPr>
                <w:rFonts w:ascii="Calibri" w:hAnsi="Calibri" w:cs="Calibri"/>
                <w:color w:val="000000"/>
                <w:szCs w:val="20"/>
              </w:rPr>
              <w:t>5.7% THC</w:t>
            </w:r>
            <w:r>
              <w:rPr>
                <w:rFonts w:ascii="Calibri" w:hAnsi="Calibri" w:cs="Calibri"/>
                <w:color w:val="000000"/>
                <w:szCs w:val="20"/>
              </w:rPr>
              <w:t>)</w:t>
            </w:r>
            <w:r w:rsidRPr="00FA43D4">
              <w:rPr>
                <w:rFonts w:ascii="Calibri" w:hAnsi="Calibri" w:cs="Calibri"/>
                <w:color w:val="000000"/>
                <w:szCs w:val="20"/>
              </w:rPr>
              <w:t xml:space="preserve"> cannabis </w:t>
            </w:r>
            <w:r>
              <w:rPr>
                <w:rFonts w:ascii="Calibri" w:hAnsi="Calibri" w:cs="Calibri"/>
                <w:color w:val="000000"/>
                <w:szCs w:val="20"/>
              </w:rPr>
              <w:t>cigarettes a</w:t>
            </w:r>
            <w:r w:rsidRPr="00FA43D4">
              <w:rPr>
                <w:rFonts w:ascii="Calibri" w:hAnsi="Calibri" w:cs="Calibri"/>
                <w:color w:val="000000"/>
                <w:szCs w:val="20"/>
              </w:rPr>
              <w:t>t any monetary value in the forced-choice</w:t>
            </w:r>
            <w:r>
              <w:rPr>
                <w:rFonts w:ascii="Calibri" w:hAnsi="Calibri" w:cs="Calibri"/>
                <w:color w:val="000000"/>
                <w:szCs w:val="20"/>
              </w:rPr>
              <w:t xml:space="preserve"> access conditions</w:t>
            </w:r>
            <w:r w:rsidRPr="00FA43D4">
              <w:rPr>
                <w:rFonts w:ascii="Calibri" w:hAnsi="Calibri" w:cs="Calibri"/>
                <w:color w:val="000000"/>
                <w:szCs w:val="20"/>
              </w:rPr>
              <w:t xml:space="preserve"> (all p</w:t>
            </w:r>
            <w:r>
              <w:rPr>
                <w:rFonts w:ascii="Calibri" w:hAnsi="Calibri" w:cs="Calibri"/>
                <w:color w:val="000000"/>
                <w:szCs w:val="20"/>
              </w:rPr>
              <w:t>’</w:t>
            </w:r>
            <w:r w:rsidRPr="00FA43D4">
              <w:rPr>
                <w:rFonts w:ascii="Calibri" w:hAnsi="Calibri" w:cs="Calibri"/>
                <w:color w:val="000000"/>
                <w:szCs w:val="20"/>
              </w:rPr>
              <w:t xml:space="preserve">s &gt; </w:t>
            </w:r>
            <w:r>
              <w:rPr>
                <w:rFonts w:ascii="Calibri" w:hAnsi="Calibri" w:cs="Calibri"/>
                <w:color w:val="000000"/>
                <w:szCs w:val="20"/>
              </w:rPr>
              <w:t>0</w:t>
            </w:r>
            <w:r w:rsidRPr="00FA43D4">
              <w:rPr>
                <w:rFonts w:ascii="Calibri" w:hAnsi="Calibri" w:cs="Calibri"/>
                <w:color w:val="000000"/>
                <w:szCs w:val="20"/>
              </w:rPr>
              <w:t>.25).</w:t>
            </w:r>
          </w:p>
        </w:tc>
      </w:tr>
      <w:tr w:rsidR="00B80B9A" w:rsidRPr="002F020F" w14:paraId="0DAF48E9"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D531D2A" w14:textId="77777777" w:rsidR="00B80B9A" w:rsidRPr="002F020F" w:rsidRDefault="00B80B9A" w:rsidP="004361E5">
            <w:r w:rsidRPr="002F020F">
              <w:lastRenderedPageBreak/>
              <w:t>Safety and Adverse Events</w:t>
            </w:r>
          </w:p>
        </w:tc>
        <w:tc>
          <w:tcPr>
            <w:tcW w:w="3884" w:type="pct"/>
          </w:tcPr>
          <w:p w14:paraId="1892875D" w14:textId="77777777" w:rsidR="00B80B9A" w:rsidRDefault="00B80B9A" w:rsidP="00B80B9A">
            <w:pPr>
              <w:pStyle w:val="ListParagraph"/>
              <w:numPr>
                <w:ilvl w:val="0"/>
                <w:numId w:val="92"/>
              </w:numPr>
              <w:spacing w:after="12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9B587A">
              <w:rPr>
                <w:rFonts w:ascii="Calibri" w:hAnsi="Calibri" w:cs="Calibri"/>
                <w:color w:val="000000"/>
                <w:szCs w:val="20"/>
              </w:rPr>
              <w:t>Self-administration of placebo (&lt; 1% THC) cannabis cigarettes:</w:t>
            </w:r>
          </w:p>
          <w:p w14:paraId="485FA99D" w14:textId="77777777" w:rsidR="00B80B9A" w:rsidRDefault="00B80B9A" w:rsidP="00B80B9A">
            <w:pPr>
              <w:pStyle w:val="ListParagraph"/>
              <w:numPr>
                <w:ilvl w:val="0"/>
                <w:numId w:val="105"/>
              </w:numPr>
              <w:spacing w:after="120" w:line="259" w:lineRule="auto"/>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9B587A">
              <w:rPr>
                <w:rFonts w:ascii="Calibri" w:hAnsi="Calibri" w:cs="Calibri"/>
                <w:color w:val="000000"/>
                <w:szCs w:val="20"/>
              </w:rPr>
              <w:t xml:space="preserve">Low-dose dronabinol significantly reduced both systolic and diastolic blood pressure (BP) compared with placebo but did not affect heart rate. </w:t>
            </w:r>
          </w:p>
          <w:p w14:paraId="18FADA08" w14:textId="77777777" w:rsidR="00B80B9A" w:rsidRDefault="00B80B9A" w:rsidP="00B80B9A">
            <w:pPr>
              <w:pStyle w:val="ListParagraph"/>
              <w:numPr>
                <w:ilvl w:val="0"/>
                <w:numId w:val="105"/>
              </w:numPr>
              <w:spacing w:after="120" w:line="259" w:lineRule="auto"/>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H</w:t>
            </w:r>
            <w:r w:rsidRPr="00F86536">
              <w:rPr>
                <w:rFonts w:ascii="Calibri" w:hAnsi="Calibri" w:cs="Calibri"/>
                <w:color w:val="000000"/>
                <w:szCs w:val="20"/>
              </w:rPr>
              <w:t>igh-dose dronabinol significantly reduced systolic and diastolic blood pressure and increased heart rate</w:t>
            </w:r>
            <w:r>
              <w:rPr>
                <w:rFonts w:ascii="Calibri" w:hAnsi="Calibri" w:cs="Calibri"/>
                <w:color w:val="000000"/>
                <w:szCs w:val="20"/>
              </w:rPr>
              <w:t xml:space="preserve"> (statistically but not clinically significant)</w:t>
            </w:r>
            <w:r w:rsidRPr="00F86536">
              <w:rPr>
                <w:rFonts w:ascii="Calibri" w:hAnsi="Calibri" w:cs="Calibri"/>
                <w:color w:val="000000"/>
                <w:szCs w:val="20"/>
              </w:rPr>
              <w:t xml:space="preserve">. </w:t>
            </w:r>
          </w:p>
          <w:p w14:paraId="6A8B3142" w14:textId="77777777" w:rsidR="00B80B9A" w:rsidRPr="001D0F36" w:rsidRDefault="00B80B9A" w:rsidP="00B80B9A">
            <w:pPr>
              <w:pStyle w:val="ListParagraph"/>
              <w:numPr>
                <w:ilvl w:val="0"/>
                <w:numId w:val="105"/>
              </w:numPr>
              <w:spacing w:after="120" w:line="259" w:lineRule="auto"/>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1D0F36">
              <w:rPr>
                <w:rFonts w:ascii="Calibri" w:hAnsi="Calibri" w:cs="Calibri"/>
                <w:color w:val="000000"/>
                <w:szCs w:val="20"/>
              </w:rPr>
              <w:t>No significant differences in blood pressure or heart rate were observed between the low-dose and high-dose dronabinol conditions</w:t>
            </w:r>
            <w:r>
              <w:rPr>
                <w:rFonts w:ascii="Calibri" w:hAnsi="Calibri" w:cs="Calibri"/>
                <w:color w:val="000000"/>
                <w:szCs w:val="20"/>
              </w:rPr>
              <w:t>.</w:t>
            </w:r>
          </w:p>
          <w:p w14:paraId="78ED8E56" w14:textId="77777777" w:rsidR="00B80B9A" w:rsidRPr="00E528E3" w:rsidRDefault="00B80B9A" w:rsidP="00B80B9A">
            <w:pPr>
              <w:pStyle w:val="ListParagraph"/>
              <w:numPr>
                <w:ilvl w:val="0"/>
                <w:numId w:val="92"/>
              </w:numPr>
              <w:spacing w:after="12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E528E3">
              <w:rPr>
                <w:rFonts w:ascii="Calibri" w:hAnsi="Calibri" w:cs="Calibri"/>
                <w:color w:val="000000"/>
                <w:szCs w:val="20"/>
              </w:rPr>
              <w:t>Self-administration of active (5.7% THC) cannabis cigarettes</w:t>
            </w:r>
            <w:r>
              <w:rPr>
                <w:rFonts w:ascii="Calibri" w:hAnsi="Calibri" w:cs="Calibri"/>
                <w:color w:val="000000"/>
                <w:szCs w:val="20"/>
              </w:rPr>
              <w:t>:</w:t>
            </w:r>
          </w:p>
          <w:p w14:paraId="4C7A5F85" w14:textId="77777777" w:rsidR="00B80B9A" w:rsidRPr="000D0361" w:rsidRDefault="00B80B9A" w:rsidP="00B80B9A">
            <w:pPr>
              <w:pStyle w:val="ListParagraph"/>
              <w:numPr>
                <w:ilvl w:val="1"/>
                <w:numId w:val="92"/>
              </w:numPr>
              <w:spacing w:after="120" w:line="259" w:lineRule="auto"/>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E528E3">
              <w:rPr>
                <w:rFonts w:ascii="Calibri" w:hAnsi="Calibri" w:cs="Calibri"/>
                <w:color w:val="000000"/>
                <w:szCs w:val="20"/>
              </w:rPr>
              <w:t>Findings not reported.</w:t>
            </w:r>
          </w:p>
        </w:tc>
      </w:tr>
    </w:tbl>
    <w:p w14:paraId="188CD316" w14:textId="77777777" w:rsidR="00B80B9A" w:rsidRDefault="00B80B9A" w:rsidP="00B80B9A"/>
    <w:p w14:paraId="6D8AAE8F" w14:textId="77777777" w:rsidR="00B80B9A" w:rsidRDefault="00B80B9A" w:rsidP="00B80B9A">
      <w:pPr>
        <w:pStyle w:val="ListParagraph"/>
        <w:keepNext/>
        <w:keepLines/>
        <w:numPr>
          <w:ilvl w:val="0"/>
          <w:numId w:val="28"/>
        </w:numPr>
        <w:spacing w:before="40" w:after="40"/>
        <w:outlineLvl w:val="1"/>
        <w:rPr>
          <w:rFonts w:ascii="Calibri Light" w:eastAsia="Times New Roman" w:hAnsi="Calibri Light" w:cs="Times New Roman"/>
          <w:color w:val="2E74B5"/>
          <w:sz w:val="26"/>
          <w:szCs w:val="26"/>
        </w:rPr>
      </w:pPr>
      <w:bookmarkStart w:id="321" w:name="_Toc165018243"/>
      <w:r>
        <w:rPr>
          <w:rFonts w:ascii="Calibri Light" w:eastAsia="Times New Roman" w:hAnsi="Calibri Light" w:cs="Times New Roman"/>
          <w:color w:val="2E74B5"/>
          <w:sz w:val="26"/>
          <w:szCs w:val="26"/>
        </w:rPr>
        <w:t>Natural Cannabidiol (CBD) for Heroin U</w:t>
      </w:r>
      <w:r w:rsidRPr="00187FE8">
        <w:rPr>
          <w:rFonts w:ascii="Calibri Light" w:eastAsia="Times New Roman" w:hAnsi="Calibri Light" w:cs="Times New Roman"/>
          <w:color w:val="2E74B5"/>
          <w:sz w:val="26"/>
          <w:szCs w:val="26"/>
        </w:rPr>
        <w:t xml:space="preserve">se Disorder: </w:t>
      </w:r>
      <w:r>
        <w:rPr>
          <w:rFonts w:ascii="Calibri Light" w:eastAsia="Times New Roman" w:hAnsi="Calibri Light" w:cs="Times New Roman"/>
          <w:color w:val="2E74B5"/>
          <w:sz w:val="26"/>
          <w:szCs w:val="26"/>
        </w:rPr>
        <w:t>Standalone</w:t>
      </w:r>
      <w:r w:rsidRPr="00187FE8">
        <w:rPr>
          <w:rFonts w:ascii="Calibri Light" w:eastAsia="Times New Roman" w:hAnsi="Calibri Light" w:cs="Times New Roman"/>
          <w:color w:val="2E74B5"/>
          <w:sz w:val="26"/>
          <w:szCs w:val="26"/>
        </w:rPr>
        <w:t xml:space="preserve"> intervention</w:t>
      </w:r>
      <w:bookmarkEnd w:id="321"/>
    </w:p>
    <w:tbl>
      <w:tblPr>
        <w:tblStyle w:val="GridTable5Dark-Accent5"/>
        <w:tblW w:w="5000" w:type="pct"/>
        <w:tblLook w:val="04A0" w:firstRow="1" w:lastRow="0" w:firstColumn="1" w:lastColumn="0" w:noHBand="0" w:noVBand="1"/>
      </w:tblPr>
      <w:tblGrid>
        <w:gridCol w:w="2012"/>
        <w:gridCol w:w="7004"/>
      </w:tblGrid>
      <w:tr w:rsidR="00B80B9A" w:rsidRPr="002F020F" w14:paraId="050FD1AA" w14:textId="77777777" w:rsidTr="004F2F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7C578D4C" w14:textId="77777777" w:rsidR="00B80B9A" w:rsidRPr="002F020F" w:rsidRDefault="00B80B9A" w:rsidP="004361E5">
            <w:pPr>
              <w:contextualSpacing/>
            </w:pPr>
            <w:r w:rsidRPr="002F020F">
              <w:t>Citation</w:t>
            </w:r>
          </w:p>
        </w:tc>
        <w:tc>
          <w:tcPr>
            <w:tcW w:w="3884" w:type="pct"/>
          </w:tcPr>
          <w:p w14:paraId="45D4856F" w14:textId="77777777" w:rsidR="00B80B9A" w:rsidRPr="00CF1E74" w:rsidRDefault="00B80B9A" w:rsidP="004361E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rPr>
            </w:pPr>
            <w:r w:rsidRPr="00CF1E74">
              <w:rPr>
                <w:rFonts w:cstheme="minorHAnsi"/>
                <w:szCs w:val="20"/>
              </w:rPr>
              <w:t>Hurd et al. (2019)</w:t>
            </w:r>
          </w:p>
        </w:tc>
      </w:tr>
      <w:tr w:rsidR="00B80B9A" w:rsidRPr="002F020F" w14:paraId="1F45D997"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4AEB0E2B" w14:textId="77777777" w:rsidR="00B80B9A" w:rsidRPr="002F020F" w:rsidRDefault="00B80B9A" w:rsidP="004361E5">
            <w:pPr>
              <w:contextualSpacing/>
            </w:pPr>
            <w:r w:rsidRPr="002F020F">
              <w:t>Study Design</w:t>
            </w:r>
          </w:p>
        </w:tc>
        <w:tc>
          <w:tcPr>
            <w:tcW w:w="3884" w:type="pct"/>
          </w:tcPr>
          <w:p w14:paraId="368B764B" w14:textId="77777777" w:rsidR="00B80B9A" w:rsidRPr="002F020F" w:rsidRDefault="00B80B9A" w:rsidP="00B80B9A">
            <w:pPr>
              <w:pStyle w:val="ListParagraph"/>
              <w:numPr>
                <w:ilvl w:val="0"/>
                <w:numId w:val="9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Pr>
                <w:rFonts w:cstheme="minorHAnsi"/>
                <w:szCs w:val="20"/>
              </w:rPr>
              <w:t>Double-blind, r</w:t>
            </w:r>
            <w:r w:rsidRPr="003F7EA6">
              <w:rPr>
                <w:rFonts w:cstheme="minorHAnsi"/>
                <w:szCs w:val="20"/>
              </w:rPr>
              <w:t>andomi</w:t>
            </w:r>
            <w:r>
              <w:rPr>
                <w:rFonts w:cstheme="minorHAnsi"/>
                <w:szCs w:val="20"/>
              </w:rPr>
              <w:t>s</w:t>
            </w:r>
            <w:r w:rsidRPr="003F7EA6">
              <w:rPr>
                <w:rFonts w:cstheme="minorHAnsi"/>
                <w:szCs w:val="20"/>
              </w:rPr>
              <w:t>ed,</w:t>
            </w:r>
            <w:r>
              <w:rPr>
                <w:rFonts w:cstheme="minorHAnsi"/>
                <w:szCs w:val="20"/>
              </w:rPr>
              <w:t xml:space="preserve"> placebo-controlled, trial.</w:t>
            </w:r>
          </w:p>
        </w:tc>
      </w:tr>
      <w:tr w:rsidR="00B80B9A" w:rsidRPr="002F020F" w14:paraId="117617B6"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55B92E20" w14:textId="77777777" w:rsidR="00B80B9A" w:rsidRPr="002F020F" w:rsidRDefault="00B80B9A" w:rsidP="004361E5">
            <w:pPr>
              <w:contextualSpacing/>
            </w:pPr>
            <w:r w:rsidRPr="002F020F">
              <w:t>Sample Size</w:t>
            </w:r>
          </w:p>
        </w:tc>
        <w:tc>
          <w:tcPr>
            <w:tcW w:w="3884" w:type="pct"/>
          </w:tcPr>
          <w:p w14:paraId="3C2B6B46" w14:textId="77777777" w:rsidR="00B80B9A"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Pr>
                <w:szCs w:val="20"/>
              </w:rPr>
              <w:t>42 participants (per-protocol sample).</w:t>
            </w:r>
          </w:p>
          <w:p w14:paraId="68BF3A9D" w14:textId="77777777" w:rsidR="00B80B9A" w:rsidRPr="00CF1E74"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sidRPr="00CF1E74">
              <w:rPr>
                <w:rFonts w:cstheme="minorHAnsi"/>
                <w:color w:val="000000"/>
                <w:szCs w:val="20"/>
              </w:rPr>
              <w:t>50 participants enrolled</w:t>
            </w:r>
            <w:r>
              <w:rPr>
                <w:rFonts w:cstheme="minorHAnsi"/>
                <w:color w:val="000000"/>
                <w:szCs w:val="20"/>
              </w:rPr>
              <w:t>.</w:t>
            </w:r>
          </w:p>
          <w:p w14:paraId="0B387F3E" w14:textId="77777777" w:rsidR="00B80B9A" w:rsidRPr="004E747B"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sidRPr="00CF1E74">
              <w:rPr>
                <w:rFonts w:cstheme="minorHAnsi"/>
                <w:color w:val="000000"/>
                <w:szCs w:val="20"/>
              </w:rPr>
              <w:t xml:space="preserve">8 participants </w:t>
            </w:r>
            <w:r>
              <w:rPr>
                <w:rFonts w:cstheme="minorHAnsi"/>
                <w:color w:val="000000"/>
                <w:szCs w:val="20"/>
              </w:rPr>
              <w:t xml:space="preserve">were </w:t>
            </w:r>
            <w:r w:rsidRPr="00CF1E74">
              <w:rPr>
                <w:rFonts w:cstheme="minorHAnsi"/>
                <w:color w:val="000000"/>
                <w:szCs w:val="20"/>
              </w:rPr>
              <w:t xml:space="preserve">excluded from analyses </w:t>
            </w:r>
            <w:r>
              <w:rPr>
                <w:rFonts w:cstheme="minorHAnsi"/>
                <w:color w:val="000000"/>
                <w:szCs w:val="20"/>
              </w:rPr>
              <w:t xml:space="preserve">following randomisation </w:t>
            </w:r>
            <w:r w:rsidRPr="00CF1E74">
              <w:rPr>
                <w:rFonts w:cstheme="minorHAnsi"/>
                <w:color w:val="000000"/>
                <w:szCs w:val="20"/>
              </w:rPr>
              <w:t>for various reasons</w:t>
            </w:r>
            <w:r>
              <w:rPr>
                <w:rFonts w:cstheme="minorHAnsi"/>
                <w:color w:val="000000"/>
                <w:szCs w:val="20"/>
              </w:rPr>
              <w:t xml:space="preserve"> (</w:t>
            </w:r>
            <w:r w:rsidRPr="00CF1E74">
              <w:rPr>
                <w:rFonts w:cstheme="minorHAnsi"/>
                <w:color w:val="000000"/>
                <w:szCs w:val="20"/>
              </w:rPr>
              <w:t>not reported by study condition</w:t>
            </w:r>
            <w:r>
              <w:rPr>
                <w:rFonts w:cstheme="minorHAnsi"/>
                <w:color w:val="000000"/>
                <w:szCs w:val="20"/>
              </w:rPr>
              <w:t xml:space="preserve">): </w:t>
            </w:r>
            <w:r w:rsidRPr="007C59A9">
              <w:rPr>
                <w:rFonts w:cstheme="minorHAnsi"/>
                <w:color w:val="000000"/>
                <w:szCs w:val="20"/>
              </w:rPr>
              <w:t>voluntary withdrawal (2); health measures unrelated to study drug (2); positive toxicology result in session where a test drug would be administered (1); weather precluded receiving daily test drug (1); and los</w:t>
            </w:r>
            <w:r>
              <w:rPr>
                <w:rFonts w:cstheme="minorHAnsi"/>
                <w:color w:val="000000"/>
                <w:szCs w:val="20"/>
              </w:rPr>
              <w:t>t</w:t>
            </w:r>
            <w:r w:rsidRPr="007C59A9">
              <w:rPr>
                <w:rFonts w:cstheme="minorHAnsi"/>
                <w:color w:val="000000"/>
                <w:szCs w:val="20"/>
              </w:rPr>
              <w:t xml:space="preserve"> to follow-up (2).</w:t>
            </w:r>
            <w:r>
              <w:rPr>
                <w:rFonts w:cstheme="minorHAnsi"/>
                <w:color w:val="000000"/>
                <w:szCs w:val="20"/>
              </w:rPr>
              <w:t xml:space="preserve"> Baseline characteristics were not reported for excluded participants.</w:t>
            </w:r>
          </w:p>
        </w:tc>
      </w:tr>
      <w:tr w:rsidR="00B80B9A" w:rsidRPr="002F020F" w14:paraId="6B254783"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A785EB4" w14:textId="77777777" w:rsidR="00B80B9A" w:rsidRPr="0094024F" w:rsidRDefault="00B80B9A" w:rsidP="004361E5">
            <w:pPr>
              <w:contextualSpacing/>
              <w:rPr>
                <w:b w:val="0"/>
                <w:bCs w:val="0"/>
              </w:rPr>
            </w:pPr>
            <w:r w:rsidRPr="002F020F">
              <w:t>Population</w:t>
            </w:r>
          </w:p>
        </w:tc>
        <w:tc>
          <w:tcPr>
            <w:tcW w:w="3884" w:type="pct"/>
          </w:tcPr>
          <w:p w14:paraId="76D62B6E" w14:textId="77777777" w:rsidR="00B80B9A" w:rsidRPr="007C59A9" w:rsidRDefault="00B80B9A" w:rsidP="00B80B9A">
            <w:pPr>
              <w:pStyle w:val="ListParagraph"/>
              <w:numPr>
                <w:ilvl w:val="0"/>
                <w:numId w:val="10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7C59A9">
              <w:rPr>
                <w:rFonts w:cstheme="minorHAnsi"/>
                <w:color w:val="000000"/>
                <w:szCs w:val="20"/>
              </w:rPr>
              <w:t>United States</w:t>
            </w:r>
            <w:r>
              <w:rPr>
                <w:rFonts w:cstheme="minorHAnsi"/>
                <w:color w:val="000000"/>
                <w:szCs w:val="20"/>
              </w:rPr>
              <w:t>.</w:t>
            </w:r>
          </w:p>
          <w:p w14:paraId="114D0789" w14:textId="77777777" w:rsidR="00B80B9A" w:rsidRPr="007C59A9" w:rsidRDefault="00B80B9A" w:rsidP="00B80B9A">
            <w:pPr>
              <w:pStyle w:val="ListParagraph"/>
              <w:numPr>
                <w:ilvl w:val="0"/>
                <w:numId w:val="10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7C59A9">
              <w:rPr>
                <w:rFonts w:cstheme="minorHAnsi"/>
                <w:color w:val="000000"/>
                <w:szCs w:val="20"/>
              </w:rPr>
              <w:t>Heroin Use Disorder (DSM-IV criteria); abstinence required for study participation.</w:t>
            </w:r>
          </w:p>
          <w:p w14:paraId="5326CDE3" w14:textId="77777777" w:rsidR="00B80B9A" w:rsidRPr="007C59A9" w:rsidRDefault="00B80B9A" w:rsidP="00B80B9A">
            <w:pPr>
              <w:pStyle w:val="ListParagraph"/>
              <w:numPr>
                <w:ilvl w:val="0"/>
                <w:numId w:val="10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7C59A9">
              <w:rPr>
                <w:rFonts w:cstheme="minorHAnsi"/>
                <w:color w:val="000000"/>
                <w:szCs w:val="20"/>
              </w:rPr>
              <w:t>I [400</w:t>
            </w:r>
            <w:r>
              <w:rPr>
                <w:rFonts w:cstheme="minorHAnsi"/>
                <w:color w:val="000000"/>
                <w:szCs w:val="20"/>
              </w:rPr>
              <w:t xml:space="preserve"> </w:t>
            </w:r>
            <w:r w:rsidRPr="007C59A9">
              <w:rPr>
                <w:rFonts w:cstheme="minorHAnsi"/>
                <w:color w:val="000000"/>
                <w:szCs w:val="20"/>
              </w:rPr>
              <w:t>mg</w:t>
            </w:r>
            <w:r>
              <w:rPr>
                <w:rFonts w:cstheme="minorHAnsi"/>
                <w:color w:val="000000"/>
                <w:szCs w:val="20"/>
              </w:rPr>
              <w:t xml:space="preserve"> CBD</w:t>
            </w:r>
            <w:r w:rsidRPr="007C59A9">
              <w:rPr>
                <w:rFonts w:cstheme="minorHAnsi"/>
                <w:color w:val="000000"/>
                <w:szCs w:val="20"/>
              </w:rPr>
              <w:t>]: 51.9 years (7.9); 86% male.</w:t>
            </w:r>
          </w:p>
          <w:p w14:paraId="12B5635F" w14:textId="77777777" w:rsidR="00B80B9A" w:rsidRPr="007C59A9" w:rsidRDefault="00B80B9A" w:rsidP="00B80B9A">
            <w:pPr>
              <w:pStyle w:val="ListParagraph"/>
              <w:numPr>
                <w:ilvl w:val="0"/>
                <w:numId w:val="10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7C59A9">
              <w:rPr>
                <w:rFonts w:cstheme="minorHAnsi"/>
                <w:color w:val="000000"/>
                <w:szCs w:val="20"/>
              </w:rPr>
              <w:t>I [800</w:t>
            </w:r>
            <w:r>
              <w:rPr>
                <w:rFonts w:cstheme="minorHAnsi"/>
                <w:color w:val="000000"/>
                <w:szCs w:val="20"/>
              </w:rPr>
              <w:t xml:space="preserve"> </w:t>
            </w:r>
            <w:r w:rsidRPr="007C59A9">
              <w:rPr>
                <w:rFonts w:cstheme="minorHAnsi"/>
                <w:color w:val="000000"/>
                <w:szCs w:val="20"/>
              </w:rPr>
              <w:t>mg</w:t>
            </w:r>
            <w:r>
              <w:rPr>
                <w:rFonts w:cstheme="minorHAnsi"/>
                <w:color w:val="000000"/>
                <w:szCs w:val="20"/>
              </w:rPr>
              <w:t xml:space="preserve"> CBD</w:t>
            </w:r>
            <w:r w:rsidRPr="007C59A9">
              <w:rPr>
                <w:rFonts w:cstheme="minorHAnsi"/>
                <w:color w:val="000000"/>
                <w:szCs w:val="20"/>
              </w:rPr>
              <w:t>]: 50.5 years (11.6); 85% male.</w:t>
            </w:r>
          </w:p>
          <w:p w14:paraId="53B1E82F" w14:textId="77777777" w:rsidR="00B80B9A" w:rsidRPr="002F020F" w:rsidRDefault="00B80B9A" w:rsidP="00B80B9A">
            <w:pPr>
              <w:pStyle w:val="ListParagraph"/>
              <w:numPr>
                <w:ilvl w:val="0"/>
                <w:numId w:val="103"/>
              </w:numPr>
              <w:spacing w:after="120"/>
              <w:cnfStyle w:val="000000100000" w:firstRow="0" w:lastRow="0" w:firstColumn="0" w:lastColumn="0" w:oddVBand="0" w:evenVBand="0" w:oddHBand="1" w:evenHBand="0" w:firstRowFirstColumn="0" w:firstRowLastColumn="0" w:lastRowFirstColumn="0" w:lastRowLastColumn="0"/>
            </w:pPr>
            <w:r>
              <w:rPr>
                <w:rFonts w:cstheme="minorHAnsi"/>
                <w:color w:val="000000"/>
                <w:szCs w:val="20"/>
              </w:rPr>
              <w:t xml:space="preserve">C [placebo]: </w:t>
            </w:r>
            <w:r w:rsidRPr="00D8790D">
              <w:rPr>
                <w:rFonts w:cstheme="minorHAnsi"/>
                <w:color w:val="000000"/>
                <w:szCs w:val="20"/>
              </w:rPr>
              <w:t>47.3 years (8.0); 80% male</w:t>
            </w:r>
            <w:r>
              <w:rPr>
                <w:rFonts w:cstheme="minorHAnsi"/>
                <w:color w:val="000000"/>
                <w:szCs w:val="20"/>
              </w:rPr>
              <w:t>.</w:t>
            </w:r>
          </w:p>
        </w:tc>
      </w:tr>
      <w:tr w:rsidR="00B80B9A" w:rsidRPr="002F020F" w14:paraId="6AFC2135"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103550C6" w14:textId="77777777" w:rsidR="00B80B9A" w:rsidRPr="002F020F" w:rsidRDefault="00B80B9A" w:rsidP="004361E5">
            <w:pPr>
              <w:spacing w:line="259" w:lineRule="auto"/>
              <w:contextualSpacing/>
              <w:rPr>
                <w:b w:val="0"/>
                <w:bCs w:val="0"/>
              </w:rPr>
            </w:pPr>
            <w:r w:rsidRPr="002F020F">
              <w:t xml:space="preserve">Intervention/s (I) and </w:t>
            </w:r>
          </w:p>
          <w:p w14:paraId="686869DC" w14:textId="77777777" w:rsidR="00B80B9A" w:rsidRPr="002F020F" w:rsidRDefault="00B80B9A" w:rsidP="004361E5">
            <w:pPr>
              <w:spacing w:line="259" w:lineRule="auto"/>
              <w:contextualSpacing/>
            </w:pPr>
            <w:r w:rsidRPr="002F020F">
              <w:t xml:space="preserve">Comparator/s (C) </w:t>
            </w:r>
          </w:p>
        </w:tc>
        <w:tc>
          <w:tcPr>
            <w:tcW w:w="3884" w:type="pct"/>
          </w:tcPr>
          <w:p w14:paraId="08B20407" w14:textId="77777777" w:rsidR="00B80B9A" w:rsidRDefault="00B80B9A" w:rsidP="00B80B9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Pr>
                <w:rFonts w:cstheme="minorHAnsi"/>
                <w:color w:val="000000"/>
                <w:szCs w:val="20"/>
              </w:rPr>
              <w:t xml:space="preserve">All participants received an oral solution. </w:t>
            </w:r>
          </w:p>
          <w:p w14:paraId="3051319F" w14:textId="77777777" w:rsidR="00B80B9A" w:rsidRPr="00CF1E74" w:rsidRDefault="00B80B9A" w:rsidP="00B80B9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CF1E74">
              <w:rPr>
                <w:rFonts w:cstheme="minorHAnsi"/>
                <w:color w:val="000000"/>
                <w:szCs w:val="20"/>
              </w:rPr>
              <w:t>I (n = 14): 400</w:t>
            </w:r>
            <w:r>
              <w:rPr>
                <w:rFonts w:cstheme="minorHAnsi"/>
                <w:color w:val="000000"/>
                <w:szCs w:val="20"/>
              </w:rPr>
              <w:t xml:space="preserve"> </w:t>
            </w:r>
            <w:r w:rsidRPr="00CF1E74">
              <w:rPr>
                <w:rFonts w:cstheme="minorHAnsi"/>
                <w:color w:val="000000"/>
                <w:szCs w:val="20"/>
              </w:rPr>
              <w:t>mg oral CBD</w:t>
            </w:r>
            <w:r>
              <w:rPr>
                <w:rFonts w:cstheme="minorHAnsi"/>
                <w:color w:val="000000"/>
                <w:szCs w:val="20"/>
              </w:rPr>
              <w:t xml:space="preserve"> (</w:t>
            </w:r>
            <w:r w:rsidRPr="005C0B72">
              <w:rPr>
                <w:i/>
                <w:iCs/>
              </w:rPr>
              <w:t>Epidiolex</w:t>
            </w:r>
            <w:r>
              <w:t xml:space="preserve"> natural cannabis extract: pure CBD)</w:t>
            </w:r>
            <w:r w:rsidRPr="00CF1E74">
              <w:rPr>
                <w:rFonts w:cstheme="minorHAnsi"/>
                <w:color w:val="000000"/>
                <w:szCs w:val="20"/>
              </w:rPr>
              <w:t xml:space="preserve">. </w:t>
            </w:r>
          </w:p>
          <w:p w14:paraId="35E979A1" w14:textId="77777777" w:rsidR="00B80B9A" w:rsidRPr="00CF1E74" w:rsidRDefault="00B80B9A" w:rsidP="00B80B9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CF1E74">
              <w:rPr>
                <w:rFonts w:cstheme="minorHAnsi"/>
                <w:color w:val="000000"/>
                <w:szCs w:val="20"/>
              </w:rPr>
              <w:t>I (n = 13): 800</w:t>
            </w:r>
            <w:r>
              <w:rPr>
                <w:rFonts w:cstheme="minorHAnsi"/>
                <w:color w:val="000000"/>
                <w:szCs w:val="20"/>
              </w:rPr>
              <w:t xml:space="preserve"> </w:t>
            </w:r>
            <w:r w:rsidRPr="00CF1E74">
              <w:rPr>
                <w:rFonts w:cstheme="minorHAnsi"/>
                <w:color w:val="000000"/>
                <w:szCs w:val="20"/>
              </w:rPr>
              <w:t>mg oral CBD</w:t>
            </w:r>
            <w:r>
              <w:rPr>
                <w:rFonts w:cstheme="minorHAnsi"/>
                <w:color w:val="000000"/>
                <w:szCs w:val="20"/>
              </w:rPr>
              <w:t xml:space="preserve"> (</w:t>
            </w:r>
            <w:r w:rsidRPr="005C0B72">
              <w:rPr>
                <w:i/>
                <w:iCs/>
              </w:rPr>
              <w:t>Epidiolex</w:t>
            </w:r>
            <w:r>
              <w:t xml:space="preserve"> natural cannabis extract: pure CBD)</w:t>
            </w:r>
            <w:r w:rsidRPr="00CF1E74">
              <w:rPr>
                <w:rFonts w:cstheme="minorHAnsi"/>
                <w:color w:val="000000"/>
                <w:szCs w:val="20"/>
              </w:rPr>
              <w:t>.</w:t>
            </w:r>
          </w:p>
          <w:p w14:paraId="58EBD94C" w14:textId="77777777" w:rsidR="00B80B9A" w:rsidRPr="002F020F" w:rsidRDefault="00B80B9A" w:rsidP="00B80B9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pPr>
            <w:r w:rsidRPr="00D8790D">
              <w:rPr>
                <w:rFonts w:cstheme="minorHAnsi"/>
                <w:color w:val="000000"/>
                <w:szCs w:val="20"/>
              </w:rPr>
              <w:t>C (n = 15): matched placebo (excipients alone)</w:t>
            </w:r>
            <w:r>
              <w:rPr>
                <w:rFonts w:cstheme="minorHAnsi"/>
                <w:color w:val="000000"/>
                <w:szCs w:val="20"/>
              </w:rPr>
              <w:t>.</w:t>
            </w:r>
          </w:p>
        </w:tc>
      </w:tr>
      <w:tr w:rsidR="00B80B9A" w:rsidRPr="002F020F" w14:paraId="3818ABFF"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592DDF8" w14:textId="77777777" w:rsidR="00B80B9A" w:rsidRPr="002F020F" w:rsidRDefault="00B80B9A" w:rsidP="004361E5">
            <w:pPr>
              <w:spacing w:line="259" w:lineRule="auto"/>
              <w:contextualSpacing/>
            </w:pPr>
            <w:r w:rsidRPr="002F020F">
              <w:t>Outcome Measure/s</w:t>
            </w:r>
          </w:p>
        </w:tc>
        <w:tc>
          <w:tcPr>
            <w:tcW w:w="3884" w:type="pct"/>
          </w:tcPr>
          <w:p w14:paraId="4E5A6CB4" w14:textId="77777777" w:rsidR="00B80B9A" w:rsidRPr="00ED7148" w:rsidRDefault="00B80B9A" w:rsidP="004361E5">
            <w:pPr>
              <w:spacing w:after="0"/>
              <w:contextualSpacing/>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D7148">
              <w:rPr>
                <w:rFonts w:cstheme="minorHAnsi"/>
                <w:color w:val="000000"/>
                <w:szCs w:val="20"/>
              </w:rPr>
              <w:t>Primary</w:t>
            </w:r>
            <w:r>
              <w:rPr>
                <w:rFonts w:cstheme="minorHAnsi"/>
                <w:color w:val="000000"/>
                <w:szCs w:val="20"/>
              </w:rPr>
              <w:t>:</w:t>
            </w:r>
          </w:p>
          <w:p w14:paraId="7E0907A9" w14:textId="77777777" w:rsidR="00B80B9A" w:rsidRPr="00E8169F" w:rsidRDefault="00B80B9A" w:rsidP="00B80B9A">
            <w:pPr>
              <w:pStyle w:val="ListParagraph"/>
              <w:numPr>
                <w:ilvl w:val="0"/>
                <w:numId w:val="104"/>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8169F">
              <w:rPr>
                <w:rFonts w:cstheme="minorHAnsi"/>
                <w:color w:val="000000"/>
                <w:szCs w:val="20"/>
              </w:rPr>
              <w:t xml:space="preserve">Visual </w:t>
            </w:r>
            <w:r>
              <w:rPr>
                <w:rFonts w:cstheme="minorHAnsi"/>
                <w:color w:val="000000"/>
                <w:szCs w:val="20"/>
              </w:rPr>
              <w:t>A</w:t>
            </w:r>
            <w:r w:rsidRPr="00E8169F">
              <w:rPr>
                <w:rFonts w:cstheme="minorHAnsi"/>
                <w:color w:val="000000"/>
                <w:szCs w:val="20"/>
              </w:rPr>
              <w:t xml:space="preserve">nalogue </w:t>
            </w:r>
            <w:r>
              <w:rPr>
                <w:rFonts w:cstheme="minorHAnsi"/>
                <w:color w:val="000000"/>
                <w:szCs w:val="20"/>
              </w:rPr>
              <w:t>Sc</w:t>
            </w:r>
            <w:r w:rsidRPr="00E8169F">
              <w:rPr>
                <w:rFonts w:cstheme="minorHAnsi"/>
                <w:color w:val="000000"/>
                <w:szCs w:val="20"/>
              </w:rPr>
              <w:t xml:space="preserve">ale </w:t>
            </w:r>
            <w:r>
              <w:rPr>
                <w:rFonts w:cstheme="minorHAnsi"/>
                <w:color w:val="000000"/>
                <w:szCs w:val="20"/>
              </w:rPr>
              <w:t>–</w:t>
            </w:r>
            <w:r w:rsidRPr="00E8169F">
              <w:rPr>
                <w:rFonts w:cstheme="minorHAnsi"/>
                <w:color w:val="000000"/>
                <w:szCs w:val="20"/>
              </w:rPr>
              <w:t xml:space="preserve"> </w:t>
            </w:r>
            <w:r>
              <w:rPr>
                <w:rFonts w:cstheme="minorHAnsi"/>
                <w:color w:val="000000"/>
                <w:szCs w:val="20"/>
              </w:rPr>
              <w:t>C</w:t>
            </w:r>
            <w:r w:rsidRPr="00E8169F">
              <w:rPr>
                <w:rFonts w:cstheme="minorHAnsi"/>
                <w:color w:val="000000"/>
                <w:szCs w:val="20"/>
              </w:rPr>
              <w:t>raving</w:t>
            </w:r>
            <w:r>
              <w:rPr>
                <w:rFonts w:cstheme="minorHAnsi"/>
                <w:color w:val="000000"/>
                <w:szCs w:val="20"/>
              </w:rPr>
              <w:t xml:space="preserve"> </w:t>
            </w:r>
            <w:r w:rsidRPr="00E8169F">
              <w:rPr>
                <w:rFonts w:cstheme="minorHAnsi"/>
                <w:color w:val="000000"/>
                <w:szCs w:val="20"/>
              </w:rPr>
              <w:t>(VAS-C)</w:t>
            </w:r>
            <w:r>
              <w:rPr>
                <w:rFonts w:cstheme="minorHAnsi"/>
                <w:color w:val="000000"/>
                <w:szCs w:val="20"/>
              </w:rPr>
              <w:t>.</w:t>
            </w:r>
          </w:p>
          <w:p w14:paraId="3B77C92B" w14:textId="77777777" w:rsidR="00B80B9A" w:rsidRPr="00E8169F" w:rsidRDefault="00B80B9A" w:rsidP="00B80B9A">
            <w:pPr>
              <w:pStyle w:val="ListParagraph"/>
              <w:numPr>
                <w:ilvl w:val="0"/>
                <w:numId w:val="104"/>
              </w:numPr>
              <w:ind w:left="357"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 xml:space="preserve">Visual Analogue Scale – Anxiety </w:t>
            </w:r>
            <w:r w:rsidRPr="00E8169F">
              <w:rPr>
                <w:rFonts w:cstheme="minorHAnsi"/>
                <w:color w:val="000000"/>
                <w:szCs w:val="20"/>
              </w:rPr>
              <w:t>(VAS-A)</w:t>
            </w:r>
            <w:r>
              <w:rPr>
                <w:rFonts w:cstheme="minorHAnsi"/>
                <w:color w:val="000000"/>
                <w:szCs w:val="20"/>
              </w:rPr>
              <w:t>.</w:t>
            </w:r>
          </w:p>
          <w:p w14:paraId="7D6D4A50" w14:textId="77777777" w:rsidR="00B80B9A" w:rsidRPr="00ED7148" w:rsidRDefault="00B80B9A" w:rsidP="004361E5">
            <w:pPr>
              <w:spacing w:after="0"/>
              <w:contextualSpacing/>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D7148">
              <w:rPr>
                <w:rFonts w:cstheme="minorHAnsi"/>
                <w:color w:val="000000"/>
                <w:szCs w:val="20"/>
              </w:rPr>
              <w:t>Secondary</w:t>
            </w:r>
            <w:r>
              <w:rPr>
                <w:rFonts w:cstheme="minorHAnsi"/>
                <w:color w:val="000000"/>
                <w:szCs w:val="20"/>
              </w:rPr>
              <w:t>:</w:t>
            </w:r>
            <w:r w:rsidRPr="00ED7148">
              <w:rPr>
                <w:rFonts w:cstheme="minorHAnsi"/>
                <w:color w:val="000000"/>
                <w:szCs w:val="20"/>
              </w:rPr>
              <w:t xml:space="preserve"> </w:t>
            </w:r>
          </w:p>
          <w:p w14:paraId="64C8DB24" w14:textId="77777777" w:rsidR="00B80B9A" w:rsidRPr="00E8169F" w:rsidRDefault="00B80B9A" w:rsidP="00B80B9A">
            <w:pPr>
              <w:pStyle w:val="ListParagraph"/>
              <w:numPr>
                <w:ilvl w:val="0"/>
                <w:numId w:val="104"/>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8169F">
              <w:rPr>
                <w:rFonts w:cstheme="minorHAnsi"/>
                <w:color w:val="000000"/>
                <w:szCs w:val="20"/>
              </w:rPr>
              <w:t>Heroin Craving Questionnaire</w:t>
            </w:r>
            <w:r>
              <w:rPr>
                <w:rFonts w:cstheme="minorHAnsi"/>
                <w:color w:val="000000"/>
                <w:szCs w:val="20"/>
              </w:rPr>
              <w:t xml:space="preserve"> (HCQ).</w:t>
            </w:r>
          </w:p>
          <w:p w14:paraId="088BEC7E" w14:textId="77777777" w:rsidR="00B80B9A" w:rsidRPr="00E8169F" w:rsidRDefault="00B80B9A" w:rsidP="00B80B9A">
            <w:pPr>
              <w:pStyle w:val="ListParagraph"/>
              <w:numPr>
                <w:ilvl w:val="0"/>
                <w:numId w:val="104"/>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8169F">
              <w:rPr>
                <w:rFonts w:cstheme="minorHAnsi"/>
                <w:color w:val="000000"/>
                <w:szCs w:val="20"/>
              </w:rPr>
              <w:t>Positive and Negative Affect Schedule</w:t>
            </w:r>
            <w:r>
              <w:rPr>
                <w:rFonts w:cstheme="minorHAnsi"/>
                <w:color w:val="000000"/>
                <w:szCs w:val="20"/>
              </w:rPr>
              <w:t xml:space="preserve"> (PANAS).</w:t>
            </w:r>
          </w:p>
          <w:p w14:paraId="7AFC4D46" w14:textId="77777777" w:rsidR="00B80B9A" w:rsidRPr="009A3AF4" w:rsidRDefault="00B80B9A" w:rsidP="00B80B9A">
            <w:pPr>
              <w:pStyle w:val="ListParagraph"/>
              <w:numPr>
                <w:ilvl w:val="0"/>
                <w:numId w:val="104"/>
              </w:numPr>
              <w:spacing w:after="120"/>
              <w:cnfStyle w:val="000000100000" w:firstRow="0" w:lastRow="0" w:firstColumn="0" w:lastColumn="0" w:oddVBand="0" w:evenVBand="0" w:oddHBand="1" w:evenHBand="0" w:firstRowFirstColumn="0" w:firstRowLastColumn="0" w:lastRowFirstColumn="0" w:lastRowLastColumn="0"/>
            </w:pPr>
            <w:r w:rsidRPr="00E8169F">
              <w:rPr>
                <w:rFonts w:cstheme="minorHAnsi"/>
                <w:color w:val="000000"/>
                <w:szCs w:val="20"/>
              </w:rPr>
              <w:t xml:space="preserve">Vital signs (skin temperature, blood pressure, heart rate, respiratory rate, oxygen saturation, </w:t>
            </w:r>
            <w:r>
              <w:rPr>
                <w:rFonts w:cstheme="minorHAnsi"/>
                <w:color w:val="000000"/>
                <w:szCs w:val="20"/>
              </w:rPr>
              <w:t xml:space="preserve">and </w:t>
            </w:r>
            <w:r w:rsidRPr="00E8169F">
              <w:rPr>
                <w:rFonts w:cstheme="minorHAnsi"/>
                <w:color w:val="000000"/>
                <w:szCs w:val="20"/>
              </w:rPr>
              <w:t>salivary cortisol levels)</w:t>
            </w:r>
            <w:r>
              <w:rPr>
                <w:rFonts w:cstheme="minorHAnsi"/>
                <w:color w:val="000000"/>
                <w:szCs w:val="20"/>
              </w:rPr>
              <w:t>.</w:t>
            </w:r>
          </w:p>
          <w:p w14:paraId="3C2D7CC7" w14:textId="77777777" w:rsidR="00B80B9A" w:rsidRPr="002F020F" w:rsidRDefault="00B80B9A" w:rsidP="00B80B9A">
            <w:pPr>
              <w:pStyle w:val="ListParagraph"/>
              <w:numPr>
                <w:ilvl w:val="0"/>
                <w:numId w:val="104"/>
              </w:numPr>
              <w:spacing w:after="120"/>
              <w:cnfStyle w:val="000000100000" w:firstRow="0" w:lastRow="0" w:firstColumn="0" w:lastColumn="0" w:oddVBand="0" w:evenVBand="0" w:oddHBand="1" w:evenHBand="0" w:firstRowFirstColumn="0" w:firstRowLastColumn="0" w:lastRowFirstColumn="0" w:lastRowLastColumn="0"/>
            </w:pPr>
            <w:r>
              <w:rPr>
                <w:rFonts w:cstheme="minorHAnsi"/>
                <w:color w:val="000000"/>
                <w:szCs w:val="20"/>
              </w:rPr>
              <w:lastRenderedPageBreak/>
              <w:t>Cognitive tasks (Session 3 only).</w:t>
            </w:r>
          </w:p>
        </w:tc>
      </w:tr>
      <w:tr w:rsidR="00B80B9A" w:rsidRPr="002F020F" w14:paraId="2C8D13FE"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258B16FA" w14:textId="77777777" w:rsidR="00B80B9A" w:rsidRPr="002F020F" w:rsidRDefault="00B80B9A" w:rsidP="004361E5">
            <w:pPr>
              <w:contextualSpacing/>
            </w:pPr>
            <w:r w:rsidRPr="002F020F">
              <w:lastRenderedPageBreak/>
              <w:t>General</w:t>
            </w:r>
          </w:p>
        </w:tc>
        <w:tc>
          <w:tcPr>
            <w:tcW w:w="3884" w:type="pct"/>
          </w:tcPr>
          <w:p w14:paraId="63FD3748" w14:textId="77777777" w:rsidR="00B80B9A" w:rsidRPr="00ED7148"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Pr>
                <w:rFonts w:ascii="Calibri" w:hAnsi="Calibri" w:cs="Calibri"/>
                <w:color w:val="000000"/>
                <w:szCs w:val="20"/>
              </w:rPr>
              <w:t xml:space="preserve">The study </w:t>
            </w:r>
            <w:r w:rsidRPr="009F570C">
              <w:rPr>
                <w:rFonts w:ascii="Calibri" w:hAnsi="Calibri" w:cs="Calibri"/>
                <w:color w:val="000000"/>
                <w:szCs w:val="20"/>
              </w:rPr>
              <w:t>focused on self-reported c</w:t>
            </w:r>
            <w:r>
              <w:rPr>
                <w:rFonts w:ascii="Calibri" w:hAnsi="Calibri" w:cs="Calibri"/>
                <w:color w:val="000000"/>
                <w:szCs w:val="20"/>
              </w:rPr>
              <w:t xml:space="preserve">raving in a laboratory setting </w:t>
            </w:r>
            <w:r w:rsidRPr="009F570C">
              <w:rPr>
                <w:rFonts w:ascii="Calibri" w:hAnsi="Calibri" w:cs="Calibri"/>
                <w:color w:val="000000"/>
                <w:szCs w:val="20"/>
              </w:rPr>
              <w:t>with no attempt to measure</w:t>
            </w:r>
            <w:r>
              <w:rPr>
                <w:rFonts w:ascii="Calibri" w:hAnsi="Calibri" w:cs="Calibri"/>
                <w:color w:val="000000"/>
                <w:szCs w:val="20"/>
              </w:rPr>
              <w:t xml:space="preserve"> actual</w:t>
            </w:r>
            <w:r w:rsidRPr="009F570C">
              <w:rPr>
                <w:rFonts w:ascii="Calibri" w:hAnsi="Calibri" w:cs="Calibri"/>
                <w:color w:val="000000"/>
                <w:szCs w:val="20"/>
              </w:rPr>
              <w:t xml:space="preserve"> opioid use</w:t>
            </w:r>
            <w:r>
              <w:rPr>
                <w:rFonts w:ascii="Calibri" w:hAnsi="Calibri" w:cs="Calibri"/>
                <w:color w:val="000000"/>
                <w:szCs w:val="20"/>
              </w:rPr>
              <w:t>.</w:t>
            </w:r>
          </w:p>
          <w:p w14:paraId="043EA36C" w14:textId="77777777" w:rsidR="00B80B9A" w:rsidRPr="0091506F"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Pr>
                <w:rFonts w:ascii="Calibri" w:hAnsi="Calibri" w:cs="Calibri"/>
                <w:color w:val="000000"/>
                <w:szCs w:val="20"/>
              </w:rPr>
              <w:t>Recruitment targeted individuals who we</w:t>
            </w:r>
            <w:r w:rsidRPr="00557434">
              <w:rPr>
                <w:rFonts w:ascii="Calibri" w:hAnsi="Calibri" w:cs="Calibri"/>
                <w:color w:val="000000"/>
                <w:szCs w:val="20"/>
              </w:rPr>
              <w:t xml:space="preserve">re abstinent and not taking </w:t>
            </w:r>
            <w:r>
              <w:rPr>
                <w:rFonts w:ascii="Calibri" w:hAnsi="Calibri" w:cs="Calibri"/>
                <w:color w:val="000000"/>
                <w:szCs w:val="20"/>
              </w:rPr>
              <w:t xml:space="preserve">psychoactive </w:t>
            </w:r>
            <w:r w:rsidRPr="00557434">
              <w:rPr>
                <w:rFonts w:ascii="Calibri" w:hAnsi="Calibri" w:cs="Calibri"/>
                <w:color w:val="000000"/>
                <w:szCs w:val="20"/>
              </w:rPr>
              <w:t xml:space="preserve">medications, who are at greater risk of relapse than </w:t>
            </w:r>
            <w:r>
              <w:rPr>
                <w:rFonts w:ascii="Calibri" w:hAnsi="Calibri" w:cs="Calibri"/>
                <w:color w:val="000000"/>
                <w:szCs w:val="20"/>
              </w:rPr>
              <w:t>participants</w:t>
            </w:r>
            <w:r w:rsidRPr="00557434">
              <w:rPr>
                <w:rFonts w:ascii="Calibri" w:hAnsi="Calibri" w:cs="Calibri"/>
                <w:color w:val="000000"/>
                <w:szCs w:val="20"/>
              </w:rPr>
              <w:t xml:space="preserve"> on agonist maintenance treatment</w:t>
            </w:r>
            <w:r>
              <w:rPr>
                <w:rFonts w:ascii="Calibri" w:hAnsi="Calibri" w:cs="Calibri"/>
                <w:color w:val="000000"/>
                <w:szCs w:val="20"/>
              </w:rPr>
              <w:t xml:space="preserve"> (i.e., methadone).</w:t>
            </w:r>
          </w:p>
          <w:p w14:paraId="721006AD" w14:textId="77777777" w:rsidR="00B80B9A"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094D41">
              <w:rPr>
                <w:rFonts w:ascii="Calibri" w:hAnsi="Calibri" w:cs="Calibri"/>
                <w:color w:val="000000"/>
                <w:szCs w:val="20"/>
              </w:rPr>
              <w:t>Most participants</w:t>
            </w:r>
            <w:r w:rsidRPr="00E73F7E">
              <w:rPr>
                <w:rFonts w:ascii="Calibri" w:hAnsi="Calibri" w:cs="Calibri"/>
                <w:color w:val="000000"/>
                <w:szCs w:val="20"/>
              </w:rPr>
              <w:t xml:space="preserve"> </w:t>
            </w:r>
            <w:r w:rsidRPr="00094D41">
              <w:rPr>
                <w:rFonts w:ascii="Calibri" w:hAnsi="Calibri" w:cs="Calibri"/>
                <w:color w:val="000000"/>
                <w:szCs w:val="20"/>
              </w:rPr>
              <w:t xml:space="preserve">(78.6%) indicated </w:t>
            </w:r>
            <w:r>
              <w:rPr>
                <w:rFonts w:ascii="Calibri" w:hAnsi="Calibri" w:cs="Calibri"/>
                <w:color w:val="000000"/>
                <w:szCs w:val="20"/>
              </w:rPr>
              <w:t xml:space="preserve">a </w:t>
            </w:r>
            <w:r w:rsidRPr="00094D41">
              <w:rPr>
                <w:rFonts w:ascii="Calibri" w:hAnsi="Calibri" w:cs="Calibri"/>
                <w:color w:val="000000"/>
                <w:szCs w:val="20"/>
              </w:rPr>
              <w:t>preference for intranasal heroin</w:t>
            </w:r>
            <w:r w:rsidRPr="00E73F7E">
              <w:rPr>
                <w:rFonts w:ascii="Calibri" w:hAnsi="Calibri" w:cs="Calibri"/>
                <w:color w:val="000000"/>
                <w:szCs w:val="20"/>
              </w:rPr>
              <w:t xml:space="preserve"> </w:t>
            </w:r>
            <w:r w:rsidRPr="00094D41">
              <w:rPr>
                <w:rFonts w:ascii="Calibri" w:hAnsi="Calibri" w:cs="Calibri"/>
                <w:color w:val="000000"/>
                <w:szCs w:val="20"/>
              </w:rPr>
              <w:t>use</w:t>
            </w:r>
            <w:r>
              <w:rPr>
                <w:rFonts w:ascii="Calibri" w:hAnsi="Calibri" w:cs="Calibri"/>
                <w:color w:val="000000"/>
                <w:szCs w:val="20"/>
              </w:rPr>
              <w:t xml:space="preserve"> </w:t>
            </w:r>
            <w:r w:rsidRPr="00094D41">
              <w:rPr>
                <w:rFonts w:ascii="Calibri" w:hAnsi="Calibri" w:cs="Calibri"/>
                <w:color w:val="000000"/>
                <w:szCs w:val="20"/>
              </w:rPr>
              <w:t>and</w:t>
            </w:r>
            <w:r>
              <w:rPr>
                <w:rFonts w:ascii="Calibri" w:hAnsi="Calibri" w:cs="Calibri"/>
                <w:color w:val="000000"/>
                <w:szCs w:val="20"/>
              </w:rPr>
              <w:t>,</w:t>
            </w:r>
            <w:r w:rsidRPr="00094D41">
              <w:rPr>
                <w:rFonts w:ascii="Calibri" w:hAnsi="Calibri" w:cs="Calibri"/>
                <w:color w:val="000000"/>
                <w:szCs w:val="20"/>
              </w:rPr>
              <w:t xml:space="preserve"> on average, 83.3% reported currently using more than 10 bags of</w:t>
            </w:r>
            <w:r w:rsidRPr="00E73F7E">
              <w:rPr>
                <w:rFonts w:ascii="Calibri" w:hAnsi="Calibri" w:cs="Calibri"/>
                <w:color w:val="000000"/>
                <w:szCs w:val="20"/>
              </w:rPr>
              <w:t xml:space="preserve"> </w:t>
            </w:r>
            <w:r w:rsidRPr="00094D41">
              <w:rPr>
                <w:rFonts w:ascii="Calibri" w:hAnsi="Calibri" w:cs="Calibri"/>
                <w:color w:val="000000"/>
                <w:szCs w:val="20"/>
              </w:rPr>
              <w:t xml:space="preserve">heroin </w:t>
            </w:r>
            <w:r>
              <w:rPr>
                <w:rFonts w:ascii="Calibri" w:hAnsi="Calibri" w:cs="Calibri"/>
                <w:color w:val="000000"/>
                <w:szCs w:val="20"/>
              </w:rPr>
              <w:t xml:space="preserve">daily </w:t>
            </w:r>
            <w:r w:rsidRPr="00094D41">
              <w:rPr>
                <w:rFonts w:ascii="Calibri" w:hAnsi="Calibri" w:cs="Calibri"/>
                <w:color w:val="000000"/>
                <w:szCs w:val="20"/>
              </w:rPr>
              <w:t>(one bag</w:t>
            </w:r>
            <w:r>
              <w:rPr>
                <w:rFonts w:ascii="Calibri" w:hAnsi="Calibri" w:cs="Calibri"/>
                <w:color w:val="000000"/>
                <w:szCs w:val="20"/>
              </w:rPr>
              <w:t xml:space="preserve"> </w:t>
            </w:r>
            <w:r w:rsidRPr="00094D41">
              <w:rPr>
                <w:rFonts w:ascii="Calibri" w:hAnsi="Calibri" w:cs="Calibri"/>
                <w:color w:val="000000"/>
                <w:szCs w:val="20"/>
              </w:rPr>
              <w:t>=</w:t>
            </w:r>
            <w:r>
              <w:rPr>
                <w:rFonts w:ascii="Calibri" w:hAnsi="Calibri" w:cs="Calibri"/>
                <w:color w:val="000000"/>
                <w:szCs w:val="20"/>
              </w:rPr>
              <w:t xml:space="preserve"> </w:t>
            </w:r>
            <w:r w:rsidRPr="00094D41">
              <w:rPr>
                <w:rFonts w:ascii="Calibri" w:hAnsi="Calibri" w:cs="Calibri"/>
                <w:color w:val="000000"/>
                <w:szCs w:val="20"/>
              </w:rPr>
              <w:t>1 g)</w:t>
            </w:r>
            <w:r>
              <w:rPr>
                <w:rFonts w:ascii="Calibri" w:hAnsi="Calibri" w:cs="Calibri"/>
                <w:color w:val="000000"/>
                <w:szCs w:val="20"/>
              </w:rPr>
              <w:t xml:space="preserve">, and </w:t>
            </w:r>
            <w:r w:rsidRPr="00094D41">
              <w:rPr>
                <w:rFonts w:ascii="Calibri" w:hAnsi="Calibri" w:cs="Calibri"/>
                <w:color w:val="000000"/>
                <w:szCs w:val="20"/>
              </w:rPr>
              <w:t>had</w:t>
            </w:r>
            <w:r w:rsidRPr="00E73F7E">
              <w:rPr>
                <w:rFonts w:ascii="Calibri" w:hAnsi="Calibri" w:cs="Calibri"/>
                <w:color w:val="000000"/>
                <w:szCs w:val="20"/>
              </w:rPr>
              <w:t xml:space="preserve"> </w:t>
            </w:r>
            <w:r w:rsidRPr="00094D41">
              <w:rPr>
                <w:rFonts w:ascii="Calibri" w:hAnsi="Calibri" w:cs="Calibri"/>
                <w:color w:val="000000"/>
                <w:szCs w:val="20"/>
              </w:rPr>
              <w:t xml:space="preserve">been using heroin for approximately 13.2 years. </w:t>
            </w:r>
          </w:p>
          <w:p w14:paraId="6BDD0DA3" w14:textId="77777777" w:rsidR="00B80B9A"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094D41">
              <w:rPr>
                <w:rFonts w:ascii="Calibri" w:hAnsi="Calibri" w:cs="Calibri"/>
                <w:color w:val="000000"/>
                <w:szCs w:val="20"/>
              </w:rPr>
              <w:t>Most participants (64.3%) had been abstinent from heroin use</w:t>
            </w:r>
            <w:r w:rsidRPr="00E73F7E">
              <w:rPr>
                <w:rFonts w:ascii="Calibri" w:hAnsi="Calibri" w:cs="Calibri"/>
                <w:color w:val="000000"/>
                <w:szCs w:val="20"/>
              </w:rPr>
              <w:t xml:space="preserve"> </w:t>
            </w:r>
            <w:r w:rsidRPr="00094D41">
              <w:rPr>
                <w:rFonts w:ascii="Calibri" w:hAnsi="Calibri" w:cs="Calibri"/>
                <w:color w:val="000000"/>
                <w:szCs w:val="20"/>
              </w:rPr>
              <w:t>for less than 1 month, 14.3% for 1</w:t>
            </w:r>
            <w:r>
              <w:rPr>
                <w:rFonts w:ascii="Calibri" w:hAnsi="Calibri" w:cs="Calibri"/>
                <w:color w:val="000000"/>
                <w:szCs w:val="20"/>
              </w:rPr>
              <w:t xml:space="preserve"> to </w:t>
            </w:r>
            <w:r w:rsidRPr="00094D41">
              <w:rPr>
                <w:rFonts w:ascii="Calibri" w:hAnsi="Calibri" w:cs="Calibri"/>
                <w:color w:val="000000"/>
                <w:szCs w:val="20"/>
              </w:rPr>
              <w:t>2 months, and 21.4% for</w:t>
            </w:r>
            <w:r w:rsidRPr="00E73F7E">
              <w:rPr>
                <w:rFonts w:ascii="Calibri" w:hAnsi="Calibri" w:cs="Calibri"/>
                <w:color w:val="000000"/>
                <w:szCs w:val="20"/>
              </w:rPr>
              <w:t xml:space="preserve"> </w:t>
            </w:r>
            <w:r w:rsidRPr="00094D41">
              <w:rPr>
                <w:rFonts w:ascii="Calibri" w:hAnsi="Calibri" w:cs="Calibri"/>
                <w:color w:val="000000"/>
                <w:szCs w:val="20"/>
              </w:rPr>
              <w:t>2</w:t>
            </w:r>
            <w:r>
              <w:rPr>
                <w:rFonts w:ascii="Calibri" w:hAnsi="Calibri" w:cs="Calibri"/>
                <w:color w:val="000000"/>
                <w:szCs w:val="20"/>
              </w:rPr>
              <w:t xml:space="preserve"> to </w:t>
            </w:r>
            <w:r w:rsidRPr="00094D41">
              <w:rPr>
                <w:rFonts w:ascii="Calibri" w:hAnsi="Calibri" w:cs="Calibri"/>
                <w:color w:val="000000"/>
                <w:szCs w:val="20"/>
              </w:rPr>
              <w:t xml:space="preserve">3 months. </w:t>
            </w:r>
          </w:p>
          <w:p w14:paraId="1A610A8C" w14:textId="77777777" w:rsidR="00B80B9A"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094D41">
              <w:rPr>
                <w:rFonts w:ascii="Calibri" w:hAnsi="Calibri" w:cs="Calibri"/>
                <w:color w:val="000000"/>
                <w:szCs w:val="20"/>
              </w:rPr>
              <w:t>In addition to heroin use disorder, most participants</w:t>
            </w:r>
            <w:r w:rsidRPr="00E73F7E">
              <w:rPr>
                <w:rFonts w:ascii="Calibri" w:hAnsi="Calibri" w:cs="Calibri"/>
                <w:color w:val="000000"/>
                <w:szCs w:val="20"/>
              </w:rPr>
              <w:t xml:space="preserve"> </w:t>
            </w:r>
            <w:r w:rsidRPr="00094D41">
              <w:rPr>
                <w:rFonts w:ascii="Calibri" w:hAnsi="Calibri" w:cs="Calibri"/>
                <w:color w:val="000000"/>
                <w:szCs w:val="20"/>
              </w:rPr>
              <w:t>had a history of alcohol use disorder or cannabis use</w:t>
            </w:r>
            <w:r w:rsidRPr="00E73F7E">
              <w:rPr>
                <w:rFonts w:ascii="Calibri" w:hAnsi="Calibri" w:cs="Calibri"/>
                <w:color w:val="000000"/>
                <w:szCs w:val="20"/>
              </w:rPr>
              <w:t xml:space="preserve"> </w:t>
            </w:r>
            <w:r w:rsidRPr="00094D41">
              <w:rPr>
                <w:rFonts w:ascii="Calibri" w:hAnsi="Calibri" w:cs="Calibri"/>
                <w:color w:val="000000"/>
                <w:szCs w:val="20"/>
              </w:rPr>
              <w:t>disorder but were not currently diagnosed with those disorders.</w:t>
            </w:r>
            <w:r>
              <w:rPr>
                <w:rFonts w:ascii="Calibri" w:hAnsi="Calibri" w:cs="Calibri"/>
                <w:color w:val="000000"/>
                <w:szCs w:val="20"/>
              </w:rPr>
              <w:t xml:space="preserve"> </w:t>
            </w:r>
            <w:r w:rsidRPr="00E73F7E">
              <w:rPr>
                <w:rFonts w:ascii="Calibri" w:hAnsi="Calibri" w:cs="Calibri"/>
                <w:color w:val="000000"/>
                <w:szCs w:val="20"/>
              </w:rPr>
              <w:t>The majority were also tobacco smokers.</w:t>
            </w:r>
          </w:p>
          <w:p w14:paraId="17DE58BB" w14:textId="77777777" w:rsidR="00B80B9A" w:rsidRDefault="00B80B9A" w:rsidP="00B80B9A">
            <w:pPr>
              <w:numPr>
                <w:ilvl w:val="0"/>
                <w:numId w:val="88"/>
              </w:numPr>
              <w:ind w:left="357"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Pr>
                <w:rFonts w:ascii="Calibri" w:hAnsi="Calibri" w:cs="Calibri"/>
                <w:color w:val="000000"/>
                <w:szCs w:val="20"/>
              </w:rPr>
              <w:t>P</w:t>
            </w:r>
            <w:r w:rsidRPr="004A6CF7">
              <w:rPr>
                <w:rFonts w:ascii="Calibri" w:hAnsi="Calibri" w:cs="Calibri"/>
                <w:color w:val="000000"/>
                <w:szCs w:val="20"/>
              </w:rPr>
              <w:t>eriod study was conducted: September 201</w:t>
            </w:r>
            <w:r>
              <w:rPr>
                <w:rFonts w:ascii="Calibri" w:hAnsi="Calibri" w:cs="Calibri"/>
                <w:color w:val="000000"/>
                <w:szCs w:val="20"/>
              </w:rPr>
              <w:t>5 to</w:t>
            </w:r>
            <w:r w:rsidRPr="004A6CF7">
              <w:rPr>
                <w:rFonts w:ascii="Calibri" w:hAnsi="Calibri" w:cs="Calibri"/>
                <w:color w:val="000000"/>
                <w:szCs w:val="20"/>
              </w:rPr>
              <w:t xml:space="preserve"> </w:t>
            </w:r>
            <w:r>
              <w:rPr>
                <w:rFonts w:ascii="Calibri" w:hAnsi="Calibri" w:cs="Calibri"/>
                <w:color w:val="000000"/>
                <w:szCs w:val="20"/>
              </w:rPr>
              <w:t>May</w:t>
            </w:r>
            <w:r w:rsidRPr="004A6CF7">
              <w:rPr>
                <w:rFonts w:ascii="Calibri" w:hAnsi="Calibri" w:cs="Calibri"/>
                <w:color w:val="000000"/>
                <w:szCs w:val="20"/>
              </w:rPr>
              <w:t xml:space="preserve"> 2017. </w:t>
            </w:r>
          </w:p>
          <w:p w14:paraId="47FEB66E" w14:textId="77777777" w:rsidR="00B80B9A" w:rsidRPr="000111B7" w:rsidRDefault="00B80B9A" w:rsidP="00B80B9A">
            <w:pPr>
              <w:numPr>
                <w:ilvl w:val="0"/>
                <w:numId w:val="88"/>
              </w:numPr>
              <w:ind w:left="357"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0111B7">
              <w:rPr>
                <w:rFonts w:eastAsia="Times New Roman" w:cstheme="minorHAnsi"/>
                <w:color w:val="000000"/>
                <w:szCs w:val="20"/>
                <w:lang w:eastAsia="en-AU"/>
              </w:rPr>
              <w:t>Secondary analyses in other papers.</w:t>
            </w:r>
          </w:p>
          <w:p w14:paraId="11A97228" w14:textId="77777777" w:rsidR="00B80B9A" w:rsidRPr="000111B7" w:rsidRDefault="00B80B9A" w:rsidP="00B80B9A">
            <w:pPr>
              <w:numPr>
                <w:ilvl w:val="1"/>
                <w:numId w:val="88"/>
              </w:numPr>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sidRPr="000111B7">
              <w:rPr>
                <w:rFonts w:ascii="Calibri" w:hAnsi="Calibri" w:cs="Calibri"/>
                <w:bCs/>
                <w:color w:val="000000"/>
                <w:szCs w:val="20"/>
              </w:rPr>
              <w:t>Epstein (2019) – editorial.</w:t>
            </w:r>
            <w:r w:rsidRPr="000111B7">
              <w:rPr>
                <w:rFonts w:cstheme="minorHAnsi"/>
                <w:bCs/>
                <w:color w:val="000000"/>
                <w:szCs w:val="20"/>
              </w:rPr>
              <w:t xml:space="preserve"> </w:t>
            </w:r>
          </w:p>
        </w:tc>
      </w:tr>
      <w:tr w:rsidR="00B80B9A" w:rsidRPr="002F020F" w14:paraId="052E63DF"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3B44B83D" w14:textId="77777777" w:rsidR="00B80B9A" w:rsidRPr="002F020F" w:rsidRDefault="00B80B9A" w:rsidP="004361E5">
            <w:pPr>
              <w:contextualSpacing/>
            </w:pPr>
            <w:r w:rsidRPr="002F020F">
              <w:t>Inclusion Criteria</w:t>
            </w:r>
          </w:p>
        </w:tc>
        <w:tc>
          <w:tcPr>
            <w:tcW w:w="3884" w:type="pct"/>
          </w:tcPr>
          <w:p w14:paraId="565CC224" w14:textId="77777777" w:rsidR="00B80B9A" w:rsidRPr="00134CD6"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134CD6">
              <w:rPr>
                <w:rFonts w:cstheme="minorHAnsi"/>
                <w:color w:val="000000"/>
                <w:szCs w:val="20"/>
              </w:rPr>
              <w:t xml:space="preserve">21 </w:t>
            </w:r>
            <w:r>
              <w:rPr>
                <w:rFonts w:cstheme="minorHAnsi"/>
                <w:color w:val="000000"/>
                <w:szCs w:val="20"/>
              </w:rPr>
              <w:t xml:space="preserve">to </w:t>
            </w:r>
            <w:r w:rsidRPr="00134CD6">
              <w:rPr>
                <w:rFonts w:cstheme="minorHAnsi"/>
                <w:color w:val="000000"/>
                <w:szCs w:val="20"/>
              </w:rPr>
              <w:t>65 years old</w:t>
            </w:r>
            <w:r>
              <w:rPr>
                <w:rFonts w:cstheme="minorHAnsi"/>
                <w:color w:val="000000"/>
                <w:szCs w:val="20"/>
              </w:rPr>
              <w:t>.</w:t>
            </w:r>
          </w:p>
          <w:p w14:paraId="3F90D1F2" w14:textId="77777777" w:rsidR="00B80B9A" w:rsidRPr="00134CD6"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Pr>
                <w:rFonts w:cstheme="minorHAnsi"/>
                <w:color w:val="000000"/>
                <w:szCs w:val="20"/>
              </w:rPr>
              <w:t>O</w:t>
            </w:r>
            <w:r w:rsidRPr="00134CD6">
              <w:rPr>
                <w:rFonts w:cstheme="minorHAnsi"/>
                <w:color w:val="000000"/>
                <w:szCs w:val="20"/>
              </w:rPr>
              <w:t xml:space="preserve">piate dependence </w:t>
            </w:r>
            <w:r>
              <w:rPr>
                <w:rFonts w:cstheme="minorHAnsi"/>
                <w:color w:val="000000"/>
                <w:szCs w:val="20"/>
              </w:rPr>
              <w:t xml:space="preserve">over the last 3 months as determined by </w:t>
            </w:r>
            <w:r w:rsidRPr="00134CD6">
              <w:rPr>
                <w:rFonts w:cstheme="minorHAnsi"/>
                <w:color w:val="000000"/>
                <w:szCs w:val="20"/>
              </w:rPr>
              <w:t>the Structured Clinical Interview for DSM-</w:t>
            </w:r>
            <w:r>
              <w:rPr>
                <w:rFonts w:cstheme="minorHAnsi"/>
                <w:color w:val="000000"/>
                <w:szCs w:val="20"/>
              </w:rPr>
              <w:t>I</w:t>
            </w:r>
            <w:r w:rsidRPr="00134CD6">
              <w:rPr>
                <w:rFonts w:cstheme="minorHAnsi"/>
                <w:color w:val="000000"/>
                <w:szCs w:val="20"/>
              </w:rPr>
              <w:t>V</w:t>
            </w:r>
            <w:r>
              <w:rPr>
                <w:rFonts w:cstheme="minorHAnsi"/>
                <w:color w:val="000000"/>
                <w:szCs w:val="20"/>
              </w:rPr>
              <w:t xml:space="preserve"> (SCID</w:t>
            </w:r>
            <w:r w:rsidRPr="00134CD6">
              <w:rPr>
                <w:rFonts w:cstheme="minorHAnsi"/>
                <w:color w:val="000000"/>
                <w:szCs w:val="20"/>
              </w:rPr>
              <w:t>)</w:t>
            </w:r>
            <w:r>
              <w:rPr>
                <w:rFonts w:cstheme="minorHAnsi"/>
                <w:color w:val="000000"/>
                <w:szCs w:val="20"/>
              </w:rPr>
              <w:t>.</w:t>
            </w:r>
          </w:p>
          <w:p w14:paraId="31D2F5D9" w14:textId="77777777" w:rsidR="00B80B9A" w:rsidRPr="00244E19" w:rsidRDefault="00B80B9A" w:rsidP="00B80B9A">
            <w:pPr>
              <w:numPr>
                <w:ilvl w:val="0"/>
                <w:numId w:val="90"/>
              </w:numPr>
              <w:ind w:left="357"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134CD6">
              <w:rPr>
                <w:rFonts w:cstheme="minorHAnsi"/>
                <w:color w:val="000000"/>
                <w:szCs w:val="20"/>
              </w:rPr>
              <w:t xml:space="preserve">No opioid use in the past 7 days (verified </w:t>
            </w:r>
            <w:r>
              <w:rPr>
                <w:rFonts w:cstheme="minorHAnsi"/>
                <w:color w:val="000000"/>
                <w:szCs w:val="20"/>
              </w:rPr>
              <w:t>by</w:t>
            </w:r>
            <w:r w:rsidRPr="00134CD6">
              <w:rPr>
                <w:rFonts w:cstheme="minorHAnsi"/>
                <w:color w:val="000000"/>
                <w:szCs w:val="20"/>
              </w:rPr>
              <w:t xml:space="preserve"> urine drug screen and opiate metabolite test)</w:t>
            </w:r>
            <w:r>
              <w:rPr>
                <w:rFonts w:cstheme="minorHAnsi"/>
                <w:color w:val="000000"/>
                <w:szCs w:val="20"/>
              </w:rPr>
              <w:t>.</w:t>
            </w:r>
          </w:p>
        </w:tc>
      </w:tr>
      <w:tr w:rsidR="00B80B9A" w:rsidRPr="002F020F" w14:paraId="409A1757"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5FBA13EA" w14:textId="77777777" w:rsidR="00B80B9A" w:rsidRPr="002F020F" w:rsidRDefault="00B80B9A" w:rsidP="004361E5">
            <w:pPr>
              <w:contextualSpacing/>
            </w:pPr>
            <w:r w:rsidRPr="002F020F">
              <w:t>Exclusion Criteria</w:t>
            </w:r>
          </w:p>
        </w:tc>
        <w:tc>
          <w:tcPr>
            <w:tcW w:w="3884" w:type="pct"/>
          </w:tcPr>
          <w:p w14:paraId="009AD0CD" w14:textId="77777777" w:rsidR="00B80B9A" w:rsidRPr="0072700E"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72700E">
              <w:rPr>
                <w:rFonts w:cstheme="minorHAnsi"/>
                <w:color w:val="000000"/>
                <w:szCs w:val="20"/>
              </w:rPr>
              <w:t xml:space="preserve">Using any psychoactive drug (other than nicotine) </w:t>
            </w:r>
            <w:r>
              <w:rPr>
                <w:rFonts w:cstheme="minorHAnsi"/>
                <w:color w:val="000000"/>
                <w:szCs w:val="20"/>
              </w:rPr>
              <w:t xml:space="preserve">at </w:t>
            </w:r>
            <w:r w:rsidRPr="0072700E">
              <w:rPr>
                <w:rFonts w:cstheme="minorHAnsi"/>
                <w:color w:val="000000"/>
                <w:szCs w:val="20"/>
              </w:rPr>
              <w:t xml:space="preserve">any time up to </w:t>
            </w:r>
            <w:r>
              <w:rPr>
                <w:rFonts w:cstheme="minorHAnsi"/>
                <w:color w:val="000000"/>
                <w:szCs w:val="20"/>
              </w:rPr>
              <w:t>S</w:t>
            </w:r>
            <w:r w:rsidRPr="0072700E">
              <w:rPr>
                <w:rFonts w:cstheme="minorHAnsi"/>
                <w:color w:val="000000"/>
                <w:szCs w:val="20"/>
              </w:rPr>
              <w:t>ession 3</w:t>
            </w:r>
            <w:r>
              <w:rPr>
                <w:rFonts w:cstheme="minorHAnsi"/>
                <w:color w:val="000000"/>
                <w:szCs w:val="20"/>
              </w:rPr>
              <w:t>.</w:t>
            </w:r>
          </w:p>
          <w:p w14:paraId="4E490550" w14:textId="77777777" w:rsidR="00B80B9A" w:rsidRPr="0072700E"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Pr>
                <w:rFonts w:cstheme="minorHAnsi"/>
                <w:color w:val="000000"/>
                <w:szCs w:val="20"/>
              </w:rPr>
              <w:t>D</w:t>
            </w:r>
            <w:r w:rsidRPr="0072700E">
              <w:rPr>
                <w:rFonts w:cstheme="minorHAnsi"/>
                <w:color w:val="000000"/>
                <w:szCs w:val="20"/>
              </w:rPr>
              <w:t>iagnosis of drug dependence (except for heroin or nicotine) in the past 3 months</w:t>
            </w:r>
            <w:r>
              <w:rPr>
                <w:rFonts w:cstheme="minorHAnsi"/>
                <w:color w:val="000000"/>
                <w:szCs w:val="20"/>
              </w:rPr>
              <w:t xml:space="preserve"> (DSM-IV</w:t>
            </w:r>
            <w:r w:rsidRPr="0072700E">
              <w:rPr>
                <w:rFonts w:cstheme="minorHAnsi"/>
                <w:color w:val="000000"/>
                <w:szCs w:val="20"/>
              </w:rPr>
              <w:t xml:space="preserve"> criteria</w:t>
            </w:r>
            <w:r>
              <w:rPr>
                <w:rFonts w:cstheme="minorHAnsi"/>
                <w:color w:val="000000"/>
                <w:szCs w:val="20"/>
              </w:rPr>
              <w:t>).</w:t>
            </w:r>
          </w:p>
          <w:p w14:paraId="625DBAC8" w14:textId="77777777" w:rsidR="00B80B9A" w:rsidRPr="0072700E"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D217F9">
              <w:rPr>
                <w:rFonts w:cstheme="minorHAnsi"/>
                <w:color w:val="000000"/>
                <w:szCs w:val="20"/>
              </w:rPr>
              <w:t>Heroin maintenance</w:t>
            </w:r>
            <w:r>
              <w:rPr>
                <w:rFonts w:cstheme="minorHAnsi"/>
                <w:color w:val="000000"/>
                <w:szCs w:val="20"/>
              </w:rPr>
              <w:t xml:space="preserve"> therapy (e.g., </w:t>
            </w:r>
            <w:r w:rsidRPr="0072700E">
              <w:rPr>
                <w:rFonts w:cstheme="minorHAnsi"/>
                <w:color w:val="000000"/>
                <w:szCs w:val="20"/>
              </w:rPr>
              <w:t>methadone or buprenorphine, or taking opioid antagonists such as naltrexone</w:t>
            </w:r>
            <w:r>
              <w:rPr>
                <w:rFonts w:cstheme="minorHAnsi"/>
                <w:color w:val="000000"/>
                <w:szCs w:val="20"/>
              </w:rPr>
              <w:t>).</w:t>
            </w:r>
          </w:p>
          <w:p w14:paraId="40D38577" w14:textId="77777777" w:rsidR="00B80B9A" w:rsidRPr="0072700E"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Pr>
                <w:rFonts w:cstheme="minorHAnsi"/>
                <w:color w:val="000000"/>
                <w:szCs w:val="20"/>
              </w:rPr>
              <w:t xml:space="preserve">Observable symptoms of </w:t>
            </w:r>
            <w:r w:rsidRPr="0072700E">
              <w:rPr>
                <w:rFonts w:cstheme="minorHAnsi"/>
                <w:color w:val="000000"/>
                <w:szCs w:val="20"/>
              </w:rPr>
              <w:t>acute heroin withdrawal</w:t>
            </w:r>
            <w:r>
              <w:rPr>
                <w:rFonts w:cstheme="minorHAnsi"/>
                <w:color w:val="000000"/>
                <w:szCs w:val="20"/>
              </w:rPr>
              <w:t>.</w:t>
            </w:r>
          </w:p>
          <w:p w14:paraId="0DB3F4E9" w14:textId="77777777" w:rsidR="00B80B9A" w:rsidRPr="0072700E"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Pr>
                <w:rFonts w:cstheme="minorHAnsi"/>
                <w:color w:val="000000"/>
                <w:szCs w:val="20"/>
              </w:rPr>
              <w:t>M</w:t>
            </w:r>
            <w:r w:rsidRPr="0072700E">
              <w:rPr>
                <w:rFonts w:cstheme="minorHAnsi"/>
                <w:color w:val="000000"/>
                <w:szCs w:val="20"/>
              </w:rPr>
              <w:t xml:space="preserve">edical conditions, including </w:t>
            </w:r>
            <w:r>
              <w:rPr>
                <w:rFonts w:cstheme="minorHAnsi"/>
                <w:color w:val="000000"/>
                <w:szCs w:val="20"/>
              </w:rPr>
              <w:t xml:space="preserve">DSM-IV </w:t>
            </w:r>
            <w:r w:rsidRPr="0072700E">
              <w:rPr>
                <w:rFonts w:cstheme="minorHAnsi"/>
                <w:color w:val="000000"/>
                <w:szCs w:val="20"/>
              </w:rPr>
              <w:t xml:space="preserve">Axis I psychiatric conditions </w:t>
            </w:r>
            <w:r>
              <w:rPr>
                <w:rFonts w:cstheme="minorHAnsi"/>
                <w:color w:val="000000"/>
                <w:szCs w:val="20"/>
              </w:rPr>
              <w:t xml:space="preserve">as determined by </w:t>
            </w:r>
            <w:r w:rsidRPr="0072700E">
              <w:rPr>
                <w:rFonts w:cstheme="minorHAnsi"/>
                <w:color w:val="000000"/>
                <w:szCs w:val="20"/>
              </w:rPr>
              <w:t xml:space="preserve">the Mini International Neuropsychiatric Interview </w:t>
            </w:r>
            <w:r>
              <w:rPr>
                <w:rFonts w:cstheme="minorHAnsi"/>
                <w:color w:val="000000"/>
                <w:szCs w:val="20"/>
              </w:rPr>
              <w:t>(</w:t>
            </w:r>
            <w:r w:rsidRPr="0072700E">
              <w:rPr>
                <w:rFonts w:cstheme="minorHAnsi"/>
                <w:color w:val="000000"/>
                <w:szCs w:val="20"/>
              </w:rPr>
              <w:t>MINI)</w:t>
            </w:r>
            <w:r>
              <w:rPr>
                <w:rFonts w:cstheme="minorHAnsi"/>
                <w:color w:val="000000"/>
                <w:szCs w:val="20"/>
              </w:rPr>
              <w:t>.</w:t>
            </w:r>
          </w:p>
          <w:p w14:paraId="4BC7377B" w14:textId="77777777" w:rsidR="00B80B9A" w:rsidRPr="0072700E"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72700E">
              <w:rPr>
                <w:rFonts w:cstheme="minorHAnsi"/>
                <w:color w:val="000000"/>
                <w:szCs w:val="20"/>
              </w:rPr>
              <w:t>History of cardiac disease, arrhythmias, head trauma, and seizures</w:t>
            </w:r>
            <w:r>
              <w:rPr>
                <w:rFonts w:cstheme="minorHAnsi"/>
                <w:color w:val="000000"/>
                <w:szCs w:val="20"/>
              </w:rPr>
              <w:t>.</w:t>
            </w:r>
          </w:p>
          <w:p w14:paraId="34A8434D" w14:textId="77777777" w:rsidR="00B80B9A" w:rsidRPr="0072700E"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72700E">
              <w:rPr>
                <w:rFonts w:cstheme="minorHAnsi"/>
                <w:color w:val="000000"/>
                <w:szCs w:val="20"/>
              </w:rPr>
              <w:t>History of hypersensitivity to cannabinoids</w:t>
            </w:r>
            <w:r>
              <w:rPr>
                <w:rFonts w:cstheme="minorHAnsi"/>
                <w:color w:val="000000"/>
                <w:szCs w:val="20"/>
              </w:rPr>
              <w:t>.</w:t>
            </w:r>
          </w:p>
          <w:p w14:paraId="362A9DBE" w14:textId="77777777" w:rsidR="00B80B9A" w:rsidRPr="0072700E"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72700E">
              <w:rPr>
                <w:rFonts w:cstheme="minorHAnsi"/>
                <w:color w:val="000000"/>
                <w:szCs w:val="20"/>
              </w:rPr>
              <w:t>Arriving to the study site visibly intoxicated</w:t>
            </w:r>
            <w:r>
              <w:rPr>
                <w:rFonts w:cstheme="minorHAnsi"/>
                <w:color w:val="000000"/>
                <w:szCs w:val="20"/>
              </w:rPr>
              <w:t>,</w:t>
            </w:r>
            <w:r w:rsidRPr="0072700E">
              <w:rPr>
                <w:rFonts w:cstheme="minorHAnsi"/>
                <w:color w:val="000000"/>
                <w:szCs w:val="20"/>
              </w:rPr>
              <w:t xml:space="preserve"> as determined by a clinical evaluation for signs and symptoms of intoxication</w:t>
            </w:r>
            <w:r>
              <w:rPr>
                <w:rFonts w:cstheme="minorHAnsi"/>
                <w:color w:val="000000"/>
                <w:szCs w:val="20"/>
              </w:rPr>
              <w:t>,</w:t>
            </w:r>
            <w:r w:rsidRPr="0072700E">
              <w:rPr>
                <w:rFonts w:cstheme="minorHAnsi"/>
                <w:color w:val="000000"/>
                <w:szCs w:val="20"/>
              </w:rPr>
              <w:t xml:space="preserve"> and as verified by a drug screen</w:t>
            </w:r>
            <w:r>
              <w:rPr>
                <w:rFonts w:cstheme="minorHAnsi"/>
                <w:color w:val="000000"/>
                <w:szCs w:val="20"/>
              </w:rPr>
              <w:t>.</w:t>
            </w:r>
          </w:p>
          <w:p w14:paraId="1BF2416A" w14:textId="77777777" w:rsidR="00B80B9A" w:rsidRPr="0072700E"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72700E">
              <w:rPr>
                <w:rFonts w:cstheme="minorHAnsi"/>
                <w:color w:val="000000"/>
                <w:szCs w:val="20"/>
              </w:rPr>
              <w:t>Participati</w:t>
            </w:r>
            <w:r>
              <w:rPr>
                <w:rFonts w:cstheme="minorHAnsi"/>
                <w:color w:val="000000"/>
                <w:szCs w:val="20"/>
              </w:rPr>
              <w:t>on</w:t>
            </w:r>
            <w:r w:rsidRPr="0072700E">
              <w:rPr>
                <w:rFonts w:cstheme="minorHAnsi"/>
                <w:color w:val="000000"/>
                <w:szCs w:val="20"/>
              </w:rPr>
              <w:t xml:space="preserve"> in another pharmacotherap</w:t>
            </w:r>
            <w:r>
              <w:rPr>
                <w:rFonts w:cstheme="minorHAnsi"/>
                <w:color w:val="000000"/>
                <w:szCs w:val="20"/>
              </w:rPr>
              <w:t>y</w:t>
            </w:r>
            <w:r w:rsidRPr="0072700E">
              <w:rPr>
                <w:rFonts w:cstheme="minorHAnsi"/>
                <w:color w:val="000000"/>
                <w:szCs w:val="20"/>
              </w:rPr>
              <w:t xml:space="preserve"> trial in the </w:t>
            </w:r>
            <w:r>
              <w:rPr>
                <w:rFonts w:cstheme="minorHAnsi"/>
                <w:color w:val="000000"/>
                <w:szCs w:val="20"/>
              </w:rPr>
              <w:t>l</w:t>
            </w:r>
            <w:r w:rsidRPr="0072700E">
              <w:rPr>
                <w:rFonts w:cstheme="minorHAnsi"/>
                <w:color w:val="000000"/>
                <w:szCs w:val="20"/>
              </w:rPr>
              <w:t>ast 3 months</w:t>
            </w:r>
            <w:r>
              <w:rPr>
                <w:rFonts w:cstheme="minorHAnsi"/>
                <w:color w:val="000000"/>
                <w:szCs w:val="20"/>
              </w:rPr>
              <w:t>.</w:t>
            </w:r>
          </w:p>
          <w:p w14:paraId="37C44C9C" w14:textId="77777777" w:rsidR="00B80B9A" w:rsidRPr="0072700E"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Pr>
                <w:rFonts w:cstheme="minorHAnsi"/>
                <w:color w:val="000000"/>
                <w:szCs w:val="20"/>
              </w:rPr>
              <w:t>P</w:t>
            </w:r>
            <w:r w:rsidRPr="0072700E">
              <w:rPr>
                <w:rFonts w:cstheme="minorHAnsi"/>
                <w:color w:val="000000"/>
                <w:szCs w:val="20"/>
              </w:rPr>
              <w:t>regnant o</w:t>
            </w:r>
            <w:r>
              <w:rPr>
                <w:rFonts w:cstheme="minorHAnsi"/>
                <w:color w:val="000000"/>
                <w:szCs w:val="20"/>
              </w:rPr>
              <w:t>r</w:t>
            </w:r>
            <w:r w:rsidRPr="0072700E">
              <w:rPr>
                <w:rFonts w:cstheme="minorHAnsi"/>
                <w:color w:val="000000"/>
                <w:szCs w:val="20"/>
              </w:rPr>
              <w:t xml:space="preserve"> breastfeeding</w:t>
            </w:r>
            <w:r>
              <w:rPr>
                <w:rFonts w:cstheme="minorHAnsi"/>
                <w:color w:val="000000"/>
                <w:szCs w:val="20"/>
              </w:rPr>
              <w:t>.</w:t>
            </w:r>
          </w:p>
          <w:p w14:paraId="00BBD2FE" w14:textId="77777777" w:rsidR="00B80B9A" w:rsidRPr="003B6C56" w:rsidRDefault="00B80B9A" w:rsidP="00B80B9A">
            <w:pPr>
              <w:numPr>
                <w:ilvl w:val="0"/>
                <w:numId w:val="91"/>
              </w:numPr>
              <w:ind w:left="357" w:hanging="357"/>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72700E">
              <w:rPr>
                <w:rFonts w:cstheme="minorHAnsi"/>
                <w:color w:val="000000"/>
                <w:szCs w:val="20"/>
              </w:rPr>
              <w:t>Not using</w:t>
            </w:r>
            <w:r>
              <w:rPr>
                <w:rFonts w:cstheme="minorHAnsi"/>
                <w:color w:val="000000"/>
                <w:szCs w:val="20"/>
              </w:rPr>
              <w:t>,</w:t>
            </w:r>
            <w:r w:rsidRPr="0072700E">
              <w:rPr>
                <w:rFonts w:cstheme="minorHAnsi"/>
                <w:color w:val="000000"/>
                <w:szCs w:val="20"/>
              </w:rPr>
              <w:t xml:space="preserve"> or irregular us</w:t>
            </w:r>
            <w:r>
              <w:rPr>
                <w:rFonts w:cstheme="minorHAnsi"/>
                <w:color w:val="000000"/>
                <w:szCs w:val="20"/>
              </w:rPr>
              <w:t>e of,</w:t>
            </w:r>
            <w:r w:rsidRPr="0072700E">
              <w:rPr>
                <w:rFonts w:cstheme="minorHAnsi"/>
                <w:color w:val="000000"/>
                <w:szCs w:val="20"/>
              </w:rPr>
              <w:t xml:space="preserve"> appropriate </w:t>
            </w:r>
            <w:r>
              <w:rPr>
                <w:rFonts w:cstheme="minorHAnsi"/>
                <w:color w:val="000000"/>
                <w:szCs w:val="20"/>
              </w:rPr>
              <w:t>methods of contraception.</w:t>
            </w:r>
          </w:p>
        </w:tc>
      </w:tr>
      <w:tr w:rsidR="00B80B9A" w:rsidRPr="002F020F" w14:paraId="6AE0950D"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27E3FDE" w14:textId="77777777" w:rsidR="00B80B9A" w:rsidRPr="002F020F" w:rsidRDefault="00B80B9A" w:rsidP="004361E5">
            <w:pPr>
              <w:contextualSpacing/>
            </w:pPr>
            <w:r w:rsidRPr="002F020F">
              <w:t>Assessment Time-</w:t>
            </w:r>
            <w:r>
              <w:t>P</w:t>
            </w:r>
            <w:r w:rsidRPr="002F020F">
              <w:t>oint/s</w:t>
            </w:r>
          </w:p>
        </w:tc>
        <w:tc>
          <w:tcPr>
            <w:tcW w:w="3884" w:type="pct"/>
          </w:tcPr>
          <w:p w14:paraId="70651617" w14:textId="77777777" w:rsidR="00B80B9A" w:rsidRPr="00AA454A" w:rsidRDefault="00B80B9A" w:rsidP="00B80B9A">
            <w:pPr>
              <w:pStyle w:val="ListParagraph"/>
              <w:numPr>
                <w:ilvl w:val="0"/>
                <w:numId w:val="39"/>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t>B</w:t>
            </w:r>
            <w:r w:rsidRPr="548414C3">
              <w:t>aseline</w:t>
            </w:r>
            <w:r>
              <w:t>: Session 1 (before the first oral solution).</w:t>
            </w:r>
          </w:p>
          <w:p w14:paraId="710D66AA" w14:textId="77777777" w:rsidR="00B80B9A" w:rsidRPr="00EC4C9C" w:rsidRDefault="00B80B9A" w:rsidP="00B80B9A">
            <w:pPr>
              <w:pStyle w:val="ListParagraph"/>
              <w:numPr>
                <w:ilvl w:val="0"/>
                <w:numId w:val="39"/>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t>D</w:t>
            </w:r>
            <w:r w:rsidRPr="548414C3">
              <w:t xml:space="preserve">uring </w:t>
            </w:r>
            <w:r>
              <w:t xml:space="preserve">treatment: </w:t>
            </w:r>
          </w:p>
          <w:p w14:paraId="2A2880C5" w14:textId="77777777" w:rsidR="00B80B9A" w:rsidRPr="00EC4C9C" w:rsidRDefault="00B80B9A" w:rsidP="00B80B9A">
            <w:pPr>
              <w:pStyle w:val="ListParagraph"/>
              <w:numPr>
                <w:ilvl w:val="1"/>
                <w:numId w:val="39"/>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t>Session 1 (1 to 2 hours after first oral solution).</w:t>
            </w:r>
          </w:p>
          <w:p w14:paraId="6EE0C687" w14:textId="77777777" w:rsidR="00B80B9A" w:rsidRPr="00C85E29" w:rsidRDefault="00B80B9A" w:rsidP="00B80B9A">
            <w:pPr>
              <w:pStyle w:val="ListParagraph"/>
              <w:numPr>
                <w:ilvl w:val="1"/>
                <w:numId w:val="39"/>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t>Session 2 (24 hours after first oral solution</w:t>
            </w:r>
            <w:r w:rsidRPr="548414C3">
              <w:t>)</w:t>
            </w:r>
            <w:r>
              <w:t>.</w:t>
            </w:r>
          </w:p>
          <w:p w14:paraId="402D1564" w14:textId="77777777" w:rsidR="00B80B9A" w:rsidRPr="00505B91" w:rsidRDefault="00B80B9A" w:rsidP="00B80B9A">
            <w:pPr>
              <w:pStyle w:val="ListParagraph"/>
              <w:numPr>
                <w:ilvl w:val="1"/>
                <w:numId w:val="39"/>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t>Session 3 (day 3).</w:t>
            </w:r>
          </w:p>
          <w:p w14:paraId="1C9A69FB" w14:textId="77777777" w:rsidR="00B80B9A" w:rsidRPr="001D444F" w:rsidRDefault="00B80B9A" w:rsidP="00B80B9A">
            <w:pPr>
              <w:pStyle w:val="ListParagraph"/>
              <w:numPr>
                <w:ilvl w:val="0"/>
                <w:numId w:val="39"/>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t>Follow-up: Session 4 (7 days after third oral solution)</w:t>
            </w:r>
            <w:r w:rsidRPr="548414C3">
              <w:t>.</w:t>
            </w:r>
          </w:p>
        </w:tc>
      </w:tr>
      <w:tr w:rsidR="00B80B9A" w:rsidRPr="002F020F" w14:paraId="0D667865"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44C30FE1" w14:textId="77777777" w:rsidR="00B80B9A" w:rsidRPr="002F020F" w:rsidRDefault="00B80B9A" w:rsidP="004361E5">
            <w:pPr>
              <w:contextualSpacing/>
            </w:pPr>
            <w:r w:rsidRPr="002F020F">
              <w:t>Main Findings</w:t>
            </w:r>
          </w:p>
        </w:tc>
        <w:tc>
          <w:tcPr>
            <w:tcW w:w="3884" w:type="pct"/>
          </w:tcPr>
          <w:p w14:paraId="0A4503D5" w14:textId="77777777" w:rsidR="00B80B9A" w:rsidRPr="000111B7"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szCs w:val="20"/>
              </w:rPr>
            </w:pPr>
            <w:r w:rsidRPr="000111B7">
              <w:rPr>
                <w:rFonts w:cstheme="minorHAnsi"/>
                <w:bCs/>
                <w:color w:val="000000"/>
                <w:szCs w:val="20"/>
              </w:rPr>
              <w:t>Cue condition (drug-related</w:t>
            </w:r>
            <w:r>
              <w:rPr>
                <w:rFonts w:cstheme="minorHAnsi"/>
                <w:bCs/>
                <w:color w:val="000000"/>
                <w:szCs w:val="20"/>
              </w:rPr>
              <w:t xml:space="preserve"> vs. neutral cue</w:t>
            </w:r>
            <w:r w:rsidRPr="000111B7">
              <w:rPr>
                <w:rFonts w:cstheme="minorHAnsi"/>
                <w:bCs/>
                <w:color w:val="000000"/>
                <w:szCs w:val="20"/>
              </w:rPr>
              <w:t>):</w:t>
            </w:r>
          </w:p>
          <w:p w14:paraId="14B0B4BC" w14:textId="77777777" w:rsidR="00B80B9A" w:rsidRPr="000111B7"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0111B7">
              <w:rPr>
                <w:rFonts w:ascii="Calibri" w:hAnsi="Calibri" w:cs="Calibri"/>
                <w:color w:val="000000" w:themeColor="text1"/>
              </w:rPr>
              <w:t xml:space="preserve">A significant difference in craving (as measured by the VAS-C; adjusted for baseline craving) was observed for the cue condition (drug-related vs. neutral cue: </w:t>
            </w:r>
            <w:r w:rsidRPr="000111B7">
              <w:rPr>
                <w:rFonts w:ascii="Calibri" w:hAnsi="Calibri" w:cs="Calibri"/>
                <w:i/>
                <w:iCs/>
                <w:color w:val="000000" w:themeColor="text1"/>
              </w:rPr>
              <w:t>p</w:t>
            </w:r>
            <w:r w:rsidRPr="000111B7">
              <w:rPr>
                <w:rFonts w:ascii="Calibri" w:hAnsi="Calibri" w:cs="Calibri"/>
                <w:color w:val="000000" w:themeColor="text1"/>
              </w:rPr>
              <w:t xml:space="preserve"> &lt; 0.0001). </w:t>
            </w:r>
          </w:p>
          <w:p w14:paraId="5A12462B" w14:textId="77777777" w:rsidR="00B80B9A" w:rsidRPr="000111B7"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0111B7">
              <w:rPr>
                <w:rFonts w:ascii="Calibri" w:hAnsi="Calibri" w:cs="Calibri"/>
                <w:color w:val="000000" w:themeColor="text1"/>
              </w:rPr>
              <w:t xml:space="preserve">Across participants, craving was significantly higher following exposure to drug-related cues [M(diff) = 1.09] than following exposure to neutral cues [M(diff) = </w:t>
            </w:r>
            <w:r>
              <w:rPr>
                <w:rFonts w:ascii="Calibri" w:hAnsi="Calibri" w:cs="Calibri"/>
                <w:color w:val="000000" w:themeColor="text1"/>
              </w:rPr>
              <w:t>-</w:t>
            </w:r>
            <w:r w:rsidRPr="000111B7">
              <w:rPr>
                <w:rFonts w:ascii="Calibri" w:hAnsi="Calibri" w:cs="Calibri"/>
                <w:color w:val="000000" w:themeColor="text1"/>
              </w:rPr>
              <w:t xml:space="preserve">0.02]. </w:t>
            </w:r>
          </w:p>
          <w:p w14:paraId="0A1AD077" w14:textId="77777777" w:rsidR="00B80B9A" w:rsidRPr="000111B7"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szCs w:val="20"/>
              </w:rPr>
            </w:pPr>
            <w:r w:rsidRPr="000111B7">
              <w:rPr>
                <w:rFonts w:cstheme="minorHAnsi"/>
                <w:bCs/>
                <w:color w:val="000000"/>
                <w:szCs w:val="20"/>
              </w:rPr>
              <w:lastRenderedPageBreak/>
              <w:t>CBD dose condition (placebo vs. 400 mg vs. 800 mg):</w:t>
            </w:r>
          </w:p>
          <w:p w14:paraId="41BC2DD6" w14:textId="77777777" w:rsidR="00B80B9A" w:rsidRPr="000111B7"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0111B7">
              <w:rPr>
                <w:rFonts w:ascii="Calibri" w:hAnsi="Calibri" w:cs="Calibri"/>
                <w:color w:val="000000" w:themeColor="text1"/>
              </w:rPr>
              <w:t>A significant difference in craving (as measured by the VAS-C; adjusted for baseline craving) was observed for the CBD dose condition (placebo vs. 400 mg vs. 800 mg</w:t>
            </w:r>
            <w:r w:rsidRPr="000111B7">
              <w:rPr>
                <w:rFonts w:ascii="Calibri" w:hAnsi="Calibri" w:cs="Calibri"/>
                <w:i/>
                <w:iCs/>
                <w:color w:val="000000" w:themeColor="text1"/>
              </w:rPr>
              <w:t>;</w:t>
            </w:r>
            <w:r w:rsidRPr="000111B7">
              <w:rPr>
                <w:rFonts w:ascii="Calibri" w:hAnsi="Calibri" w:cs="Calibri"/>
                <w:color w:val="000000" w:themeColor="text1"/>
              </w:rPr>
              <w:t xml:space="preserve"> </w:t>
            </w:r>
            <w:r w:rsidRPr="000111B7">
              <w:rPr>
                <w:rFonts w:ascii="Calibri" w:hAnsi="Calibri" w:cs="Calibri"/>
                <w:i/>
                <w:iCs/>
                <w:color w:val="000000" w:themeColor="text1"/>
              </w:rPr>
              <w:t>p</w:t>
            </w:r>
            <w:r w:rsidRPr="000111B7">
              <w:rPr>
                <w:rFonts w:ascii="Calibri" w:hAnsi="Calibri" w:cs="Calibri"/>
                <w:color w:val="000000" w:themeColor="text1"/>
              </w:rPr>
              <w:t xml:space="preserve"> = 0.0047). </w:t>
            </w:r>
          </w:p>
          <w:p w14:paraId="6B3744F4" w14:textId="77777777" w:rsidR="00B80B9A" w:rsidRPr="000111B7"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0111B7">
              <w:rPr>
                <w:rFonts w:ascii="Calibri" w:hAnsi="Calibri" w:cs="Calibri"/>
                <w:color w:val="000000" w:themeColor="text1"/>
              </w:rPr>
              <w:t>Across sessions, participants receiving placebo CBD reported significantly greater craving after the drug-related cues [M(diff) = 0.93</w:t>
            </w:r>
            <w:r>
              <w:rPr>
                <w:rFonts w:ascii="Calibri" w:hAnsi="Calibri" w:cs="Calibri"/>
                <w:color w:val="000000" w:themeColor="text1"/>
              </w:rPr>
              <w:t>]</w:t>
            </w:r>
            <w:r w:rsidRPr="000111B7">
              <w:rPr>
                <w:rFonts w:ascii="Calibri" w:hAnsi="Calibri" w:cs="Calibri"/>
                <w:color w:val="000000" w:themeColor="text1"/>
              </w:rPr>
              <w:t xml:space="preserve"> compared with participants in the active CBD groups </w:t>
            </w:r>
            <w:r>
              <w:rPr>
                <w:rFonts w:ascii="Calibri" w:hAnsi="Calibri" w:cs="Calibri"/>
                <w:color w:val="000000" w:themeColor="text1"/>
              </w:rPr>
              <w:t>[</w:t>
            </w:r>
            <w:r w:rsidRPr="000111B7">
              <w:rPr>
                <w:rFonts w:ascii="Calibri" w:hAnsi="Calibri" w:cs="Calibri"/>
                <w:color w:val="000000" w:themeColor="text1"/>
              </w:rPr>
              <w:t>400mg CBD: M(diff) = 0.44; 800mg CBD: M(diff) = 0.23</w:t>
            </w:r>
            <w:r>
              <w:rPr>
                <w:rFonts w:ascii="Calibri" w:hAnsi="Calibri" w:cs="Calibri"/>
                <w:color w:val="000000" w:themeColor="text1"/>
              </w:rPr>
              <w:t>]</w:t>
            </w:r>
            <w:r w:rsidRPr="000111B7">
              <w:rPr>
                <w:rFonts w:ascii="Calibri" w:hAnsi="Calibri" w:cs="Calibri"/>
                <w:color w:val="000000" w:themeColor="text1"/>
              </w:rPr>
              <w:t xml:space="preserve">. </w:t>
            </w:r>
          </w:p>
          <w:p w14:paraId="425D3928" w14:textId="77777777" w:rsidR="00B80B9A" w:rsidRPr="000111B7" w:rsidRDefault="00B80B9A" w:rsidP="00B80B9A">
            <w:pPr>
              <w:numPr>
                <w:ilvl w:val="1"/>
                <w:numId w:val="91"/>
              </w:numPr>
              <w:ind w:left="714" w:hanging="357"/>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0111B7">
              <w:rPr>
                <w:rFonts w:ascii="Calibri" w:hAnsi="Calibri" w:cs="Calibri"/>
                <w:color w:val="000000" w:themeColor="text1"/>
              </w:rPr>
              <w:t>No significant difference in craving scores was observed between the active CBD groups (p-value not reported), indicating that both CBD doses (400mg; 800mg) equally reduced craving.</w:t>
            </w:r>
          </w:p>
        </w:tc>
      </w:tr>
      <w:tr w:rsidR="00B80B9A" w:rsidRPr="002F020F" w14:paraId="576362F0"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2F256B65" w14:textId="77777777" w:rsidR="00B80B9A" w:rsidRPr="002F020F" w:rsidRDefault="00B80B9A" w:rsidP="004361E5">
            <w:pPr>
              <w:contextualSpacing/>
            </w:pPr>
            <w:r w:rsidRPr="002F020F">
              <w:lastRenderedPageBreak/>
              <w:t>Safety and Adverse Events</w:t>
            </w:r>
          </w:p>
        </w:tc>
        <w:tc>
          <w:tcPr>
            <w:tcW w:w="3884" w:type="pct"/>
          </w:tcPr>
          <w:p w14:paraId="4995DE14" w14:textId="77777777" w:rsidR="00B80B9A" w:rsidRPr="00E00214" w:rsidRDefault="00B80B9A" w:rsidP="00B80B9A">
            <w:pPr>
              <w:numPr>
                <w:ilvl w:val="0"/>
                <w:numId w:val="92"/>
              </w:numPr>
              <w:contextualSpacing/>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E00214">
              <w:rPr>
                <w:rFonts w:cstheme="minorHAnsi"/>
                <w:color w:val="000000"/>
                <w:szCs w:val="20"/>
              </w:rPr>
              <w:t>No</w:t>
            </w:r>
            <w:r>
              <w:rPr>
                <w:rFonts w:cstheme="minorHAnsi"/>
                <w:color w:val="000000"/>
                <w:szCs w:val="20"/>
              </w:rPr>
              <w:t xml:space="preserve"> </w:t>
            </w:r>
            <w:r w:rsidRPr="00E00214">
              <w:rPr>
                <w:rFonts w:cstheme="minorHAnsi"/>
                <w:color w:val="000000"/>
                <w:szCs w:val="20"/>
              </w:rPr>
              <w:t>serious adverse events were noted in association with CBD</w:t>
            </w:r>
            <w:r>
              <w:rPr>
                <w:rFonts w:cstheme="minorHAnsi"/>
                <w:color w:val="000000"/>
                <w:szCs w:val="20"/>
              </w:rPr>
              <w:t xml:space="preserve"> </w:t>
            </w:r>
            <w:r w:rsidRPr="00E00214">
              <w:rPr>
                <w:rFonts w:cstheme="minorHAnsi"/>
                <w:color w:val="000000"/>
                <w:szCs w:val="20"/>
              </w:rPr>
              <w:t xml:space="preserve">administration throughout the duration of the trial. </w:t>
            </w:r>
          </w:p>
          <w:p w14:paraId="15757DAF" w14:textId="77777777" w:rsidR="00B80B9A" w:rsidRPr="00A2256B" w:rsidRDefault="00B80B9A" w:rsidP="00B80B9A">
            <w:pPr>
              <w:numPr>
                <w:ilvl w:val="0"/>
                <w:numId w:val="92"/>
              </w:numPr>
              <w:ind w:left="357" w:hanging="357"/>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E00214">
              <w:rPr>
                <w:rFonts w:cstheme="minorHAnsi"/>
                <w:color w:val="000000"/>
                <w:szCs w:val="20"/>
              </w:rPr>
              <w:t>Mild diarrhoea was reported in three participants, headache in</w:t>
            </w:r>
            <w:r>
              <w:rPr>
                <w:rFonts w:cstheme="minorHAnsi"/>
                <w:color w:val="000000"/>
                <w:szCs w:val="20"/>
              </w:rPr>
              <w:t xml:space="preserve"> </w:t>
            </w:r>
            <w:r w:rsidRPr="00E00214">
              <w:rPr>
                <w:rFonts w:cstheme="minorHAnsi"/>
                <w:color w:val="000000"/>
                <w:szCs w:val="20"/>
              </w:rPr>
              <w:t xml:space="preserve">three </w:t>
            </w:r>
            <w:r>
              <w:rPr>
                <w:rFonts w:cstheme="minorHAnsi"/>
                <w:color w:val="000000"/>
                <w:szCs w:val="20"/>
              </w:rPr>
              <w:t xml:space="preserve">participants </w:t>
            </w:r>
            <w:r w:rsidRPr="00E00214">
              <w:rPr>
                <w:rFonts w:cstheme="minorHAnsi"/>
                <w:color w:val="000000"/>
                <w:szCs w:val="20"/>
              </w:rPr>
              <w:t>(two of whom had received placebo), and tiredness or</w:t>
            </w:r>
            <w:r>
              <w:rPr>
                <w:rFonts w:cstheme="minorHAnsi"/>
                <w:color w:val="000000"/>
                <w:szCs w:val="20"/>
              </w:rPr>
              <w:t xml:space="preserve"> </w:t>
            </w:r>
            <w:r w:rsidRPr="00E00214">
              <w:rPr>
                <w:rFonts w:cstheme="minorHAnsi"/>
                <w:color w:val="000000"/>
                <w:szCs w:val="20"/>
              </w:rPr>
              <w:t xml:space="preserve">fatigue </w:t>
            </w:r>
            <w:r>
              <w:rPr>
                <w:rFonts w:cstheme="minorHAnsi"/>
                <w:color w:val="000000"/>
                <w:szCs w:val="20"/>
              </w:rPr>
              <w:t>in</w:t>
            </w:r>
            <w:r w:rsidRPr="00E00214">
              <w:rPr>
                <w:rFonts w:cstheme="minorHAnsi"/>
                <w:color w:val="000000"/>
                <w:szCs w:val="20"/>
              </w:rPr>
              <w:t xml:space="preserve"> two participants (one had received</w:t>
            </w:r>
            <w:r>
              <w:rPr>
                <w:rFonts w:cstheme="minorHAnsi"/>
                <w:color w:val="000000"/>
                <w:szCs w:val="20"/>
              </w:rPr>
              <w:t xml:space="preserve"> </w:t>
            </w:r>
            <w:r w:rsidRPr="00E00214">
              <w:rPr>
                <w:rFonts w:cstheme="minorHAnsi"/>
                <w:color w:val="000000"/>
                <w:szCs w:val="20"/>
              </w:rPr>
              <w:t>placebo; the other 800 mg CBD)</w:t>
            </w:r>
            <w:r>
              <w:rPr>
                <w:rFonts w:cstheme="minorHAnsi"/>
                <w:color w:val="000000"/>
                <w:szCs w:val="20"/>
              </w:rPr>
              <w:t>.</w:t>
            </w:r>
          </w:p>
        </w:tc>
      </w:tr>
    </w:tbl>
    <w:p w14:paraId="1AD76C27" w14:textId="77777777" w:rsidR="00B80B9A" w:rsidRPr="00841088" w:rsidRDefault="00B80B9A" w:rsidP="00B80B9A"/>
    <w:p w14:paraId="555CDB46" w14:textId="77777777" w:rsidR="00B80B9A" w:rsidRDefault="00B80B9A" w:rsidP="00B80B9A">
      <w:pPr>
        <w:pStyle w:val="ListParagraph"/>
        <w:keepNext/>
        <w:keepLines/>
        <w:numPr>
          <w:ilvl w:val="0"/>
          <w:numId w:val="28"/>
        </w:numPr>
        <w:spacing w:before="40" w:after="40"/>
        <w:outlineLvl w:val="1"/>
        <w:rPr>
          <w:rFonts w:ascii="Calibri Light" w:eastAsia="Times New Roman" w:hAnsi="Calibri Light" w:cs="Times New Roman"/>
          <w:color w:val="2E74B5"/>
          <w:sz w:val="26"/>
          <w:szCs w:val="26"/>
        </w:rPr>
      </w:pPr>
      <w:bookmarkStart w:id="322" w:name="_Toc165018244"/>
      <w:r>
        <w:rPr>
          <w:rFonts w:ascii="Calibri Light" w:eastAsia="Times New Roman" w:hAnsi="Calibri Light" w:cs="Times New Roman"/>
          <w:color w:val="2E74B5"/>
          <w:sz w:val="26"/>
          <w:szCs w:val="26"/>
        </w:rPr>
        <w:t>Synthetic C</w:t>
      </w:r>
      <w:r w:rsidRPr="00187FE8">
        <w:rPr>
          <w:rFonts w:ascii="Calibri Light" w:eastAsia="Times New Roman" w:hAnsi="Calibri Light" w:cs="Times New Roman"/>
          <w:color w:val="2E74B5"/>
          <w:sz w:val="26"/>
          <w:szCs w:val="26"/>
        </w:rPr>
        <w:t>annabi</w:t>
      </w:r>
      <w:r>
        <w:rPr>
          <w:rFonts w:ascii="Calibri Light" w:eastAsia="Times New Roman" w:hAnsi="Calibri Light" w:cs="Times New Roman"/>
          <w:color w:val="2E74B5"/>
          <w:sz w:val="26"/>
          <w:szCs w:val="26"/>
        </w:rPr>
        <w:t>diol (CBD) for Tobacco U</w:t>
      </w:r>
      <w:r w:rsidRPr="00187FE8">
        <w:rPr>
          <w:rFonts w:ascii="Calibri Light" w:eastAsia="Times New Roman" w:hAnsi="Calibri Light" w:cs="Times New Roman"/>
          <w:color w:val="2E74B5"/>
          <w:sz w:val="26"/>
          <w:szCs w:val="26"/>
        </w:rPr>
        <w:t>se Disorder</w:t>
      </w:r>
      <w:r>
        <w:rPr>
          <w:rFonts w:ascii="Calibri Light" w:eastAsia="Times New Roman" w:hAnsi="Calibri Light" w:cs="Times New Roman"/>
          <w:color w:val="2E74B5"/>
          <w:sz w:val="26"/>
          <w:szCs w:val="26"/>
        </w:rPr>
        <w:t xml:space="preserve"> (TUD)</w:t>
      </w:r>
      <w:r w:rsidRPr="00187FE8">
        <w:rPr>
          <w:rFonts w:ascii="Calibri Light" w:eastAsia="Times New Roman" w:hAnsi="Calibri Light" w:cs="Times New Roman"/>
          <w:color w:val="2E74B5"/>
          <w:sz w:val="26"/>
          <w:szCs w:val="26"/>
        </w:rPr>
        <w:t xml:space="preserve">: </w:t>
      </w:r>
      <w:r>
        <w:rPr>
          <w:rFonts w:ascii="Calibri Light" w:eastAsia="Times New Roman" w:hAnsi="Calibri Light" w:cs="Times New Roman"/>
          <w:color w:val="2E74B5"/>
          <w:sz w:val="26"/>
          <w:szCs w:val="26"/>
        </w:rPr>
        <w:t>Standalone</w:t>
      </w:r>
      <w:r w:rsidRPr="00187FE8">
        <w:rPr>
          <w:rFonts w:ascii="Calibri Light" w:eastAsia="Times New Roman" w:hAnsi="Calibri Light" w:cs="Times New Roman"/>
          <w:color w:val="2E74B5"/>
          <w:sz w:val="26"/>
          <w:szCs w:val="26"/>
        </w:rPr>
        <w:t xml:space="preserve"> intervention</w:t>
      </w:r>
      <w:bookmarkEnd w:id="322"/>
    </w:p>
    <w:tbl>
      <w:tblPr>
        <w:tblStyle w:val="GridTable5Dark-Accent5"/>
        <w:tblW w:w="5000" w:type="pct"/>
        <w:tblLook w:val="04A0" w:firstRow="1" w:lastRow="0" w:firstColumn="1" w:lastColumn="0" w:noHBand="0" w:noVBand="1"/>
      </w:tblPr>
      <w:tblGrid>
        <w:gridCol w:w="2012"/>
        <w:gridCol w:w="7004"/>
      </w:tblGrid>
      <w:tr w:rsidR="00B80B9A" w:rsidRPr="002F020F" w14:paraId="260F1EF3" w14:textId="77777777" w:rsidTr="004F2F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6654F4BA" w14:textId="77777777" w:rsidR="00B80B9A" w:rsidRPr="002F020F" w:rsidRDefault="00B80B9A" w:rsidP="004361E5">
            <w:r w:rsidRPr="002F020F">
              <w:t>Citation</w:t>
            </w:r>
          </w:p>
        </w:tc>
        <w:tc>
          <w:tcPr>
            <w:tcW w:w="3884" w:type="pct"/>
          </w:tcPr>
          <w:p w14:paraId="643D7DC7" w14:textId="77777777" w:rsidR="00B80B9A" w:rsidRPr="00AC47CB" w:rsidRDefault="00B80B9A" w:rsidP="004361E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rPr>
            </w:pPr>
            <w:r w:rsidRPr="00AC47CB">
              <w:rPr>
                <w:rFonts w:cstheme="minorHAnsi"/>
                <w:szCs w:val="20"/>
              </w:rPr>
              <w:t>Hindocha et al. (2018)</w:t>
            </w:r>
          </w:p>
        </w:tc>
      </w:tr>
      <w:tr w:rsidR="00B80B9A" w:rsidRPr="002F020F" w14:paraId="0DB372CC"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2D231A15" w14:textId="77777777" w:rsidR="00B80B9A" w:rsidRPr="002F020F" w:rsidRDefault="00B80B9A" w:rsidP="004361E5">
            <w:r w:rsidRPr="002F020F">
              <w:t>Study Design</w:t>
            </w:r>
          </w:p>
        </w:tc>
        <w:tc>
          <w:tcPr>
            <w:tcW w:w="3884" w:type="pct"/>
          </w:tcPr>
          <w:p w14:paraId="36AC6E3F" w14:textId="77777777" w:rsidR="00B80B9A" w:rsidRPr="00F9372F" w:rsidRDefault="00B80B9A" w:rsidP="00B80B9A">
            <w:pPr>
              <w:pStyle w:val="ListParagraph"/>
              <w:numPr>
                <w:ilvl w:val="0"/>
                <w:numId w:val="9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Pr>
                <w:rFonts w:cstheme="minorHAnsi"/>
                <w:szCs w:val="20"/>
              </w:rPr>
              <w:t>D</w:t>
            </w:r>
            <w:r w:rsidRPr="00192E5D">
              <w:rPr>
                <w:rFonts w:cstheme="minorHAnsi"/>
                <w:szCs w:val="20"/>
              </w:rPr>
              <w:t xml:space="preserve">ouble-blind, randomised, </w:t>
            </w:r>
            <w:r>
              <w:rPr>
                <w:rFonts w:cstheme="minorHAnsi"/>
                <w:szCs w:val="20"/>
              </w:rPr>
              <w:t>placebo-controlled, trial.</w:t>
            </w:r>
          </w:p>
          <w:p w14:paraId="100E3FD4" w14:textId="77777777" w:rsidR="00B80B9A" w:rsidRPr="002F020F" w:rsidRDefault="00B80B9A" w:rsidP="00B80B9A">
            <w:pPr>
              <w:pStyle w:val="ListParagraph"/>
              <w:numPr>
                <w:ilvl w:val="0"/>
                <w:numId w:val="9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Pr>
                <w:rFonts w:cstheme="minorHAnsi"/>
                <w:szCs w:val="20"/>
              </w:rPr>
              <w:t>Crossover design.</w:t>
            </w:r>
          </w:p>
        </w:tc>
      </w:tr>
      <w:tr w:rsidR="00B80B9A" w:rsidRPr="002F020F" w14:paraId="05B75654"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3847BA3A" w14:textId="77777777" w:rsidR="00B80B9A" w:rsidRPr="002F020F" w:rsidRDefault="00B80B9A" w:rsidP="004361E5">
            <w:r w:rsidRPr="002F020F">
              <w:t>Sample Size</w:t>
            </w:r>
          </w:p>
        </w:tc>
        <w:tc>
          <w:tcPr>
            <w:tcW w:w="3884" w:type="pct"/>
          </w:tcPr>
          <w:p w14:paraId="32C00CCD" w14:textId="77777777" w:rsidR="00B80B9A"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Pr>
                <w:szCs w:val="20"/>
              </w:rPr>
              <w:t>30 participants (per-protocol sample).</w:t>
            </w:r>
          </w:p>
          <w:p w14:paraId="0CB7E420" w14:textId="77777777" w:rsidR="00B80B9A" w:rsidRPr="000729AE"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Pr>
                <w:szCs w:val="20"/>
              </w:rPr>
              <w:t xml:space="preserve">44 participants were enrolled; 14 participants (&gt; 30%) were excluded from analyses following baseline (satiation) assessments: </w:t>
            </w:r>
            <w:r w:rsidRPr="00995647">
              <w:rPr>
                <w:szCs w:val="20"/>
              </w:rPr>
              <w:t>5 participants</w:t>
            </w:r>
            <w:r>
              <w:rPr>
                <w:szCs w:val="20"/>
              </w:rPr>
              <w:t xml:space="preserve"> were</w:t>
            </w:r>
            <w:r w:rsidRPr="00995647">
              <w:rPr>
                <w:szCs w:val="20"/>
              </w:rPr>
              <w:t xml:space="preserve"> excluded due to low carbon monoxide readings; 2 participants </w:t>
            </w:r>
            <w:r>
              <w:rPr>
                <w:szCs w:val="20"/>
              </w:rPr>
              <w:t xml:space="preserve">were </w:t>
            </w:r>
            <w:r w:rsidRPr="00995647">
              <w:rPr>
                <w:szCs w:val="20"/>
              </w:rPr>
              <w:t xml:space="preserve">excluded due to positive drug urine screens; </w:t>
            </w:r>
            <w:r>
              <w:rPr>
                <w:szCs w:val="20"/>
              </w:rPr>
              <w:t xml:space="preserve">and </w:t>
            </w:r>
            <w:r w:rsidRPr="00995647">
              <w:rPr>
                <w:szCs w:val="20"/>
              </w:rPr>
              <w:t>7 participants voluntarily dropped out</w:t>
            </w:r>
            <w:r>
              <w:rPr>
                <w:szCs w:val="20"/>
              </w:rPr>
              <w:t xml:space="preserve"> of the study</w:t>
            </w:r>
            <w:r w:rsidRPr="00995647">
              <w:rPr>
                <w:szCs w:val="20"/>
              </w:rPr>
              <w:t>.</w:t>
            </w:r>
          </w:p>
        </w:tc>
      </w:tr>
      <w:tr w:rsidR="00B80B9A" w:rsidRPr="002F020F" w14:paraId="3F434C2B"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577788E" w14:textId="77777777" w:rsidR="00B80B9A" w:rsidRPr="0094024F" w:rsidRDefault="00B80B9A" w:rsidP="004361E5">
            <w:pPr>
              <w:rPr>
                <w:b w:val="0"/>
                <w:bCs w:val="0"/>
              </w:rPr>
            </w:pPr>
            <w:r w:rsidRPr="002F020F">
              <w:t>Population</w:t>
            </w:r>
          </w:p>
        </w:tc>
        <w:tc>
          <w:tcPr>
            <w:tcW w:w="3884" w:type="pct"/>
          </w:tcPr>
          <w:p w14:paraId="3358C796" w14:textId="77777777" w:rsidR="00B80B9A" w:rsidRPr="00A12CA1"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A12CA1">
              <w:rPr>
                <w:rFonts w:cstheme="minorHAnsi"/>
                <w:color w:val="000000"/>
                <w:szCs w:val="20"/>
              </w:rPr>
              <w:t>United Kingdom</w:t>
            </w:r>
            <w:r>
              <w:rPr>
                <w:rFonts w:cstheme="minorHAnsi"/>
                <w:color w:val="000000"/>
                <w:szCs w:val="20"/>
              </w:rPr>
              <w:t>.</w:t>
            </w:r>
          </w:p>
          <w:p w14:paraId="6FEDA3D3" w14:textId="77777777" w:rsidR="00B80B9A"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N</w:t>
            </w:r>
            <w:r w:rsidRPr="00A12CA1">
              <w:rPr>
                <w:rFonts w:cstheme="minorHAnsi"/>
                <w:color w:val="000000"/>
                <w:szCs w:val="20"/>
              </w:rPr>
              <w:t>icotine dependent</w:t>
            </w:r>
            <w:r>
              <w:rPr>
                <w:rFonts w:cstheme="minorHAnsi"/>
                <w:color w:val="000000"/>
                <w:szCs w:val="20"/>
              </w:rPr>
              <w:t>,</w:t>
            </w:r>
            <w:r w:rsidRPr="00A12CA1">
              <w:rPr>
                <w:rFonts w:cstheme="minorHAnsi"/>
                <w:color w:val="000000"/>
                <w:szCs w:val="20"/>
              </w:rPr>
              <w:t xml:space="preserve"> cigarette smokers</w:t>
            </w:r>
            <w:r>
              <w:rPr>
                <w:rFonts w:cstheme="minorHAnsi"/>
                <w:color w:val="000000"/>
                <w:szCs w:val="20"/>
              </w:rPr>
              <w:t>.</w:t>
            </w:r>
          </w:p>
          <w:p w14:paraId="0AB2C9CB" w14:textId="77777777" w:rsidR="00B80B9A" w:rsidRPr="00A12CA1"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A12CA1">
              <w:rPr>
                <w:rFonts w:cstheme="minorHAnsi"/>
                <w:color w:val="000000"/>
                <w:szCs w:val="20"/>
              </w:rPr>
              <w:t>No</w:t>
            </w:r>
            <w:r>
              <w:rPr>
                <w:rFonts w:cstheme="minorHAnsi"/>
                <w:color w:val="000000"/>
                <w:szCs w:val="20"/>
              </w:rPr>
              <w:t xml:space="preserve">t </w:t>
            </w:r>
            <w:r w:rsidRPr="00A12CA1">
              <w:rPr>
                <w:rFonts w:cstheme="minorHAnsi"/>
                <w:color w:val="000000"/>
                <w:szCs w:val="20"/>
              </w:rPr>
              <w:t>treatment</w:t>
            </w:r>
            <w:r>
              <w:rPr>
                <w:rFonts w:cstheme="minorHAnsi"/>
                <w:color w:val="000000"/>
                <w:szCs w:val="20"/>
              </w:rPr>
              <w:t xml:space="preserve"> </w:t>
            </w:r>
            <w:r w:rsidRPr="00A12CA1">
              <w:rPr>
                <w:rFonts w:cstheme="minorHAnsi"/>
                <w:color w:val="000000"/>
                <w:szCs w:val="20"/>
              </w:rPr>
              <w:t>seeking</w:t>
            </w:r>
            <w:r>
              <w:rPr>
                <w:rFonts w:cstheme="minorHAnsi"/>
                <w:color w:val="000000"/>
                <w:szCs w:val="20"/>
              </w:rPr>
              <w:t>.</w:t>
            </w:r>
          </w:p>
          <w:p w14:paraId="07F43935" w14:textId="77777777" w:rsidR="00B80B9A" w:rsidRPr="002F020F" w:rsidRDefault="00B80B9A" w:rsidP="00B80B9A">
            <w:pPr>
              <w:pStyle w:val="ListParagraph"/>
              <w:numPr>
                <w:ilvl w:val="0"/>
                <w:numId w:val="93"/>
              </w:numPr>
              <w:spacing w:after="120"/>
              <w:ind w:left="357" w:hanging="357"/>
              <w:cnfStyle w:val="000000100000" w:firstRow="0" w:lastRow="0" w:firstColumn="0" w:lastColumn="0" w:oddVBand="0" w:evenVBand="0" w:oddHBand="1" w:evenHBand="0" w:firstRowFirstColumn="0" w:firstRowLastColumn="0" w:lastRowFirstColumn="0" w:lastRowLastColumn="0"/>
            </w:pPr>
            <w:r>
              <w:rPr>
                <w:rFonts w:cstheme="minorHAnsi"/>
                <w:color w:val="000000"/>
                <w:szCs w:val="20"/>
              </w:rPr>
              <w:t xml:space="preserve">Total sample: M = </w:t>
            </w:r>
            <w:r w:rsidRPr="00A12CA1">
              <w:rPr>
                <w:rFonts w:cstheme="minorHAnsi"/>
                <w:color w:val="000000"/>
                <w:szCs w:val="20"/>
              </w:rPr>
              <w:t>28.07 years (</w:t>
            </w:r>
            <w:r>
              <w:rPr>
                <w:rFonts w:cstheme="minorHAnsi"/>
                <w:color w:val="000000"/>
                <w:szCs w:val="20"/>
              </w:rPr>
              <w:t xml:space="preserve">SD = </w:t>
            </w:r>
            <w:r w:rsidRPr="00A12CA1">
              <w:rPr>
                <w:rFonts w:cstheme="minorHAnsi"/>
                <w:color w:val="000000"/>
                <w:szCs w:val="20"/>
              </w:rPr>
              <w:t>8.66); 54% male</w:t>
            </w:r>
            <w:r>
              <w:rPr>
                <w:rFonts w:cstheme="minorHAnsi"/>
                <w:color w:val="000000"/>
                <w:szCs w:val="20"/>
              </w:rPr>
              <w:t>.</w:t>
            </w:r>
          </w:p>
        </w:tc>
      </w:tr>
      <w:tr w:rsidR="00B80B9A" w:rsidRPr="002F020F" w14:paraId="2EC9DF8D"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13CDE404" w14:textId="77777777" w:rsidR="00B80B9A" w:rsidRPr="002F020F" w:rsidRDefault="00B80B9A" w:rsidP="004361E5">
            <w:pPr>
              <w:spacing w:line="259" w:lineRule="auto"/>
              <w:rPr>
                <w:b w:val="0"/>
                <w:bCs w:val="0"/>
              </w:rPr>
            </w:pPr>
            <w:r w:rsidRPr="002F020F">
              <w:t xml:space="preserve">Intervention/s (I) and </w:t>
            </w:r>
          </w:p>
          <w:p w14:paraId="5CB1317D" w14:textId="77777777" w:rsidR="00B80B9A" w:rsidRPr="002F020F" w:rsidRDefault="00B80B9A" w:rsidP="004361E5">
            <w:pPr>
              <w:spacing w:line="259" w:lineRule="auto"/>
            </w:pPr>
            <w:r w:rsidRPr="002F020F">
              <w:t xml:space="preserve">Comparator/s (C) </w:t>
            </w:r>
          </w:p>
        </w:tc>
        <w:tc>
          <w:tcPr>
            <w:tcW w:w="3884" w:type="pct"/>
          </w:tcPr>
          <w:p w14:paraId="14C45F8E" w14:textId="77777777" w:rsidR="00B80B9A" w:rsidRPr="00E27779" w:rsidRDefault="00B80B9A" w:rsidP="00B80B9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t>After overnight smoking abstinence, all p</w:t>
            </w:r>
            <w:r w:rsidRPr="7F2F8ECC">
              <w:t>articipants receive</w:t>
            </w:r>
            <w:r>
              <w:t>d</w:t>
            </w:r>
            <w:r w:rsidRPr="7F2F8ECC">
              <w:t xml:space="preserve"> two interventions </w:t>
            </w:r>
            <w:r>
              <w:t xml:space="preserve">(oral capsules) </w:t>
            </w:r>
            <w:r w:rsidRPr="7F2F8ECC">
              <w:t xml:space="preserve">in a </w:t>
            </w:r>
            <w:r>
              <w:t xml:space="preserve">crossover design (with intervention order randomised, and counterbalanced across gender, </w:t>
            </w:r>
            <w:r>
              <w:rPr>
                <w:color w:val="000000" w:themeColor="text1"/>
              </w:rPr>
              <w:t xml:space="preserve">and </w:t>
            </w:r>
            <w:r w:rsidRPr="7F2F8ECC">
              <w:rPr>
                <w:color w:val="000000" w:themeColor="text1"/>
              </w:rPr>
              <w:t xml:space="preserve">a washout period of at least </w:t>
            </w:r>
            <w:r>
              <w:rPr>
                <w:color w:val="000000" w:themeColor="text1"/>
              </w:rPr>
              <w:t>one week between conditions</w:t>
            </w:r>
            <w:r>
              <w:t>).</w:t>
            </w:r>
          </w:p>
          <w:p w14:paraId="4C928794" w14:textId="77777777" w:rsidR="00B80B9A" w:rsidRPr="00A12CA1" w:rsidRDefault="00B80B9A" w:rsidP="00B80B9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A12CA1">
              <w:rPr>
                <w:rFonts w:cstheme="minorHAnsi"/>
                <w:color w:val="000000"/>
                <w:szCs w:val="20"/>
              </w:rPr>
              <w:t>I</w:t>
            </w:r>
            <w:r>
              <w:rPr>
                <w:rFonts w:cstheme="minorHAnsi"/>
                <w:color w:val="000000"/>
                <w:szCs w:val="20"/>
              </w:rPr>
              <w:t xml:space="preserve"> (n = 30)</w:t>
            </w:r>
            <w:r w:rsidRPr="00A12CA1">
              <w:rPr>
                <w:rFonts w:cstheme="minorHAnsi"/>
                <w:color w:val="000000"/>
                <w:szCs w:val="20"/>
              </w:rPr>
              <w:t>: 800 mg CBD (pure synthetic CBD product)</w:t>
            </w:r>
            <w:r>
              <w:rPr>
                <w:rFonts w:cstheme="minorHAnsi"/>
                <w:color w:val="000000"/>
                <w:szCs w:val="20"/>
              </w:rPr>
              <w:t>.</w:t>
            </w:r>
          </w:p>
          <w:p w14:paraId="2C680D10" w14:textId="77777777" w:rsidR="00B80B9A" w:rsidRPr="002F020F" w:rsidRDefault="00B80B9A" w:rsidP="00B80B9A">
            <w:pPr>
              <w:pStyle w:val="ListParagraph"/>
              <w:numPr>
                <w:ilvl w:val="0"/>
                <w:numId w:val="95"/>
              </w:numPr>
              <w:spacing w:after="120"/>
              <w:cnfStyle w:val="000000000000" w:firstRow="0" w:lastRow="0" w:firstColumn="0" w:lastColumn="0" w:oddVBand="0" w:evenVBand="0" w:oddHBand="0" w:evenHBand="0" w:firstRowFirstColumn="0" w:firstRowLastColumn="0" w:lastRowFirstColumn="0" w:lastRowLastColumn="0"/>
            </w:pPr>
            <w:r>
              <w:rPr>
                <w:rFonts w:cstheme="minorHAnsi"/>
                <w:color w:val="000000"/>
                <w:szCs w:val="20"/>
              </w:rPr>
              <w:t xml:space="preserve">C (n = 30): </w:t>
            </w:r>
            <w:r w:rsidRPr="002425CA">
              <w:rPr>
                <w:rFonts w:cstheme="minorHAnsi"/>
                <w:color w:val="000000"/>
                <w:szCs w:val="20"/>
              </w:rPr>
              <w:t>matched placebo (lactose powder)</w:t>
            </w:r>
            <w:r>
              <w:rPr>
                <w:rFonts w:cstheme="minorHAnsi"/>
                <w:color w:val="000000"/>
                <w:szCs w:val="20"/>
              </w:rPr>
              <w:t>.</w:t>
            </w:r>
          </w:p>
        </w:tc>
      </w:tr>
      <w:tr w:rsidR="00B80B9A" w:rsidRPr="002F020F" w14:paraId="7CA1C111"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191FBAB" w14:textId="77777777" w:rsidR="00B80B9A" w:rsidRPr="002F020F" w:rsidRDefault="00B80B9A" w:rsidP="004361E5">
            <w:pPr>
              <w:spacing w:line="259" w:lineRule="auto"/>
            </w:pPr>
            <w:r w:rsidRPr="002F020F">
              <w:t>Outcome Measure/s</w:t>
            </w:r>
          </w:p>
        </w:tc>
        <w:tc>
          <w:tcPr>
            <w:tcW w:w="3884" w:type="pct"/>
          </w:tcPr>
          <w:p w14:paraId="287081A0" w14:textId="77777777" w:rsidR="00B80B9A" w:rsidRPr="00112091" w:rsidRDefault="00B80B9A" w:rsidP="00B80B9A">
            <w:pPr>
              <w:pStyle w:val="ListParagraph"/>
              <w:numPr>
                <w:ilvl w:val="0"/>
                <w:numId w:val="95"/>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112091">
              <w:rPr>
                <w:rFonts w:cstheme="minorHAnsi"/>
                <w:bCs/>
                <w:color w:val="000000"/>
                <w:szCs w:val="20"/>
              </w:rPr>
              <w:t>Primary:</w:t>
            </w:r>
          </w:p>
          <w:p w14:paraId="7F299AEE" w14:textId="77777777" w:rsidR="00B80B9A" w:rsidRDefault="00B80B9A" w:rsidP="00B80B9A">
            <w:pPr>
              <w:pStyle w:val="ListParagraph"/>
              <w:numPr>
                <w:ilvl w:val="1"/>
                <w:numId w:val="95"/>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 xml:space="preserve">Withdrawal: </w:t>
            </w:r>
            <w:r w:rsidRPr="00112091">
              <w:rPr>
                <w:rFonts w:cstheme="minorHAnsi"/>
                <w:color w:val="000000"/>
                <w:szCs w:val="20"/>
              </w:rPr>
              <w:t>Mood and Physical Symptoms Scale (MPSS)</w:t>
            </w:r>
            <w:r>
              <w:rPr>
                <w:rFonts w:cstheme="minorHAnsi"/>
                <w:color w:val="000000"/>
                <w:szCs w:val="20"/>
              </w:rPr>
              <w:t>.</w:t>
            </w:r>
          </w:p>
          <w:p w14:paraId="7A29AB6C" w14:textId="77777777" w:rsidR="00B80B9A" w:rsidRPr="00112091" w:rsidRDefault="00B80B9A" w:rsidP="00B80B9A">
            <w:pPr>
              <w:pStyle w:val="ListParagraph"/>
              <w:numPr>
                <w:ilvl w:val="1"/>
                <w:numId w:val="95"/>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 xml:space="preserve">Craving: </w:t>
            </w:r>
            <w:r w:rsidRPr="00112091">
              <w:rPr>
                <w:rFonts w:cstheme="minorHAnsi"/>
                <w:color w:val="000000"/>
                <w:szCs w:val="20"/>
              </w:rPr>
              <w:t>Questionnaire of Smoking Urges</w:t>
            </w:r>
            <w:r>
              <w:rPr>
                <w:rFonts w:cstheme="minorHAnsi"/>
                <w:color w:val="000000"/>
                <w:szCs w:val="20"/>
              </w:rPr>
              <w:t xml:space="preserve"> </w:t>
            </w:r>
            <w:r w:rsidRPr="00112091">
              <w:rPr>
                <w:rFonts w:cstheme="minorHAnsi"/>
                <w:color w:val="000000"/>
                <w:szCs w:val="20"/>
              </w:rPr>
              <w:t>–</w:t>
            </w:r>
            <w:r>
              <w:rPr>
                <w:rFonts w:cstheme="minorHAnsi"/>
                <w:color w:val="000000"/>
                <w:szCs w:val="20"/>
              </w:rPr>
              <w:t xml:space="preserve"> </w:t>
            </w:r>
            <w:r w:rsidRPr="00112091">
              <w:rPr>
                <w:rFonts w:cstheme="minorHAnsi"/>
                <w:color w:val="000000"/>
                <w:szCs w:val="20"/>
              </w:rPr>
              <w:t>Brief (QSU-B)</w:t>
            </w:r>
            <w:r>
              <w:rPr>
                <w:rFonts w:cstheme="minorHAnsi"/>
                <w:color w:val="000000"/>
                <w:szCs w:val="20"/>
              </w:rPr>
              <w:t>.</w:t>
            </w:r>
          </w:p>
          <w:p w14:paraId="2BA23DF4" w14:textId="77777777" w:rsidR="00B80B9A" w:rsidRPr="00112091" w:rsidRDefault="00B80B9A" w:rsidP="00B80B9A">
            <w:pPr>
              <w:pStyle w:val="ListParagraph"/>
              <w:numPr>
                <w:ilvl w:val="0"/>
                <w:numId w:val="95"/>
              </w:numPr>
              <w:spacing w:after="120"/>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112091">
              <w:rPr>
                <w:rFonts w:cstheme="minorHAnsi"/>
                <w:bCs/>
                <w:color w:val="000000"/>
                <w:szCs w:val="20"/>
              </w:rPr>
              <w:t xml:space="preserve">Secondary: </w:t>
            </w:r>
          </w:p>
          <w:p w14:paraId="0A2F8CE4" w14:textId="77777777" w:rsidR="00B80B9A" w:rsidRPr="00112091" w:rsidRDefault="00B80B9A" w:rsidP="00B80B9A">
            <w:pPr>
              <w:pStyle w:val="ListParagraph"/>
              <w:numPr>
                <w:ilvl w:val="1"/>
                <w:numId w:val="95"/>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112091">
              <w:rPr>
                <w:rFonts w:cstheme="minorHAnsi"/>
                <w:color w:val="000000"/>
                <w:szCs w:val="20"/>
              </w:rPr>
              <w:t>Attentional bias to pictorial tobacco cues recorded using a visual probe task and a pleasantness rating task (PRT).</w:t>
            </w:r>
          </w:p>
          <w:p w14:paraId="5D3CB2BC" w14:textId="77777777" w:rsidR="00B80B9A" w:rsidRPr="00E27779" w:rsidRDefault="00B80B9A" w:rsidP="00B80B9A">
            <w:pPr>
              <w:pStyle w:val="ListParagraph"/>
              <w:numPr>
                <w:ilvl w:val="1"/>
                <w:numId w:val="95"/>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 xml:space="preserve">Side effects: </w:t>
            </w:r>
            <w:r w:rsidRPr="00112091">
              <w:rPr>
                <w:rFonts w:cstheme="minorHAnsi"/>
                <w:color w:val="000000"/>
                <w:szCs w:val="20"/>
              </w:rPr>
              <w:t>6-item</w:t>
            </w:r>
            <w:r>
              <w:rPr>
                <w:rFonts w:cstheme="minorHAnsi"/>
                <w:color w:val="000000"/>
                <w:szCs w:val="20"/>
              </w:rPr>
              <w:t>,</w:t>
            </w:r>
            <w:r w:rsidRPr="00112091">
              <w:rPr>
                <w:rFonts w:cstheme="minorHAnsi"/>
                <w:color w:val="000000"/>
                <w:szCs w:val="20"/>
              </w:rPr>
              <w:t xml:space="preserve"> 10-point</w:t>
            </w:r>
            <w:r>
              <w:rPr>
                <w:rFonts w:cstheme="minorHAnsi"/>
                <w:color w:val="000000"/>
                <w:szCs w:val="20"/>
              </w:rPr>
              <w:t>,</w:t>
            </w:r>
            <w:r w:rsidRPr="00112091">
              <w:rPr>
                <w:rFonts w:cstheme="minorHAnsi"/>
                <w:color w:val="000000"/>
                <w:szCs w:val="20"/>
              </w:rPr>
              <w:t xml:space="preserve"> Visual</w:t>
            </w:r>
            <w:r>
              <w:rPr>
                <w:rFonts w:cstheme="minorHAnsi"/>
                <w:color w:val="000000"/>
                <w:szCs w:val="20"/>
              </w:rPr>
              <w:t xml:space="preserve"> A</w:t>
            </w:r>
            <w:r w:rsidRPr="00112091">
              <w:rPr>
                <w:rFonts w:cstheme="minorHAnsi"/>
                <w:color w:val="000000"/>
                <w:szCs w:val="20"/>
              </w:rPr>
              <w:t xml:space="preserve">nalogue </w:t>
            </w:r>
            <w:r>
              <w:rPr>
                <w:rFonts w:cstheme="minorHAnsi"/>
                <w:color w:val="000000"/>
                <w:szCs w:val="20"/>
              </w:rPr>
              <w:t>S</w:t>
            </w:r>
            <w:r w:rsidRPr="00112091">
              <w:rPr>
                <w:rFonts w:cstheme="minorHAnsi"/>
                <w:color w:val="000000"/>
                <w:szCs w:val="20"/>
              </w:rPr>
              <w:t>cale</w:t>
            </w:r>
            <w:r>
              <w:rPr>
                <w:rFonts w:cstheme="minorHAnsi"/>
                <w:color w:val="000000"/>
                <w:szCs w:val="20"/>
              </w:rPr>
              <w:t xml:space="preserve"> (VAS).</w:t>
            </w:r>
          </w:p>
        </w:tc>
      </w:tr>
      <w:tr w:rsidR="00B80B9A" w:rsidRPr="002F020F" w14:paraId="0176E145"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6478A328" w14:textId="77777777" w:rsidR="00B80B9A" w:rsidRPr="002F020F" w:rsidRDefault="00B80B9A" w:rsidP="004361E5">
            <w:r w:rsidRPr="002F020F">
              <w:t>General</w:t>
            </w:r>
          </w:p>
        </w:tc>
        <w:tc>
          <w:tcPr>
            <w:tcW w:w="3884" w:type="pct"/>
          </w:tcPr>
          <w:p w14:paraId="03182AA6" w14:textId="77777777" w:rsidR="00B80B9A" w:rsidRPr="002C485E"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F66699">
              <w:rPr>
                <w:rFonts w:ascii="Calibri" w:hAnsi="Calibri" w:cs="Calibri"/>
                <w:color w:val="000000"/>
                <w:szCs w:val="20"/>
              </w:rPr>
              <w:t xml:space="preserve">The </w:t>
            </w:r>
            <w:r>
              <w:rPr>
                <w:rFonts w:ascii="Calibri" w:hAnsi="Calibri" w:cs="Calibri"/>
                <w:color w:val="000000"/>
                <w:szCs w:val="20"/>
              </w:rPr>
              <w:t xml:space="preserve">participant </w:t>
            </w:r>
            <w:r w:rsidRPr="00F66699">
              <w:rPr>
                <w:rFonts w:ascii="Calibri" w:hAnsi="Calibri" w:cs="Calibri"/>
                <w:color w:val="000000"/>
                <w:szCs w:val="20"/>
              </w:rPr>
              <w:t>sample had a</w:t>
            </w:r>
            <w:r>
              <w:rPr>
                <w:rFonts w:ascii="Calibri" w:hAnsi="Calibri" w:cs="Calibri"/>
                <w:color w:val="000000"/>
                <w:szCs w:val="20"/>
              </w:rPr>
              <w:t>n average</w:t>
            </w:r>
            <w:r w:rsidRPr="00F66699">
              <w:rPr>
                <w:rFonts w:ascii="Calibri" w:hAnsi="Calibri" w:cs="Calibri"/>
                <w:color w:val="000000"/>
                <w:szCs w:val="20"/>
              </w:rPr>
              <w:t xml:space="preserve"> </w:t>
            </w:r>
            <w:r w:rsidRPr="001D4288">
              <w:rPr>
                <w:rFonts w:cstheme="minorHAnsi"/>
                <w:color w:val="000000"/>
                <w:szCs w:val="20"/>
              </w:rPr>
              <w:t>Fagerström</w:t>
            </w:r>
            <w:r>
              <w:rPr>
                <w:rFonts w:cstheme="minorHAnsi"/>
                <w:color w:val="000000"/>
                <w:szCs w:val="20"/>
              </w:rPr>
              <w:t xml:space="preserve"> </w:t>
            </w:r>
            <w:r w:rsidRPr="001D4288">
              <w:rPr>
                <w:rFonts w:cstheme="minorHAnsi"/>
                <w:color w:val="000000"/>
                <w:szCs w:val="20"/>
              </w:rPr>
              <w:t>Test for Nicotine Dependence</w:t>
            </w:r>
            <w:r>
              <w:rPr>
                <w:rFonts w:ascii="Calibri" w:hAnsi="Calibri" w:cs="Calibri"/>
                <w:color w:val="000000"/>
                <w:szCs w:val="20"/>
              </w:rPr>
              <w:t xml:space="preserve"> (</w:t>
            </w:r>
            <w:r w:rsidRPr="00F66699">
              <w:rPr>
                <w:rFonts w:ascii="Calibri" w:hAnsi="Calibri" w:cs="Calibri"/>
                <w:color w:val="000000"/>
                <w:szCs w:val="20"/>
              </w:rPr>
              <w:t>FTND</w:t>
            </w:r>
            <w:r>
              <w:rPr>
                <w:rFonts w:ascii="Calibri" w:hAnsi="Calibri" w:cs="Calibri"/>
                <w:color w:val="000000"/>
                <w:szCs w:val="20"/>
              </w:rPr>
              <w:t>)</w:t>
            </w:r>
            <w:r w:rsidRPr="00F66699">
              <w:rPr>
                <w:rFonts w:ascii="Calibri" w:hAnsi="Calibri" w:cs="Calibri"/>
                <w:color w:val="000000"/>
                <w:szCs w:val="20"/>
              </w:rPr>
              <w:t xml:space="preserve"> score</w:t>
            </w:r>
            <w:r>
              <w:rPr>
                <w:rFonts w:ascii="Calibri" w:hAnsi="Calibri" w:cs="Calibri"/>
                <w:color w:val="000000"/>
                <w:szCs w:val="20"/>
              </w:rPr>
              <w:t xml:space="preserve"> indicating moderate dependence (M = </w:t>
            </w:r>
            <w:r w:rsidRPr="00F66699">
              <w:rPr>
                <w:rFonts w:ascii="Calibri" w:hAnsi="Calibri" w:cs="Calibri"/>
                <w:color w:val="000000"/>
                <w:szCs w:val="20"/>
              </w:rPr>
              <w:t>5.56</w:t>
            </w:r>
            <w:r>
              <w:rPr>
                <w:rFonts w:ascii="Calibri" w:hAnsi="Calibri" w:cs="Calibri"/>
                <w:color w:val="000000"/>
                <w:szCs w:val="20"/>
              </w:rPr>
              <w:t xml:space="preserve">; SD = </w:t>
            </w:r>
            <w:r w:rsidRPr="00F66699">
              <w:rPr>
                <w:rFonts w:ascii="Calibri" w:hAnsi="Calibri" w:cs="Calibri"/>
                <w:color w:val="000000"/>
                <w:szCs w:val="20"/>
              </w:rPr>
              <w:t>1.13).</w:t>
            </w:r>
          </w:p>
          <w:p w14:paraId="5128D21C" w14:textId="77777777" w:rsidR="00B80B9A"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Pr>
                <w:rFonts w:ascii="Calibri" w:hAnsi="Calibri" w:cs="Calibri"/>
                <w:color w:val="000000"/>
                <w:szCs w:val="20"/>
              </w:rPr>
              <w:lastRenderedPageBreak/>
              <w:t>On average, t</w:t>
            </w:r>
            <w:r w:rsidRPr="00F66699">
              <w:rPr>
                <w:rFonts w:ascii="Calibri" w:hAnsi="Calibri" w:cs="Calibri"/>
                <w:color w:val="000000"/>
                <w:szCs w:val="20"/>
              </w:rPr>
              <w:t>he</w:t>
            </w:r>
            <w:r>
              <w:rPr>
                <w:rFonts w:ascii="Calibri" w:hAnsi="Calibri" w:cs="Calibri"/>
                <w:color w:val="000000"/>
                <w:szCs w:val="20"/>
              </w:rPr>
              <w:t xml:space="preserve"> study participants </w:t>
            </w:r>
            <w:r w:rsidRPr="00F66699">
              <w:rPr>
                <w:rFonts w:ascii="Calibri" w:hAnsi="Calibri" w:cs="Calibri"/>
                <w:color w:val="000000"/>
                <w:szCs w:val="20"/>
              </w:rPr>
              <w:t>smoked</w:t>
            </w:r>
            <w:r>
              <w:rPr>
                <w:rFonts w:ascii="Calibri" w:hAnsi="Calibri" w:cs="Calibri"/>
                <w:color w:val="000000"/>
                <w:szCs w:val="20"/>
              </w:rPr>
              <w:t xml:space="preserve"> </w:t>
            </w:r>
            <w:r w:rsidRPr="001207E7">
              <w:rPr>
                <w:rFonts w:ascii="Calibri" w:hAnsi="Calibri" w:cs="Calibri"/>
                <w:color w:val="000000"/>
                <w:szCs w:val="20"/>
              </w:rPr>
              <w:t>slightly more</w:t>
            </w:r>
            <w:r>
              <w:rPr>
                <w:rFonts w:ascii="Calibri" w:hAnsi="Calibri" w:cs="Calibri"/>
                <w:color w:val="000000"/>
                <w:szCs w:val="20"/>
              </w:rPr>
              <w:t xml:space="preserve"> cigarettes per day</w:t>
            </w:r>
            <w:r w:rsidRPr="001207E7">
              <w:rPr>
                <w:rFonts w:ascii="Calibri" w:hAnsi="Calibri" w:cs="Calibri"/>
                <w:color w:val="000000"/>
                <w:szCs w:val="20"/>
              </w:rPr>
              <w:t xml:space="preserve"> </w:t>
            </w:r>
            <w:r>
              <w:rPr>
                <w:rFonts w:ascii="Calibri" w:hAnsi="Calibri" w:cs="Calibri"/>
                <w:color w:val="000000"/>
                <w:szCs w:val="20"/>
              </w:rPr>
              <w:t xml:space="preserve">(M = 13.5; SD = 2.39), than </w:t>
            </w:r>
            <w:r w:rsidRPr="001207E7">
              <w:rPr>
                <w:rFonts w:ascii="Calibri" w:hAnsi="Calibri" w:cs="Calibri"/>
                <w:color w:val="000000"/>
                <w:szCs w:val="20"/>
              </w:rPr>
              <w:t>th</w:t>
            </w:r>
            <w:r>
              <w:rPr>
                <w:rFonts w:ascii="Calibri" w:hAnsi="Calibri" w:cs="Calibri"/>
                <w:color w:val="000000"/>
                <w:szCs w:val="20"/>
              </w:rPr>
              <w:t xml:space="preserve">e </w:t>
            </w:r>
            <w:r w:rsidRPr="001207E7">
              <w:rPr>
                <w:rFonts w:ascii="Calibri" w:hAnsi="Calibri" w:cs="Calibri"/>
                <w:color w:val="000000"/>
                <w:szCs w:val="20"/>
              </w:rPr>
              <w:t>national average</w:t>
            </w:r>
            <w:r>
              <w:rPr>
                <w:rFonts w:ascii="Calibri" w:hAnsi="Calibri" w:cs="Calibri"/>
                <w:color w:val="000000"/>
                <w:szCs w:val="20"/>
              </w:rPr>
              <w:t xml:space="preserve"> for UK adults</w:t>
            </w:r>
            <w:r w:rsidRPr="001207E7">
              <w:rPr>
                <w:rFonts w:ascii="Calibri" w:hAnsi="Calibri" w:cs="Calibri"/>
                <w:color w:val="000000"/>
                <w:szCs w:val="20"/>
              </w:rPr>
              <w:t xml:space="preserve"> </w:t>
            </w:r>
            <w:r>
              <w:rPr>
                <w:rFonts w:ascii="Calibri" w:hAnsi="Calibri" w:cs="Calibri"/>
                <w:color w:val="000000"/>
                <w:szCs w:val="20"/>
              </w:rPr>
              <w:t xml:space="preserve">(i.e., </w:t>
            </w:r>
            <w:r w:rsidRPr="001207E7">
              <w:rPr>
                <w:rFonts w:ascii="Calibri" w:hAnsi="Calibri" w:cs="Calibri"/>
                <w:color w:val="000000"/>
                <w:szCs w:val="20"/>
              </w:rPr>
              <w:t>11.5</w:t>
            </w:r>
            <w:r>
              <w:rPr>
                <w:rFonts w:ascii="Calibri" w:hAnsi="Calibri" w:cs="Calibri"/>
                <w:color w:val="000000"/>
                <w:szCs w:val="20"/>
              </w:rPr>
              <w:t xml:space="preserve"> cigarettes per day)</w:t>
            </w:r>
            <w:r w:rsidRPr="001207E7">
              <w:rPr>
                <w:rFonts w:ascii="Calibri" w:hAnsi="Calibri" w:cs="Calibri"/>
                <w:color w:val="000000"/>
                <w:szCs w:val="20"/>
              </w:rPr>
              <w:t>.</w:t>
            </w:r>
            <w:r w:rsidRPr="00F66699">
              <w:rPr>
                <w:rFonts w:ascii="Calibri" w:hAnsi="Calibri" w:cs="Calibri"/>
                <w:color w:val="000000"/>
                <w:szCs w:val="20"/>
              </w:rPr>
              <w:t xml:space="preserve"> </w:t>
            </w:r>
          </w:p>
          <w:p w14:paraId="261151AB" w14:textId="77777777" w:rsidR="00B80B9A" w:rsidRPr="001207E7" w:rsidRDefault="00B80B9A" w:rsidP="00B80B9A">
            <w:pPr>
              <w:numPr>
                <w:ilvl w:val="0"/>
                <w:numId w:val="88"/>
              </w:numPr>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1207E7">
              <w:rPr>
                <w:rFonts w:ascii="Calibri" w:hAnsi="Calibri" w:cs="Calibri"/>
                <w:color w:val="000000"/>
                <w:szCs w:val="20"/>
              </w:rPr>
              <w:t>Period study was conducted: not reported.</w:t>
            </w:r>
          </w:p>
        </w:tc>
      </w:tr>
      <w:tr w:rsidR="00B80B9A" w:rsidRPr="002F020F" w14:paraId="38706AE3"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48ACC6DE" w14:textId="77777777" w:rsidR="00B80B9A" w:rsidRPr="002F020F" w:rsidRDefault="00B80B9A" w:rsidP="004361E5">
            <w:r w:rsidRPr="002F020F">
              <w:lastRenderedPageBreak/>
              <w:t>Inclusion Criteria</w:t>
            </w:r>
          </w:p>
        </w:tc>
        <w:tc>
          <w:tcPr>
            <w:tcW w:w="3884" w:type="pct"/>
          </w:tcPr>
          <w:p w14:paraId="27561256" w14:textId="77777777" w:rsidR="00B80B9A" w:rsidRPr="001D4288"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E83AD6">
              <w:rPr>
                <w:rFonts w:cstheme="minorHAnsi"/>
                <w:color w:val="000000"/>
                <w:szCs w:val="20"/>
              </w:rPr>
              <w:t>18</w:t>
            </w:r>
            <w:r>
              <w:rPr>
                <w:rFonts w:cstheme="minorHAnsi"/>
                <w:color w:val="000000"/>
                <w:szCs w:val="20"/>
              </w:rPr>
              <w:t xml:space="preserve"> to </w:t>
            </w:r>
            <w:r w:rsidRPr="00E83AD6">
              <w:rPr>
                <w:rFonts w:cstheme="minorHAnsi"/>
                <w:color w:val="000000"/>
                <w:szCs w:val="20"/>
              </w:rPr>
              <w:t>50 years</w:t>
            </w:r>
            <w:r>
              <w:rPr>
                <w:rFonts w:cstheme="minorHAnsi"/>
                <w:color w:val="000000"/>
                <w:szCs w:val="20"/>
              </w:rPr>
              <w:t xml:space="preserve"> old.</w:t>
            </w:r>
          </w:p>
          <w:p w14:paraId="2C0A2A76" w14:textId="77777777" w:rsidR="00B80B9A" w:rsidRPr="001D4288"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Pr>
                <w:rFonts w:cstheme="minorHAnsi"/>
                <w:color w:val="000000"/>
                <w:szCs w:val="20"/>
              </w:rPr>
              <w:t>S</w:t>
            </w:r>
            <w:r w:rsidRPr="001D4288">
              <w:rPr>
                <w:rFonts w:cstheme="minorHAnsi"/>
                <w:color w:val="000000"/>
                <w:szCs w:val="20"/>
              </w:rPr>
              <w:t xml:space="preserve">moking </w:t>
            </w:r>
            <w:r>
              <w:rPr>
                <w:rFonts w:cstheme="minorHAnsi"/>
                <w:color w:val="000000"/>
                <w:szCs w:val="20"/>
              </w:rPr>
              <w:t>at least (</w:t>
            </w:r>
            <w:r w:rsidRPr="001D4288">
              <w:rPr>
                <w:rFonts w:cstheme="minorHAnsi"/>
                <w:color w:val="000000"/>
                <w:szCs w:val="20"/>
              </w:rPr>
              <w:t>≥</w:t>
            </w:r>
            <w:r>
              <w:rPr>
                <w:rFonts w:cstheme="minorHAnsi"/>
                <w:color w:val="000000"/>
                <w:szCs w:val="20"/>
              </w:rPr>
              <w:t>)</w:t>
            </w:r>
            <w:r w:rsidRPr="001D4288">
              <w:rPr>
                <w:rFonts w:cstheme="minorHAnsi"/>
                <w:color w:val="000000"/>
                <w:szCs w:val="20"/>
              </w:rPr>
              <w:t xml:space="preserve"> 10</w:t>
            </w:r>
            <w:r>
              <w:rPr>
                <w:rFonts w:cstheme="minorHAnsi"/>
                <w:color w:val="000000"/>
                <w:szCs w:val="20"/>
              </w:rPr>
              <w:t xml:space="preserve"> </w:t>
            </w:r>
            <w:r w:rsidRPr="001D4288">
              <w:rPr>
                <w:rFonts w:cstheme="minorHAnsi"/>
                <w:color w:val="000000"/>
                <w:szCs w:val="20"/>
              </w:rPr>
              <w:t xml:space="preserve">cigarettes </w:t>
            </w:r>
            <w:r>
              <w:rPr>
                <w:rFonts w:cstheme="minorHAnsi"/>
                <w:color w:val="000000"/>
                <w:szCs w:val="20"/>
              </w:rPr>
              <w:t>per</w:t>
            </w:r>
            <w:r w:rsidRPr="001D4288">
              <w:rPr>
                <w:rFonts w:cstheme="minorHAnsi"/>
                <w:color w:val="000000"/>
                <w:szCs w:val="20"/>
              </w:rPr>
              <w:t xml:space="preserve"> day for a</w:t>
            </w:r>
            <w:r>
              <w:rPr>
                <w:rFonts w:cstheme="minorHAnsi"/>
                <w:color w:val="000000"/>
                <w:szCs w:val="20"/>
              </w:rPr>
              <w:t xml:space="preserve"> minimum of</w:t>
            </w:r>
            <w:r w:rsidRPr="001D4288">
              <w:rPr>
                <w:rFonts w:cstheme="minorHAnsi"/>
                <w:color w:val="000000"/>
                <w:szCs w:val="20"/>
              </w:rPr>
              <w:t xml:space="preserve"> </w:t>
            </w:r>
            <w:r>
              <w:rPr>
                <w:rFonts w:cstheme="minorHAnsi"/>
                <w:color w:val="000000"/>
                <w:szCs w:val="20"/>
              </w:rPr>
              <w:t xml:space="preserve">one </w:t>
            </w:r>
            <w:r w:rsidRPr="001D4288">
              <w:rPr>
                <w:rFonts w:cstheme="minorHAnsi"/>
                <w:color w:val="000000"/>
                <w:szCs w:val="20"/>
              </w:rPr>
              <w:t>year</w:t>
            </w:r>
            <w:r>
              <w:rPr>
                <w:rFonts w:cstheme="minorHAnsi"/>
                <w:color w:val="000000"/>
                <w:szCs w:val="20"/>
              </w:rPr>
              <w:t>.</w:t>
            </w:r>
          </w:p>
          <w:p w14:paraId="1D0BB3B5" w14:textId="77777777" w:rsidR="00B80B9A" w:rsidRPr="001D4288"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Pr>
                <w:rFonts w:cstheme="minorHAnsi"/>
                <w:color w:val="000000"/>
                <w:szCs w:val="20"/>
              </w:rPr>
              <w:t>S</w:t>
            </w:r>
            <w:r w:rsidRPr="001D4288">
              <w:rPr>
                <w:rFonts w:cstheme="minorHAnsi"/>
                <w:color w:val="000000"/>
                <w:szCs w:val="20"/>
              </w:rPr>
              <w:t xml:space="preserve">core </w:t>
            </w:r>
            <w:r>
              <w:rPr>
                <w:rFonts w:cstheme="minorHAnsi"/>
                <w:color w:val="000000"/>
                <w:szCs w:val="20"/>
              </w:rPr>
              <w:t>of at least (</w:t>
            </w:r>
            <w:r w:rsidRPr="001D4288">
              <w:rPr>
                <w:rFonts w:cstheme="minorHAnsi"/>
                <w:color w:val="000000"/>
                <w:szCs w:val="20"/>
              </w:rPr>
              <w:t>≥</w:t>
            </w:r>
            <w:r>
              <w:rPr>
                <w:rFonts w:cstheme="minorHAnsi"/>
                <w:color w:val="000000"/>
                <w:szCs w:val="20"/>
              </w:rPr>
              <w:t>)</w:t>
            </w:r>
            <w:r w:rsidRPr="001D4288">
              <w:rPr>
                <w:rFonts w:cstheme="minorHAnsi"/>
                <w:color w:val="000000"/>
                <w:szCs w:val="20"/>
              </w:rPr>
              <w:t xml:space="preserve"> 4 (moderate</w:t>
            </w:r>
            <w:r>
              <w:rPr>
                <w:rFonts w:cstheme="minorHAnsi"/>
                <w:color w:val="000000"/>
                <w:szCs w:val="20"/>
              </w:rPr>
              <w:t xml:space="preserve"> </w:t>
            </w:r>
            <w:r w:rsidRPr="001D4288">
              <w:rPr>
                <w:rFonts w:cstheme="minorHAnsi"/>
                <w:color w:val="000000"/>
                <w:szCs w:val="20"/>
              </w:rPr>
              <w:t>dependence)</w:t>
            </w:r>
            <w:r>
              <w:rPr>
                <w:rFonts w:cstheme="minorHAnsi"/>
                <w:color w:val="000000"/>
                <w:szCs w:val="20"/>
              </w:rPr>
              <w:t xml:space="preserve"> on the </w:t>
            </w:r>
            <w:r w:rsidRPr="001D4288">
              <w:rPr>
                <w:rFonts w:cstheme="minorHAnsi"/>
                <w:color w:val="000000"/>
                <w:szCs w:val="20"/>
              </w:rPr>
              <w:t>Fagerström</w:t>
            </w:r>
            <w:r>
              <w:rPr>
                <w:rFonts w:cstheme="minorHAnsi"/>
                <w:color w:val="000000"/>
                <w:szCs w:val="20"/>
              </w:rPr>
              <w:t xml:space="preserve"> </w:t>
            </w:r>
            <w:r w:rsidRPr="001D4288">
              <w:rPr>
                <w:rFonts w:cstheme="minorHAnsi"/>
                <w:color w:val="000000"/>
                <w:szCs w:val="20"/>
              </w:rPr>
              <w:t>Test for Nicotine Dependence (FTND)</w:t>
            </w:r>
            <w:r>
              <w:rPr>
                <w:rFonts w:cstheme="minorHAnsi"/>
                <w:color w:val="000000"/>
                <w:szCs w:val="20"/>
              </w:rPr>
              <w:t>.</w:t>
            </w:r>
          </w:p>
          <w:p w14:paraId="64F9DB20" w14:textId="77777777" w:rsidR="00B80B9A" w:rsidRPr="001D4288"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Pr>
                <w:rFonts w:cstheme="minorHAnsi"/>
                <w:color w:val="000000"/>
                <w:szCs w:val="20"/>
              </w:rPr>
              <w:t>S</w:t>
            </w:r>
            <w:r w:rsidRPr="001D4288">
              <w:rPr>
                <w:rFonts w:cstheme="minorHAnsi"/>
                <w:color w:val="000000"/>
                <w:szCs w:val="20"/>
              </w:rPr>
              <w:t>moking first cigarette within an</w:t>
            </w:r>
            <w:r>
              <w:rPr>
                <w:rFonts w:cstheme="minorHAnsi"/>
                <w:color w:val="000000"/>
                <w:szCs w:val="20"/>
              </w:rPr>
              <w:t xml:space="preserve"> </w:t>
            </w:r>
            <w:r w:rsidRPr="001D4288">
              <w:rPr>
                <w:rFonts w:cstheme="minorHAnsi"/>
                <w:color w:val="000000"/>
                <w:szCs w:val="20"/>
              </w:rPr>
              <w:t>hour of waking</w:t>
            </w:r>
            <w:r>
              <w:rPr>
                <w:rFonts w:cstheme="minorHAnsi"/>
                <w:color w:val="000000"/>
                <w:szCs w:val="20"/>
              </w:rPr>
              <w:t>.</w:t>
            </w:r>
          </w:p>
          <w:p w14:paraId="6058598D" w14:textId="77777777" w:rsidR="00B80B9A" w:rsidRPr="00A40CBE" w:rsidRDefault="00B80B9A" w:rsidP="00B80B9A">
            <w:pPr>
              <w:numPr>
                <w:ilvl w:val="0"/>
                <w:numId w:val="90"/>
              </w:num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N</w:t>
            </w:r>
            <w:r w:rsidRPr="001D4288">
              <w:rPr>
                <w:rFonts w:cstheme="minorHAnsi"/>
                <w:color w:val="000000"/>
                <w:szCs w:val="20"/>
              </w:rPr>
              <w:t>egative drug urine screen for</w:t>
            </w:r>
            <w:r>
              <w:rPr>
                <w:rFonts w:cstheme="minorHAnsi"/>
                <w:color w:val="000000"/>
                <w:szCs w:val="20"/>
              </w:rPr>
              <w:t xml:space="preserve"> </w:t>
            </w:r>
            <w:r w:rsidRPr="001D4288">
              <w:rPr>
                <w:rFonts w:cstheme="minorHAnsi"/>
                <w:color w:val="000000"/>
                <w:szCs w:val="20"/>
              </w:rPr>
              <w:t xml:space="preserve">all major drugs of abuse at baseline. </w:t>
            </w:r>
          </w:p>
        </w:tc>
      </w:tr>
      <w:tr w:rsidR="00B80B9A" w:rsidRPr="002F020F" w14:paraId="07B3FA1D"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4BC1592F" w14:textId="77777777" w:rsidR="00B80B9A" w:rsidRPr="002F020F" w:rsidRDefault="00B80B9A" w:rsidP="004361E5">
            <w:r w:rsidRPr="002F020F">
              <w:t>Exclusion Criteria</w:t>
            </w:r>
          </w:p>
        </w:tc>
        <w:tc>
          <w:tcPr>
            <w:tcW w:w="3884" w:type="pct"/>
          </w:tcPr>
          <w:p w14:paraId="53874E4B" w14:textId="77777777" w:rsidR="00B80B9A" w:rsidRPr="00DA001B"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Pr>
                <w:rFonts w:cstheme="minorHAnsi"/>
                <w:color w:val="000000"/>
                <w:szCs w:val="20"/>
              </w:rPr>
              <w:t>N</w:t>
            </w:r>
            <w:r w:rsidRPr="00DA001B">
              <w:rPr>
                <w:rFonts w:cstheme="minorHAnsi"/>
                <w:color w:val="000000"/>
                <w:szCs w:val="20"/>
              </w:rPr>
              <w:t xml:space="preserve">icotine replacement </w:t>
            </w:r>
            <w:r>
              <w:rPr>
                <w:rFonts w:cstheme="minorHAnsi"/>
                <w:color w:val="000000"/>
                <w:szCs w:val="20"/>
              </w:rPr>
              <w:t xml:space="preserve">or </w:t>
            </w:r>
            <w:r w:rsidRPr="00DA001B">
              <w:rPr>
                <w:rFonts w:cstheme="minorHAnsi"/>
                <w:color w:val="000000"/>
                <w:szCs w:val="20"/>
              </w:rPr>
              <w:t>cessation</w:t>
            </w:r>
            <w:r>
              <w:rPr>
                <w:rFonts w:cstheme="minorHAnsi"/>
                <w:color w:val="000000"/>
                <w:szCs w:val="20"/>
              </w:rPr>
              <w:t xml:space="preserve"> </w:t>
            </w:r>
            <w:r w:rsidRPr="00DA001B">
              <w:rPr>
                <w:rFonts w:cstheme="minorHAnsi"/>
                <w:color w:val="000000"/>
                <w:szCs w:val="20"/>
              </w:rPr>
              <w:t>pharmacotherapy</w:t>
            </w:r>
            <w:r>
              <w:rPr>
                <w:rFonts w:cstheme="minorHAnsi"/>
                <w:color w:val="000000"/>
                <w:szCs w:val="20"/>
              </w:rPr>
              <w:t>.</w:t>
            </w:r>
          </w:p>
          <w:p w14:paraId="08D37482" w14:textId="77777777" w:rsidR="00B80B9A" w:rsidRPr="00DA001B"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Pr>
                <w:rFonts w:cstheme="minorHAnsi"/>
                <w:color w:val="000000"/>
                <w:szCs w:val="20"/>
              </w:rPr>
              <w:t>S</w:t>
            </w:r>
            <w:r w:rsidRPr="00DA001B">
              <w:rPr>
                <w:rFonts w:cstheme="minorHAnsi"/>
                <w:color w:val="000000"/>
                <w:szCs w:val="20"/>
              </w:rPr>
              <w:t>elf-reported recent use of cannabis</w:t>
            </w:r>
            <w:r>
              <w:rPr>
                <w:rFonts w:cstheme="minorHAnsi"/>
                <w:color w:val="000000"/>
                <w:szCs w:val="20"/>
              </w:rPr>
              <w:t xml:space="preserve"> </w:t>
            </w:r>
            <w:r w:rsidRPr="00DA001B">
              <w:rPr>
                <w:rFonts w:cstheme="minorHAnsi"/>
                <w:color w:val="000000"/>
                <w:szCs w:val="20"/>
              </w:rPr>
              <w:t>or other illicit drugs</w:t>
            </w:r>
            <w:r>
              <w:rPr>
                <w:rFonts w:cstheme="minorHAnsi"/>
                <w:color w:val="000000"/>
                <w:szCs w:val="20"/>
              </w:rPr>
              <w:t>.</w:t>
            </w:r>
          </w:p>
          <w:p w14:paraId="332949DD" w14:textId="77777777" w:rsidR="00B80B9A" w:rsidRPr="00DA001B"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Pr>
                <w:rFonts w:cstheme="minorHAnsi"/>
                <w:color w:val="000000"/>
                <w:szCs w:val="20"/>
              </w:rPr>
              <w:t>R</w:t>
            </w:r>
            <w:r w:rsidRPr="00DA001B">
              <w:rPr>
                <w:rFonts w:cstheme="minorHAnsi"/>
                <w:color w:val="000000"/>
                <w:szCs w:val="20"/>
              </w:rPr>
              <w:t>ecent (past 4 weeks) or ongoing</w:t>
            </w:r>
            <w:r>
              <w:rPr>
                <w:rFonts w:cstheme="minorHAnsi"/>
                <w:color w:val="000000"/>
                <w:szCs w:val="20"/>
              </w:rPr>
              <w:t xml:space="preserve"> </w:t>
            </w:r>
            <w:r w:rsidRPr="00DA001B">
              <w:rPr>
                <w:rFonts w:cstheme="minorHAnsi"/>
                <w:color w:val="000000"/>
                <w:szCs w:val="20"/>
              </w:rPr>
              <w:t>use of e-cigarettes</w:t>
            </w:r>
            <w:r>
              <w:rPr>
                <w:rFonts w:cstheme="minorHAnsi"/>
                <w:color w:val="000000"/>
                <w:szCs w:val="20"/>
              </w:rPr>
              <w:t>.</w:t>
            </w:r>
          </w:p>
          <w:p w14:paraId="52036452" w14:textId="77777777" w:rsidR="00B80B9A" w:rsidRPr="00DA001B"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Pr>
                <w:rFonts w:cstheme="minorHAnsi"/>
                <w:color w:val="000000"/>
                <w:szCs w:val="20"/>
              </w:rPr>
              <w:t>C</w:t>
            </w:r>
            <w:r w:rsidRPr="00DA001B">
              <w:rPr>
                <w:rFonts w:cstheme="minorHAnsi"/>
                <w:color w:val="000000"/>
                <w:szCs w:val="20"/>
              </w:rPr>
              <w:t>urrent mental or physical health</w:t>
            </w:r>
            <w:r>
              <w:rPr>
                <w:rFonts w:cstheme="minorHAnsi"/>
                <w:color w:val="000000"/>
                <w:szCs w:val="20"/>
              </w:rPr>
              <w:t xml:space="preserve"> </w:t>
            </w:r>
            <w:r w:rsidRPr="00DA001B">
              <w:rPr>
                <w:rFonts w:cstheme="minorHAnsi"/>
                <w:color w:val="000000"/>
                <w:szCs w:val="20"/>
              </w:rPr>
              <w:t>issues or learning impairments</w:t>
            </w:r>
            <w:r>
              <w:rPr>
                <w:rFonts w:cstheme="minorHAnsi"/>
                <w:color w:val="000000"/>
                <w:szCs w:val="20"/>
              </w:rPr>
              <w:t>.</w:t>
            </w:r>
          </w:p>
          <w:p w14:paraId="672C911A" w14:textId="77777777" w:rsidR="00B80B9A" w:rsidRPr="00DA001B"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Pr>
                <w:rFonts w:cstheme="minorHAnsi"/>
                <w:color w:val="000000"/>
                <w:szCs w:val="20"/>
              </w:rPr>
              <w:t>P</w:t>
            </w:r>
            <w:r w:rsidRPr="00DA001B">
              <w:rPr>
                <w:rFonts w:cstheme="minorHAnsi"/>
                <w:color w:val="000000"/>
                <w:szCs w:val="20"/>
              </w:rPr>
              <w:t>regnan</w:t>
            </w:r>
            <w:r>
              <w:rPr>
                <w:rFonts w:cstheme="minorHAnsi"/>
                <w:color w:val="000000"/>
                <w:szCs w:val="20"/>
              </w:rPr>
              <w:t>t</w:t>
            </w:r>
            <w:r w:rsidRPr="00DA001B">
              <w:rPr>
                <w:rFonts w:cstheme="minorHAnsi"/>
                <w:color w:val="000000"/>
                <w:szCs w:val="20"/>
              </w:rPr>
              <w:t xml:space="preserve"> or</w:t>
            </w:r>
            <w:r>
              <w:rPr>
                <w:rFonts w:cstheme="minorHAnsi"/>
                <w:color w:val="000000"/>
                <w:szCs w:val="20"/>
              </w:rPr>
              <w:t xml:space="preserve"> </w:t>
            </w:r>
            <w:r w:rsidRPr="00DA001B">
              <w:rPr>
                <w:rFonts w:cstheme="minorHAnsi"/>
                <w:color w:val="000000"/>
                <w:szCs w:val="20"/>
              </w:rPr>
              <w:t>breastfeeding</w:t>
            </w:r>
            <w:r>
              <w:rPr>
                <w:rFonts w:cstheme="minorHAnsi"/>
                <w:color w:val="000000"/>
                <w:szCs w:val="20"/>
              </w:rPr>
              <w:t>.</w:t>
            </w:r>
          </w:p>
          <w:p w14:paraId="33C78131" w14:textId="77777777" w:rsidR="00B80B9A" w:rsidRPr="00A40CBE" w:rsidRDefault="00B80B9A" w:rsidP="00B80B9A">
            <w:pPr>
              <w:numPr>
                <w:ilvl w:val="0"/>
                <w:numId w:val="91"/>
              </w:numPr>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Pr>
                <w:rFonts w:cstheme="minorHAnsi"/>
                <w:color w:val="000000"/>
                <w:szCs w:val="20"/>
              </w:rPr>
              <w:t>A</w:t>
            </w:r>
            <w:r w:rsidRPr="00DA001B">
              <w:rPr>
                <w:rFonts w:cstheme="minorHAnsi"/>
                <w:color w:val="000000"/>
                <w:szCs w:val="20"/>
              </w:rPr>
              <w:t>llergi</w:t>
            </w:r>
            <w:r>
              <w:rPr>
                <w:rFonts w:cstheme="minorHAnsi"/>
                <w:color w:val="000000"/>
                <w:szCs w:val="20"/>
              </w:rPr>
              <w:t>c</w:t>
            </w:r>
            <w:r w:rsidRPr="00DA001B">
              <w:rPr>
                <w:rFonts w:cstheme="minorHAnsi"/>
                <w:color w:val="000000"/>
                <w:szCs w:val="20"/>
              </w:rPr>
              <w:t xml:space="preserve"> to CBD, gelatine, lactose,</w:t>
            </w:r>
            <w:r>
              <w:rPr>
                <w:rFonts w:cstheme="minorHAnsi"/>
                <w:color w:val="000000"/>
                <w:szCs w:val="20"/>
              </w:rPr>
              <w:t xml:space="preserve"> </w:t>
            </w:r>
            <w:r w:rsidRPr="00DA001B">
              <w:rPr>
                <w:rFonts w:cstheme="minorHAnsi"/>
                <w:color w:val="000000"/>
                <w:szCs w:val="20"/>
              </w:rPr>
              <w:t>microcrystalline cellulose</w:t>
            </w:r>
            <w:r>
              <w:rPr>
                <w:rFonts w:cstheme="minorHAnsi"/>
                <w:color w:val="000000"/>
                <w:szCs w:val="20"/>
              </w:rPr>
              <w:t>,</w:t>
            </w:r>
            <w:r w:rsidRPr="00DA001B">
              <w:rPr>
                <w:rFonts w:cstheme="minorHAnsi"/>
                <w:color w:val="000000"/>
                <w:szCs w:val="20"/>
              </w:rPr>
              <w:t xml:space="preserve"> or chocolate. </w:t>
            </w:r>
          </w:p>
        </w:tc>
      </w:tr>
      <w:tr w:rsidR="00B80B9A" w:rsidRPr="002F020F" w14:paraId="4D0A7AB2"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E8EDEB0" w14:textId="77777777" w:rsidR="00B80B9A" w:rsidRPr="002F020F" w:rsidRDefault="00B80B9A" w:rsidP="004361E5">
            <w:r w:rsidRPr="002F020F">
              <w:t>Assessment Time-</w:t>
            </w:r>
            <w:r>
              <w:t>P</w:t>
            </w:r>
            <w:r w:rsidRPr="002F020F">
              <w:t>oint/s</w:t>
            </w:r>
          </w:p>
        </w:tc>
        <w:tc>
          <w:tcPr>
            <w:tcW w:w="3884" w:type="pct"/>
          </w:tcPr>
          <w:p w14:paraId="6A01C998" w14:textId="77777777" w:rsidR="00B80B9A" w:rsidRDefault="00B80B9A" w:rsidP="00B80B9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Pr>
                <w:rFonts w:cstheme="minorHAnsi"/>
                <w:bCs/>
                <w:color w:val="000000"/>
                <w:szCs w:val="20"/>
              </w:rPr>
              <w:t>Baseline “satiated’ session (smoking “as normal” prior to the session).</w:t>
            </w:r>
          </w:p>
          <w:p w14:paraId="619FCD3E" w14:textId="77777777" w:rsidR="00B80B9A" w:rsidRDefault="00B80B9A" w:rsidP="00B80B9A">
            <w:pPr>
              <w:pStyle w:val="ListParagraph"/>
              <w:numPr>
                <w:ilvl w:val="1"/>
                <w:numId w:val="91"/>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Pr>
                <w:rFonts w:cstheme="minorHAnsi"/>
                <w:bCs/>
                <w:color w:val="000000"/>
                <w:szCs w:val="20"/>
              </w:rPr>
              <w:t xml:space="preserve">0 minutes: arrival. </w:t>
            </w:r>
          </w:p>
          <w:p w14:paraId="4A91BB7C" w14:textId="77777777" w:rsidR="00B80B9A" w:rsidRPr="00545133" w:rsidRDefault="00B80B9A" w:rsidP="00B80B9A">
            <w:pPr>
              <w:pStyle w:val="ListParagraph"/>
              <w:numPr>
                <w:ilvl w:val="1"/>
                <w:numId w:val="91"/>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545133">
              <w:rPr>
                <w:rFonts w:cstheme="minorHAnsi"/>
                <w:bCs/>
                <w:color w:val="000000"/>
                <w:szCs w:val="20"/>
              </w:rPr>
              <w:t>12 minutes (T1):</w:t>
            </w:r>
            <w:r>
              <w:rPr>
                <w:rFonts w:cstheme="minorHAnsi"/>
                <w:bCs/>
                <w:color w:val="000000"/>
                <w:szCs w:val="20"/>
              </w:rPr>
              <w:t xml:space="preserve"> </w:t>
            </w:r>
            <w:r w:rsidRPr="00D542CE">
              <w:rPr>
                <w:rFonts w:cstheme="minorHAnsi"/>
                <w:bCs/>
                <w:color w:val="000000"/>
                <w:szCs w:val="20"/>
              </w:rPr>
              <w:t>QSU</w:t>
            </w:r>
            <w:r>
              <w:rPr>
                <w:rFonts w:cstheme="minorHAnsi"/>
                <w:bCs/>
                <w:color w:val="000000"/>
                <w:szCs w:val="20"/>
              </w:rPr>
              <w:t>-B, MPSS</w:t>
            </w:r>
            <w:r w:rsidRPr="00985BB0">
              <w:rPr>
                <w:rFonts w:cstheme="minorHAnsi"/>
                <w:bCs/>
                <w:color w:val="000000"/>
                <w:szCs w:val="20"/>
              </w:rPr>
              <w:t>.</w:t>
            </w:r>
            <w:r w:rsidRPr="00545133">
              <w:rPr>
                <w:rFonts w:cstheme="minorHAnsi"/>
                <w:bCs/>
                <w:color w:val="000000"/>
                <w:szCs w:val="20"/>
              </w:rPr>
              <w:t xml:space="preserve"> </w:t>
            </w:r>
          </w:p>
          <w:p w14:paraId="53D25678" w14:textId="77777777" w:rsidR="00B80B9A" w:rsidRPr="001E3274" w:rsidRDefault="00B80B9A" w:rsidP="00B80B9A">
            <w:pPr>
              <w:pStyle w:val="ListParagraph"/>
              <w:numPr>
                <w:ilvl w:val="1"/>
                <w:numId w:val="91"/>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Pr>
                <w:rFonts w:cstheme="minorHAnsi"/>
                <w:bCs/>
                <w:color w:val="000000"/>
                <w:szCs w:val="20"/>
              </w:rPr>
              <w:t>30 minutes: cigarette administration.</w:t>
            </w:r>
            <w:r w:rsidRPr="001E3274">
              <w:rPr>
                <w:rFonts w:cstheme="minorHAnsi"/>
                <w:bCs/>
                <w:color w:val="000000"/>
                <w:szCs w:val="20"/>
              </w:rPr>
              <w:t xml:space="preserve"> </w:t>
            </w:r>
          </w:p>
          <w:p w14:paraId="474C0BF1" w14:textId="77777777" w:rsidR="00B80B9A" w:rsidRPr="007D7BCC" w:rsidRDefault="00B80B9A" w:rsidP="00B80B9A">
            <w:pPr>
              <w:pStyle w:val="ListParagraph"/>
              <w:numPr>
                <w:ilvl w:val="1"/>
                <w:numId w:val="91"/>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Pr>
                <w:rFonts w:cstheme="minorHAnsi"/>
                <w:bCs/>
                <w:color w:val="000000"/>
                <w:szCs w:val="20"/>
              </w:rPr>
              <w:t xml:space="preserve">35 minutes (T2): </w:t>
            </w:r>
            <w:r w:rsidRPr="00D542CE">
              <w:rPr>
                <w:rFonts w:cstheme="minorHAnsi"/>
                <w:bCs/>
                <w:color w:val="000000"/>
                <w:szCs w:val="20"/>
              </w:rPr>
              <w:t>QSU</w:t>
            </w:r>
            <w:r>
              <w:rPr>
                <w:rFonts w:cstheme="minorHAnsi"/>
                <w:bCs/>
                <w:color w:val="000000"/>
                <w:szCs w:val="20"/>
              </w:rPr>
              <w:t>-B, MPSS</w:t>
            </w:r>
            <w:r w:rsidRPr="00985BB0">
              <w:rPr>
                <w:rFonts w:cstheme="minorHAnsi"/>
                <w:bCs/>
                <w:color w:val="000000"/>
                <w:szCs w:val="20"/>
              </w:rPr>
              <w:t>.</w:t>
            </w:r>
          </w:p>
          <w:p w14:paraId="4B72E7EE" w14:textId="77777777" w:rsidR="00B80B9A" w:rsidRPr="001E3274" w:rsidRDefault="00B80B9A" w:rsidP="00B80B9A">
            <w:pPr>
              <w:pStyle w:val="ListParagraph"/>
              <w:numPr>
                <w:ilvl w:val="1"/>
                <w:numId w:val="91"/>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Pr>
                <w:rFonts w:cstheme="minorHAnsi"/>
                <w:bCs/>
                <w:color w:val="000000"/>
                <w:szCs w:val="20"/>
              </w:rPr>
              <w:t xml:space="preserve">60 minutes: </w:t>
            </w:r>
            <w:r w:rsidRPr="001E3274">
              <w:rPr>
                <w:rFonts w:cstheme="minorHAnsi"/>
                <w:bCs/>
                <w:color w:val="000000"/>
                <w:szCs w:val="20"/>
              </w:rPr>
              <w:t>visual probe task</w:t>
            </w:r>
            <w:r>
              <w:rPr>
                <w:rFonts w:cstheme="minorHAnsi"/>
                <w:bCs/>
                <w:color w:val="000000"/>
                <w:szCs w:val="20"/>
              </w:rPr>
              <w:t>.</w:t>
            </w:r>
          </w:p>
          <w:p w14:paraId="123864F7" w14:textId="77777777" w:rsidR="00B80B9A" w:rsidRPr="001E3274" w:rsidRDefault="00B80B9A" w:rsidP="00B80B9A">
            <w:pPr>
              <w:pStyle w:val="ListParagraph"/>
              <w:numPr>
                <w:ilvl w:val="1"/>
                <w:numId w:val="91"/>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1E3274">
              <w:rPr>
                <w:rFonts w:cstheme="minorHAnsi"/>
                <w:bCs/>
                <w:color w:val="000000"/>
                <w:szCs w:val="20"/>
              </w:rPr>
              <w:t>68 minutes</w:t>
            </w:r>
            <w:r>
              <w:rPr>
                <w:rFonts w:cstheme="minorHAnsi"/>
                <w:bCs/>
                <w:color w:val="000000"/>
                <w:szCs w:val="20"/>
              </w:rPr>
              <w:t xml:space="preserve">: </w:t>
            </w:r>
            <w:r>
              <w:rPr>
                <w:rFonts w:cstheme="minorHAnsi"/>
                <w:color w:val="000000"/>
                <w:szCs w:val="20"/>
              </w:rPr>
              <w:t>pleasantness rating task (</w:t>
            </w:r>
            <w:r>
              <w:rPr>
                <w:rFonts w:cstheme="minorHAnsi"/>
                <w:bCs/>
                <w:color w:val="000000"/>
                <w:szCs w:val="20"/>
              </w:rPr>
              <w:t>PRT).</w:t>
            </w:r>
          </w:p>
          <w:p w14:paraId="1886007F" w14:textId="77777777" w:rsidR="00B80B9A" w:rsidRPr="00985BB0" w:rsidRDefault="00B80B9A" w:rsidP="00B80B9A">
            <w:pPr>
              <w:pStyle w:val="ListParagraph"/>
              <w:numPr>
                <w:ilvl w:val="1"/>
                <w:numId w:val="91"/>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985BB0">
              <w:rPr>
                <w:rFonts w:cstheme="minorHAnsi"/>
                <w:bCs/>
                <w:color w:val="000000"/>
                <w:szCs w:val="20"/>
              </w:rPr>
              <w:t xml:space="preserve">75 minutes (T3): </w:t>
            </w:r>
            <w:r w:rsidRPr="00D542CE">
              <w:rPr>
                <w:rFonts w:cstheme="minorHAnsi"/>
                <w:bCs/>
                <w:color w:val="000000"/>
                <w:szCs w:val="20"/>
              </w:rPr>
              <w:t>QSU</w:t>
            </w:r>
            <w:r>
              <w:rPr>
                <w:rFonts w:cstheme="minorHAnsi"/>
                <w:bCs/>
                <w:color w:val="000000"/>
                <w:szCs w:val="20"/>
              </w:rPr>
              <w:t>-B, MPSS</w:t>
            </w:r>
            <w:r w:rsidRPr="00985BB0">
              <w:rPr>
                <w:rFonts w:cstheme="minorHAnsi"/>
                <w:bCs/>
                <w:color w:val="000000"/>
                <w:szCs w:val="20"/>
              </w:rPr>
              <w:t>.</w:t>
            </w:r>
          </w:p>
          <w:p w14:paraId="67CDB46B" w14:textId="77777777" w:rsidR="00B80B9A" w:rsidRPr="00112091" w:rsidRDefault="00B80B9A" w:rsidP="00B80B9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112091">
              <w:rPr>
                <w:rFonts w:cstheme="minorHAnsi"/>
                <w:bCs/>
                <w:color w:val="000000"/>
                <w:szCs w:val="20"/>
              </w:rPr>
              <w:t>Abstinent sessions</w:t>
            </w:r>
            <w:r>
              <w:rPr>
                <w:rFonts w:cstheme="minorHAnsi"/>
                <w:bCs/>
                <w:color w:val="000000"/>
                <w:szCs w:val="20"/>
              </w:rPr>
              <w:t xml:space="preserve"> (overnight smoking abstinence prior to each session):</w:t>
            </w:r>
          </w:p>
          <w:p w14:paraId="598F541F" w14:textId="77777777" w:rsidR="00B80B9A" w:rsidRPr="00112091" w:rsidRDefault="00B80B9A" w:rsidP="00B80B9A">
            <w:pPr>
              <w:pStyle w:val="ListParagraph"/>
              <w:numPr>
                <w:ilvl w:val="1"/>
                <w:numId w:val="91"/>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112091">
              <w:rPr>
                <w:rFonts w:cstheme="minorHAnsi"/>
                <w:color w:val="000000"/>
                <w:szCs w:val="20"/>
              </w:rPr>
              <w:t>0</w:t>
            </w:r>
            <w:r>
              <w:rPr>
                <w:rFonts w:cstheme="minorHAnsi"/>
                <w:color w:val="000000"/>
                <w:szCs w:val="20"/>
              </w:rPr>
              <w:t xml:space="preserve"> minutes</w:t>
            </w:r>
            <w:r w:rsidRPr="00112091">
              <w:rPr>
                <w:rFonts w:cstheme="minorHAnsi"/>
                <w:color w:val="000000"/>
                <w:szCs w:val="20"/>
              </w:rPr>
              <w:t xml:space="preserve">: </w:t>
            </w:r>
            <w:r>
              <w:rPr>
                <w:rFonts w:cstheme="minorHAnsi"/>
                <w:color w:val="000000"/>
                <w:szCs w:val="20"/>
              </w:rPr>
              <w:t>a</w:t>
            </w:r>
            <w:r w:rsidRPr="00112091">
              <w:rPr>
                <w:rFonts w:cstheme="minorHAnsi"/>
                <w:color w:val="000000"/>
                <w:szCs w:val="20"/>
              </w:rPr>
              <w:t>rrival</w:t>
            </w:r>
            <w:r>
              <w:rPr>
                <w:rFonts w:cstheme="minorHAnsi"/>
                <w:color w:val="000000"/>
                <w:szCs w:val="20"/>
              </w:rPr>
              <w:t>.</w:t>
            </w:r>
          </w:p>
          <w:p w14:paraId="6A9B0EA3" w14:textId="77777777" w:rsidR="00B80B9A" w:rsidRPr="00112091" w:rsidRDefault="00B80B9A" w:rsidP="00B80B9A">
            <w:pPr>
              <w:pStyle w:val="ListParagraph"/>
              <w:numPr>
                <w:ilvl w:val="1"/>
                <w:numId w:val="91"/>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112091">
              <w:rPr>
                <w:rFonts w:cstheme="minorHAnsi"/>
                <w:bCs/>
                <w:color w:val="000000"/>
                <w:szCs w:val="20"/>
              </w:rPr>
              <w:t>5 min</w:t>
            </w:r>
            <w:r>
              <w:rPr>
                <w:rFonts w:cstheme="minorHAnsi"/>
                <w:bCs/>
                <w:color w:val="000000"/>
                <w:szCs w:val="20"/>
              </w:rPr>
              <w:t>utes (T1)</w:t>
            </w:r>
            <w:r w:rsidRPr="00112091">
              <w:rPr>
                <w:rFonts w:cstheme="minorHAnsi"/>
                <w:bCs/>
                <w:color w:val="000000"/>
                <w:szCs w:val="20"/>
              </w:rPr>
              <w:t xml:space="preserve">: </w:t>
            </w:r>
            <w:r w:rsidRPr="00D542CE">
              <w:rPr>
                <w:rFonts w:cstheme="minorHAnsi"/>
                <w:bCs/>
                <w:color w:val="000000"/>
                <w:szCs w:val="20"/>
              </w:rPr>
              <w:t>QSU</w:t>
            </w:r>
            <w:r>
              <w:rPr>
                <w:rFonts w:cstheme="minorHAnsi"/>
                <w:bCs/>
                <w:color w:val="000000"/>
                <w:szCs w:val="20"/>
              </w:rPr>
              <w:t>-B, MPSS,</w:t>
            </w:r>
            <w:r w:rsidRPr="00112091">
              <w:rPr>
                <w:rFonts w:cstheme="minorHAnsi"/>
                <w:bCs/>
                <w:color w:val="000000"/>
                <w:szCs w:val="20"/>
              </w:rPr>
              <w:t xml:space="preserve"> HR</w:t>
            </w:r>
            <w:r>
              <w:rPr>
                <w:rFonts w:cstheme="minorHAnsi"/>
                <w:bCs/>
                <w:color w:val="000000"/>
                <w:szCs w:val="20"/>
              </w:rPr>
              <w:t>,</w:t>
            </w:r>
            <w:r w:rsidRPr="00112091">
              <w:rPr>
                <w:rFonts w:cstheme="minorHAnsi"/>
                <w:bCs/>
                <w:color w:val="000000"/>
                <w:szCs w:val="20"/>
              </w:rPr>
              <w:t xml:space="preserve"> BP</w:t>
            </w:r>
            <w:r>
              <w:rPr>
                <w:rFonts w:cstheme="minorHAnsi"/>
                <w:bCs/>
                <w:color w:val="000000"/>
                <w:szCs w:val="20"/>
              </w:rPr>
              <w:t>.</w:t>
            </w:r>
          </w:p>
          <w:p w14:paraId="598D7A33" w14:textId="77777777" w:rsidR="00B80B9A" w:rsidRPr="00112091" w:rsidRDefault="00B80B9A" w:rsidP="00B80B9A">
            <w:pPr>
              <w:pStyle w:val="ListParagraph"/>
              <w:numPr>
                <w:ilvl w:val="1"/>
                <w:numId w:val="91"/>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112091">
              <w:rPr>
                <w:rFonts w:cstheme="minorHAnsi"/>
                <w:color w:val="000000"/>
                <w:szCs w:val="20"/>
              </w:rPr>
              <w:t>10 min</w:t>
            </w:r>
            <w:r>
              <w:rPr>
                <w:rFonts w:cstheme="minorHAnsi"/>
                <w:color w:val="000000"/>
                <w:szCs w:val="20"/>
              </w:rPr>
              <w:t>utes</w:t>
            </w:r>
            <w:r w:rsidRPr="00112091">
              <w:rPr>
                <w:rFonts w:cstheme="minorHAnsi"/>
                <w:color w:val="000000"/>
                <w:szCs w:val="20"/>
              </w:rPr>
              <w:t xml:space="preserve">: </w:t>
            </w:r>
            <w:r>
              <w:rPr>
                <w:rFonts w:cstheme="minorHAnsi"/>
                <w:color w:val="000000"/>
                <w:szCs w:val="20"/>
              </w:rPr>
              <w:t>d</w:t>
            </w:r>
            <w:r w:rsidRPr="00112091">
              <w:rPr>
                <w:rFonts w:cstheme="minorHAnsi"/>
                <w:color w:val="000000"/>
                <w:szCs w:val="20"/>
              </w:rPr>
              <w:t>rug administration</w:t>
            </w:r>
            <w:r>
              <w:rPr>
                <w:rFonts w:cstheme="minorHAnsi"/>
                <w:color w:val="000000"/>
                <w:szCs w:val="20"/>
              </w:rPr>
              <w:t>.</w:t>
            </w:r>
          </w:p>
          <w:p w14:paraId="2395E174" w14:textId="77777777" w:rsidR="00B80B9A" w:rsidRPr="00112091" w:rsidRDefault="00B80B9A" w:rsidP="00B80B9A">
            <w:pPr>
              <w:pStyle w:val="ListParagraph"/>
              <w:numPr>
                <w:ilvl w:val="1"/>
                <w:numId w:val="91"/>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112091">
              <w:rPr>
                <w:rFonts w:cstheme="minorHAnsi"/>
                <w:bCs/>
                <w:color w:val="000000"/>
                <w:szCs w:val="20"/>
              </w:rPr>
              <w:t>70 min</w:t>
            </w:r>
            <w:r>
              <w:rPr>
                <w:rFonts w:cstheme="minorHAnsi"/>
                <w:bCs/>
                <w:color w:val="000000"/>
                <w:szCs w:val="20"/>
              </w:rPr>
              <w:t>utes (T2)</w:t>
            </w:r>
            <w:r w:rsidRPr="00112091">
              <w:rPr>
                <w:rFonts w:cstheme="minorHAnsi"/>
                <w:bCs/>
                <w:color w:val="000000"/>
                <w:szCs w:val="20"/>
              </w:rPr>
              <w:t xml:space="preserve">: </w:t>
            </w:r>
            <w:r w:rsidRPr="00D542CE">
              <w:rPr>
                <w:rFonts w:cstheme="minorHAnsi"/>
                <w:bCs/>
                <w:color w:val="000000"/>
                <w:szCs w:val="20"/>
              </w:rPr>
              <w:t>QSU</w:t>
            </w:r>
            <w:r>
              <w:rPr>
                <w:rFonts w:cstheme="minorHAnsi"/>
                <w:bCs/>
                <w:color w:val="000000"/>
                <w:szCs w:val="20"/>
              </w:rPr>
              <w:t>-B, MPSS,</w:t>
            </w:r>
            <w:r w:rsidRPr="00112091">
              <w:rPr>
                <w:rFonts w:cstheme="minorHAnsi"/>
                <w:bCs/>
                <w:color w:val="000000"/>
                <w:szCs w:val="20"/>
              </w:rPr>
              <w:t xml:space="preserve"> HR</w:t>
            </w:r>
            <w:r>
              <w:rPr>
                <w:rFonts w:cstheme="minorHAnsi"/>
                <w:bCs/>
                <w:color w:val="000000"/>
                <w:szCs w:val="20"/>
              </w:rPr>
              <w:t>,</w:t>
            </w:r>
            <w:r w:rsidRPr="00112091">
              <w:rPr>
                <w:rFonts w:cstheme="minorHAnsi"/>
                <w:bCs/>
                <w:color w:val="000000"/>
                <w:szCs w:val="20"/>
              </w:rPr>
              <w:t xml:space="preserve"> BP</w:t>
            </w:r>
            <w:r>
              <w:rPr>
                <w:rFonts w:cstheme="minorHAnsi"/>
                <w:bCs/>
                <w:color w:val="000000"/>
                <w:szCs w:val="20"/>
              </w:rPr>
              <w:t>.</w:t>
            </w:r>
          </w:p>
          <w:p w14:paraId="47F6DA55" w14:textId="77777777" w:rsidR="00B80B9A" w:rsidRPr="00112091" w:rsidRDefault="00B80B9A" w:rsidP="00B80B9A">
            <w:pPr>
              <w:pStyle w:val="ListParagraph"/>
              <w:numPr>
                <w:ilvl w:val="1"/>
                <w:numId w:val="91"/>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112091">
              <w:rPr>
                <w:rFonts w:cstheme="minorHAnsi"/>
                <w:bCs/>
                <w:color w:val="000000"/>
                <w:szCs w:val="20"/>
              </w:rPr>
              <w:t>130 min</w:t>
            </w:r>
            <w:r>
              <w:rPr>
                <w:rFonts w:cstheme="minorHAnsi"/>
                <w:bCs/>
                <w:color w:val="000000"/>
                <w:szCs w:val="20"/>
              </w:rPr>
              <w:t>utes (T3)</w:t>
            </w:r>
            <w:r w:rsidRPr="00112091">
              <w:rPr>
                <w:rFonts w:cstheme="minorHAnsi"/>
                <w:bCs/>
                <w:color w:val="000000"/>
                <w:szCs w:val="20"/>
              </w:rPr>
              <w:t xml:space="preserve">: </w:t>
            </w:r>
            <w:r w:rsidRPr="00D542CE">
              <w:rPr>
                <w:rFonts w:cstheme="minorHAnsi"/>
                <w:bCs/>
                <w:color w:val="000000"/>
                <w:szCs w:val="20"/>
              </w:rPr>
              <w:t>QSU</w:t>
            </w:r>
            <w:r>
              <w:rPr>
                <w:rFonts w:cstheme="minorHAnsi"/>
                <w:bCs/>
                <w:color w:val="000000"/>
                <w:szCs w:val="20"/>
              </w:rPr>
              <w:t>-B, MPSS,</w:t>
            </w:r>
            <w:r w:rsidRPr="00112091">
              <w:rPr>
                <w:rFonts w:cstheme="minorHAnsi"/>
                <w:bCs/>
                <w:color w:val="000000"/>
                <w:szCs w:val="20"/>
              </w:rPr>
              <w:t xml:space="preserve"> HR</w:t>
            </w:r>
            <w:r>
              <w:rPr>
                <w:rFonts w:cstheme="minorHAnsi"/>
                <w:bCs/>
                <w:color w:val="000000"/>
                <w:szCs w:val="20"/>
              </w:rPr>
              <w:t>,</w:t>
            </w:r>
            <w:r w:rsidRPr="00112091">
              <w:rPr>
                <w:rFonts w:cstheme="minorHAnsi"/>
                <w:bCs/>
                <w:color w:val="000000"/>
                <w:szCs w:val="20"/>
              </w:rPr>
              <w:t xml:space="preserve"> BP</w:t>
            </w:r>
            <w:r>
              <w:rPr>
                <w:rFonts w:cstheme="minorHAnsi"/>
                <w:bCs/>
                <w:color w:val="000000"/>
                <w:szCs w:val="20"/>
              </w:rPr>
              <w:t>.</w:t>
            </w:r>
          </w:p>
          <w:p w14:paraId="6422DBBF" w14:textId="77777777" w:rsidR="00B80B9A" w:rsidRPr="00112091" w:rsidRDefault="00B80B9A" w:rsidP="00B80B9A">
            <w:pPr>
              <w:pStyle w:val="ListParagraph"/>
              <w:numPr>
                <w:ilvl w:val="1"/>
                <w:numId w:val="91"/>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112091">
              <w:rPr>
                <w:rFonts w:cstheme="minorHAnsi"/>
                <w:color w:val="000000"/>
                <w:szCs w:val="20"/>
              </w:rPr>
              <w:t>190 min</w:t>
            </w:r>
            <w:r>
              <w:rPr>
                <w:rFonts w:cstheme="minorHAnsi"/>
                <w:color w:val="000000"/>
                <w:szCs w:val="20"/>
              </w:rPr>
              <w:t>utes</w:t>
            </w:r>
            <w:r w:rsidRPr="00112091">
              <w:rPr>
                <w:rFonts w:cstheme="minorHAnsi"/>
                <w:color w:val="000000"/>
                <w:szCs w:val="20"/>
              </w:rPr>
              <w:t xml:space="preserve">: </w:t>
            </w:r>
            <w:r>
              <w:rPr>
                <w:rFonts w:cstheme="minorHAnsi"/>
                <w:color w:val="000000"/>
                <w:szCs w:val="20"/>
              </w:rPr>
              <w:t>v</w:t>
            </w:r>
            <w:r w:rsidRPr="00112091">
              <w:rPr>
                <w:rFonts w:cstheme="minorHAnsi"/>
                <w:color w:val="000000"/>
                <w:szCs w:val="20"/>
              </w:rPr>
              <w:t xml:space="preserve">isual </w:t>
            </w:r>
            <w:r>
              <w:rPr>
                <w:rFonts w:cstheme="minorHAnsi"/>
                <w:color w:val="000000"/>
                <w:szCs w:val="20"/>
              </w:rPr>
              <w:t>p</w:t>
            </w:r>
            <w:r w:rsidRPr="00112091">
              <w:rPr>
                <w:rFonts w:cstheme="minorHAnsi"/>
                <w:color w:val="000000"/>
                <w:szCs w:val="20"/>
              </w:rPr>
              <w:t>robe</w:t>
            </w:r>
            <w:r>
              <w:rPr>
                <w:rFonts w:cstheme="minorHAnsi"/>
                <w:color w:val="000000"/>
                <w:szCs w:val="20"/>
              </w:rPr>
              <w:t xml:space="preserve"> task.</w:t>
            </w:r>
          </w:p>
          <w:p w14:paraId="28552BAB" w14:textId="77777777" w:rsidR="00B80B9A" w:rsidRPr="00112091" w:rsidRDefault="00B80B9A" w:rsidP="00B80B9A">
            <w:pPr>
              <w:pStyle w:val="ListParagraph"/>
              <w:numPr>
                <w:ilvl w:val="1"/>
                <w:numId w:val="91"/>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112091">
              <w:rPr>
                <w:rFonts w:cstheme="minorHAnsi"/>
                <w:color w:val="000000"/>
                <w:szCs w:val="20"/>
              </w:rPr>
              <w:t>198 min</w:t>
            </w:r>
            <w:r>
              <w:rPr>
                <w:rFonts w:cstheme="minorHAnsi"/>
                <w:color w:val="000000"/>
                <w:szCs w:val="20"/>
              </w:rPr>
              <w:t>utes</w:t>
            </w:r>
            <w:r w:rsidRPr="00112091">
              <w:rPr>
                <w:rFonts w:cstheme="minorHAnsi"/>
                <w:color w:val="000000"/>
                <w:szCs w:val="20"/>
              </w:rPr>
              <w:t xml:space="preserve">: </w:t>
            </w:r>
            <w:r>
              <w:rPr>
                <w:rFonts w:cstheme="minorHAnsi"/>
                <w:color w:val="000000"/>
                <w:szCs w:val="20"/>
              </w:rPr>
              <w:t>pleasantness rating task (</w:t>
            </w:r>
            <w:r w:rsidRPr="00112091">
              <w:rPr>
                <w:rFonts w:cstheme="minorHAnsi"/>
                <w:color w:val="000000"/>
                <w:szCs w:val="20"/>
              </w:rPr>
              <w:t>PRT</w:t>
            </w:r>
            <w:r>
              <w:rPr>
                <w:rFonts w:cstheme="minorHAnsi"/>
                <w:color w:val="000000"/>
                <w:szCs w:val="20"/>
              </w:rPr>
              <w:t>).</w:t>
            </w:r>
          </w:p>
          <w:p w14:paraId="66790D92" w14:textId="77777777" w:rsidR="00B80B9A" w:rsidRPr="002F020F" w:rsidRDefault="00B80B9A" w:rsidP="00B80B9A">
            <w:pPr>
              <w:pStyle w:val="ListParagraph"/>
              <w:numPr>
                <w:ilvl w:val="1"/>
                <w:numId w:val="91"/>
              </w:numPr>
              <w:spacing w:after="120"/>
              <w:ind w:left="714" w:hanging="357"/>
              <w:cnfStyle w:val="000000100000" w:firstRow="0" w:lastRow="0" w:firstColumn="0" w:lastColumn="0" w:oddVBand="0" w:evenVBand="0" w:oddHBand="1" w:evenHBand="0" w:firstRowFirstColumn="0" w:firstRowLastColumn="0" w:lastRowFirstColumn="0" w:lastRowLastColumn="0"/>
            </w:pPr>
            <w:r w:rsidRPr="00D542CE">
              <w:rPr>
                <w:rFonts w:cstheme="minorHAnsi"/>
                <w:bCs/>
                <w:color w:val="000000"/>
                <w:szCs w:val="20"/>
              </w:rPr>
              <w:t>200 min</w:t>
            </w:r>
            <w:r>
              <w:rPr>
                <w:rFonts w:cstheme="minorHAnsi"/>
                <w:bCs/>
                <w:color w:val="000000"/>
                <w:szCs w:val="20"/>
              </w:rPr>
              <w:t>utes (T4)</w:t>
            </w:r>
            <w:r w:rsidRPr="00D542CE">
              <w:rPr>
                <w:rFonts w:cstheme="minorHAnsi"/>
                <w:bCs/>
                <w:color w:val="000000"/>
                <w:szCs w:val="20"/>
              </w:rPr>
              <w:t>: QSU</w:t>
            </w:r>
            <w:r>
              <w:rPr>
                <w:rFonts w:cstheme="minorHAnsi"/>
                <w:bCs/>
                <w:color w:val="000000"/>
                <w:szCs w:val="20"/>
              </w:rPr>
              <w:t>-B, MPSS.</w:t>
            </w:r>
          </w:p>
        </w:tc>
      </w:tr>
      <w:tr w:rsidR="00B80B9A" w:rsidRPr="002F020F" w14:paraId="640A7292"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2611E4A5" w14:textId="77777777" w:rsidR="00B80B9A" w:rsidRPr="002F020F" w:rsidRDefault="00B80B9A" w:rsidP="004361E5">
            <w:r w:rsidRPr="002F020F">
              <w:t>Main Findings</w:t>
            </w:r>
          </w:p>
        </w:tc>
        <w:tc>
          <w:tcPr>
            <w:tcW w:w="3884" w:type="pct"/>
          </w:tcPr>
          <w:p w14:paraId="177D4996" w14:textId="77777777" w:rsidR="00B80B9A" w:rsidRPr="0078556B"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color w:val="000000"/>
              </w:rPr>
            </w:pPr>
            <w:r w:rsidRPr="0078556B">
              <w:rPr>
                <w:color w:val="000000"/>
              </w:rPr>
              <w:t>Craving</w:t>
            </w:r>
            <w:r>
              <w:rPr>
                <w:color w:val="000000"/>
              </w:rPr>
              <w:t>:</w:t>
            </w:r>
          </w:p>
          <w:p w14:paraId="3C7CC972" w14:textId="77777777" w:rsidR="00B80B9A"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color w:val="000000"/>
              </w:rPr>
            </w:pPr>
            <w:r w:rsidRPr="0078556B">
              <w:rPr>
                <w:color w:val="000000"/>
              </w:rPr>
              <w:t>Prior to drug administration, craving (as measured by the QSU-B) was greater under the abstinent (intervention) conditions than under the satiation (baseline) condition (</w:t>
            </w:r>
            <w:r>
              <w:rPr>
                <w:color w:val="000000"/>
              </w:rPr>
              <w:t>p</w:t>
            </w:r>
            <w:r w:rsidRPr="0078556B">
              <w:rPr>
                <w:color w:val="000000"/>
              </w:rPr>
              <w:t xml:space="preserve"> &lt; 0.001), suggesting that abstinence increased craving. </w:t>
            </w:r>
          </w:p>
          <w:p w14:paraId="1A48FEF8" w14:textId="77777777" w:rsidR="00B80B9A" w:rsidRPr="00F76C13"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color w:val="000000"/>
              </w:rPr>
            </w:pPr>
            <w:r w:rsidRPr="00F76C13">
              <w:rPr>
                <w:color w:val="000000"/>
              </w:rPr>
              <w:t>Prior to drug administration, there was no difference in craving symptoms between the CBD and placebo (intervention) conditions (p = 0.99</w:t>
            </w:r>
            <w:r>
              <w:rPr>
                <w:color w:val="000000"/>
              </w:rPr>
              <w:t xml:space="preserve">; </w:t>
            </w:r>
            <w:r w:rsidRPr="00F76C13">
              <w:rPr>
                <w:color w:val="000000"/>
              </w:rPr>
              <w:t>confirmed by a Bayesian analysis</w:t>
            </w:r>
            <w:r>
              <w:rPr>
                <w:color w:val="000000"/>
              </w:rPr>
              <w:t xml:space="preserve">: </w:t>
            </w:r>
            <w:r w:rsidRPr="00F76C13">
              <w:rPr>
                <w:color w:val="000000"/>
              </w:rPr>
              <w:t xml:space="preserve">JZS BF = 7.08). </w:t>
            </w:r>
          </w:p>
          <w:p w14:paraId="7D6A40CA" w14:textId="77777777" w:rsidR="00B80B9A" w:rsidRPr="0078556B"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color w:val="000000"/>
              </w:rPr>
            </w:pPr>
            <w:r w:rsidRPr="0078556B">
              <w:rPr>
                <w:color w:val="000000"/>
              </w:rPr>
              <w:t xml:space="preserve">Following drug administration in the abstinence sessions, there was a main effect of time (p &lt; 0.001); however, there was no main effect of drug (p = 0.81; confirmed by a Bayesian analysis: JZS BF = 6.87), or drug </w:t>
            </w:r>
            <w:r>
              <w:rPr>
                <w:color w:val="000000"/>
              </w:rPr>
              <w:t>by</w:t>
            </w:r>
            <w:r w:rsidRPr="0078556B">
              <w:rPr>
                <w:color w:val="000000"/>
              </w:rPr>
              <w:t xml:space="preserve"> time interaction (p-value not reported), suggesting no difference between the CBD and placebo (intervention) conditions on craving symptoms.</w:t>
            </w:r>
          </w:p>
          <w:p w14:paraId="70447745" w14:textId="77777777" w:rsidR="00B80B9A" w:rsidRPr="00F76C13"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color w:val="000000"/>
              </w:rPr>
            </w:pPr>
            <w:r w:rsidRPr="00F76C13">
              <w:rPr>
                <w:color w:val="000000" w:themeColor="text1"/>
              </w:rPr>
              <w:t>Withdrawal:</w:t>
            </w:r>
          </w:p>
          <w:p w14:paraId="0DA095DE" w14:textId="77777777" w:rsidR="00B80B9A"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color w:val="000000"/>
              </w:rPr>
            </w:pPr>
            <w:r w:rsidRPr="00F76C13">
              <w:rPr>
                <w:color w:val="000000"/>
              </w:rPr>
              <w:t>Prior to drug administration, withdrawal (as measured by the MPSS scores) was greater under the abstinent (intervention) conditions than under the satiation (baseline) condition (</w:t>
            </w:r>
            <w:r>
              <w:rPr>
                <w:color w:val="000000"/>
              </w:rPr>
              <w:t>p</w:t>
            </w:r>
            <w:r w:rsidRPr="00F76C13">
              <w:rPr>
                <w:color w:val="000000"/>
              </w:rPr>
              <w:t xml:space="preserve"> &lt; 0.001), suggesting that abstinence increased withdrawal. </w:t>
            </w:r>
          </w:p>
          <w:p w14:paraId="64A22C9B" w14:textId="77777777" w:rsidR="00B80B9A" w:rsidRPr="00F76C13"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color w:val="000000"/>
              </w:rPr>
            </w:pPr>
            <w:r w:rsidRPr="00F76C13">
              <w:rPr>
                <w:color w:val="000000"/>
              </w:rPr>
              <w:lastRenderedPageBreak/>
              <w:t>Prior to drug administration, there was no difference in withdrawal symptoms between the CBD and placebo (intervention) conditions (p = 0.85</w:t>
            </w:r>
            <w:r>
              <w:rPr>
                <w:color w:val="000000"/>
              </w:rPr>
              <w:t xml:space="preserve">; </w:t>
            </w:r>
            <w:r w:rsidRPr="00F76C13">
              <w:rPr>
                <w:color w:val="000000"/>
              </w:rPr>
              <w:t>confirmed by a Bayesian analysis</w:t>
            </w:r>
            <w:r>
              <w:rPr>
                <w:color w:val="000000"/>
              </w:rPr>
              <w:t xml:space="preserve">: </w:t>
            </w:r>
            <w:r w:rsidRPr="00F76C13">
              <w:rPr>
                <w:color w:val="000000"/>
              </w:rPr>
              <w:t xml:space="preserve">JZS BF = 6.95). </w:t>
            </w:r>
          </w:p>
          <w:p w14:paraId="3C9610AC" w14:textId="77777777" w:rsidR="00B80B9A" w:rsidRPr="00887992" w:rsidRDefault="00B80B9A" w:rsidP="00B80B9A">
            <w:pPr>
              <w:numPr>
                <w:ilvl w:val="1"/>
                <w:numId w:val="91"/>
              </w:numPr>
              <w:ind w:left="714" w:hanging="357"/>
              <w:cnfStyle w:val="000000000000" w:firstRow="0" w:lastRow="0" w:firstColumn="0" w:lastColumn="0" w:oddVBand="0" w:evenVBand="0" w:oddHBand="0" w:evenHBand="0" w:firstRowFirstColumn="0" w:firstRowLastColumn="0" w:lastRowFirstColumn="0" w:lastRowLastColumn="0"/>
              <w:rPr>
                <w:color w:val="000000"/>
              </w:rPr>
            </w:pPr>
            <w:r w:rsidRPr="00F76C13">
              <w:rPr>
                <w:color w:val="000000"/>
              </w:rPr>
              <w:t xml:space="preserve">Following drug administration in the abstinence sessions, there was a main effect of time (p &lt; 0.001); however, there was no main effect of drug (p = 0.64; confirmed by a Bayesian analysis: JZS BF = 6.35), or drug </w:t>
            </w:r>
            <w:r>
              <w:rPr>
                <w:color w:val="000000"/>
              </w:rPr>
              <w:t>by</w:t>
            </w:r>
            <w:r w:rsidRPr="00F76C13">
              <w:rPr>
                <w:color w:val="000000"/>
              </w:rPr>
              <w:t xml:space="preserve"> time interaction (p-value not reported), suggesting no difference between the CBD and placebo groups on withdrawal symptoms.</w:t>
            </w:r>
          </w:p>
        </w:tc>
      </w:tr>
      <w:tr w:rsidR="00B80B9A" w:rsidRPr="002F020F" w14:paraId="2A81D955"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FDA2DF1" w14:textId="77777777" w:rsidR="00B80B9A" w:rsidRPr="002F020F" w:rsidRDefault="00B80B9A" w:rsidP="004361E5">
            <w:r w:rsidRPr="002F020F">
              <w:lastRenderedPageBreak/>
              <w:t>Safety and Adverse Events</w:t>
            </w:r>
          </w:p>
        </w:tc>
        <w:tc>
          <w:tcPr>
            <w:tcW w:w="3884" w:type="pct"/>
          </w:tcPr>
          <w:p w14:paraId="70216DC2" w14:textId="77777777" w:rsidR="00B80B9A" w:rsidRPr="00D91AB5" w:rsidRDefault="00B80B9A" w:rsidP="00B80B9A">
            <w:pPr>
              <w:numPr>
                <w:ilvl w:val="0"/>
                <w:numId w:val="92"/>
              </w:numPr>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D91AB5">
              <w:rPr>
                <w:rFonts w:cstheme="minorHAnsi"/>
                <w:bCs/>
                <w:color w:val="000000"/>
                <w:szCs w:val="20"/>
              </w:rPr>
              <w:t>Heart rate (HR)</w:t>
            </w:r>
            <w:r>
              <w:rPr>
                <w:rFonts w:cstheme="minorHAnsi"/>
                <w:bCs/>
                <w:color w:val="000000"/>
                <w:szCs w:val="20"/>
              </w:rPr>
              <w:t>:</w:t>
            </w:r>
          </w:p>
          <w:p w14:paraId="4D7CAB61" w14:textId="77777777" w:rsidR="00B80B9A" w:rsidRDefault="00B80B9A" w:rsidP="00B80B9A">
            <w:pPr>
              <w:numPr>
                <w:ilvl w:val="1"/>
                <w:numId w:val="92"/>
              </w:numPr>
              <w:spacing w:line="259" w:lineRule="auto"/>
              <w:ind w:left="714" w:hanging="357"/>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C355BC">
              <w:rPr>
                <w:rFonts w:cstheme="minorHAnsi"/>
                <w:bCs/>
                <w:color w:val="000000"/>
                <w:szCs w:val="20"/>
              </w:rPr>
              <w:t>There was a main effect of time (p &lt; 0.001)</w:t>
            </w:r>
            <w:r>
              <w:rPr>
                <w:rFonts w:cstheme="minorHAnsi"/>
                <w:bCs/>
                <w:color w:val="000000"/>
                <w:szCs w:val="20"/>
              </w:rPr>
              <w:t>,</w:t>
            </w:r>
            <w:r w:rsidRPr="00C355BC">
              <w:rPr>
                <w:rFonts w:cstheme="minorHAnsi"/>
                <w:bCs/>
                <w:color w:val="000000"/>
                <w:szCs w:val="20"/>
              </w:rPr>
              <w:t xml:space="preserve"> which showed that HR decreased over time. </w:t>
            </w:r>
          </w:p>
          <w:p w14:paraId="42C7847A" w14:textId="77777777" w:rsidR="00B80B9A" w:rsidRDefault="00B80B9A" w:rsidP="00B80B9A">
            <w:pPr>
              <w:numPr>
                <w:ilvl w:val="1"/>
                <w:numId w:val="92"/>
              </w:numPr>
              <w:spacing w:line="259" w:lineRule="auto"/>
              <w:ind w:left="714" w:hanging="357"/>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C355BC">
              <w:rPr>
                <w:rFonts w:cstheme="minorHAnsi"/>
                <w:bCs/>
                <w:color w:val="000000"/>
                <w:szCs w:val="20"/>
              </w:rPr>
              <w:t>There was no main effect of drug (</w:t>
            </w:r>
            <w:r>
              <w:rPr>
                <w:rFonts w:cstheme="minorHAnsi"/>
                <w:bCs/>
                <w:color w:val="000000"/>
                <w:szCs w:val="20"/>
              </w:rPr>
              <w:t>p</w:t>
            </w:r>
            <w:r w:rsidRPr="00C355BC">
              <w:rPr>
                <w:rFonts w:cstheme="minorHAnsi"/>
                <w:bCs/>
                <w:color w:val="000000"/>
                <w:szCs w:val="20"/>
              </w:rPr>
              <w:t xml:space="preserve"> = 0.30</w:t>
            </w:r>
            <w:r>
              <w:rPr>
                <w:rFonts w:cstheme="minorHAnsi"/>
                <w:bCs/>
                <w:color w:val="000000"/>
                <w:szCs w:val="20"/>
              </w:rPr>
              <w:t>; c</w:t>
            </w:r>
            <w:r w:rsidRPr="00C355BC">
              <w:rPr>
                <w:rFonts w:cstheme="minorHAnsi"/>
                <w:bCs/>
                <w:color w:val="000000"/>
                <w:szCs w:val="20"/>
              </w:rPr>
              <w:t>onfirmed by a Bayesian analysis (JZS BF = 4.17)</w:t>
            </w:r>
            <w:r>
              <w:rPr>
                <w:rFonts w:cstheme="minorHAnsi"/>
                <w:bCs/>
                <w:color w:val="000000"/>
                <w:szCs w:val="20"/>
              </w:rPr>
              <w:t>.</w:t>
            </w:r>
          </w:p>
          <w:p w14:paraId="7B3206CC" w14:textId="77777777" w:rsidR="00B80B9A" w:rsidRPr="00C355BC" w:rsidRDefault="00B80B9A" w:rsidP="00B80B9A">
            <w:pPr>
              <w:numPr>
                <w:ilvl w:val="1"/>
                <w:numId w:val="92"/>
              </w:numPr>
              <w:ind w:left="714" w:hanging="357"/>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Pr>
                <w:rFonts w:cstheme="minorHAnsi"/>
                <w:bCs/>
                <w:color w:val="000000"/>
                <w:szCs w:val="20"/>
              </w:rPr>
              <w:t>There was</w:t>
            </w:r>
            <w:r w:rsidRPr="00C355BC">
              <w:rPr>
                <w:rFonts w:cstheme="minorHAnsi"/>
                <w:bCs/>
                <w:color w:val="000000"/>
                <w:szCs w:val="20"/>
              </w:rPr>
              <w:t xml:space="preserve"> no interaction between drug and time</w:t>
            </w:r>
            <w:r>
              <w:rPr>
                <w:rFonts w:cstheme="minorHAnsi"/>
                <w:bCs/>
                <w:color w:val="000000"/>
                <w:szCs w:val="20"/>
              </w:rPr>
              <w:t xml:space="preserve"> (p-value not reported)</w:t>
            </w:r>
            <w:r w:rsidRPr="00C355BC">
              <w:rPr>
                <w:rFonts w:cstheme="minorHAnsi"/>
                <w:bCs/>
                <w:color w:val="000000"/>
                <w:szCs w:val="20"/>
              </w:rPr>
              <w:t>.</w:t>
            </w:r>
          </w:p>
          <w:p w14:paraId="493BAF14" w14:textId="77777777" w:rsidR="00B80B9A" w:rsidRPr="00D91AB5" w:rsidRDefault="00B80B9A" w:rsidP="00B80B9A">
            <w:pPr>
              <w:numPr>
                <w:ilvl w:val="0"/>
                <w:numId w:val="92"/>
              </w:numPr>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D91AB5">
              <w:rPr>
                <w:rFonts w:cstheme="minorHAnsi"/>
                <w:bCs/>
                <w:color w:val="000000"/>
                <w:szCs w:val="20"/>
              </w:rPr>
              <w:t>Blood pressure (BP)</w:t>
            </w:r>
            <w:r>
              <w:rPr>
                <w:rFonts w:cstheme="minorHAnsi"/>
                <w:bCs/>
                <w:color w:val="000000"/>
                <w:szCs w:val="20"/>
              </w:rPr>
              <w:t>:</w:t>
            </w:r>
          </w:p>
          <w:p w14:paraId="11B86C8F" w14:textId="77777777" w:rsidR="00B80B9A" w:rsidRPr="00775A62" w:rsidRDefault="00B80B9A" w:rsidP="00B80B9A">
            <w:pPr>
              <w:numPr>
                <w:ilvl w:val="1"/>
                <w:numId w:val="92"/>
              </w:numPr>
              <w:spacing w:line="259" w:lineRule="auto"/>
              <w:ind w:left="714" w:hanging="357"/>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775A62">
              <w:rPr>
                <w:rFonts w:cstheme="minorHAnsi"/>
                <w:bCs/>
                <w:color w:val="000000"/>
                <w:szCs w:val="20"/>
              </w:rPr>
              <w:t xml:space="preserve">Systolic BP: There was a main effect of time (p &lt; 0.001), which indicated that systolic BP decreased over time. There was a main effect of drug (p = 0.015), which indicated that systolic BP was higher after placebo than after CBD. </w:t>
            </w:r>
          </w:p>
          <w:p w14:paraId="6B2958B4" w14:textId="77777777" w:rsidR="00B80B9A" w:rsidRPr="007C09FD" w:rsidRDefault="00B80B9A" w:rsidP="00B80B9A">
            <w:pPr>
              <w:numPr>
                <w:ilvl w:val="1"/>
                <w:numId w:val="92"/>
              </w:numPr>
              <w:ind w:left="714" w:hanging="357"/>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Pr>
                <w:rFonts w:cstheme="minorHAnsi"/>
                <w:bCs/>
                <w:color w:val="000000"/>
                <w:szCs w:val="20"/>
              </w:rPr>
              <w:t xml:space="preserve">Diastolic BP: </w:t>
            </w:r>
            <w:r w:rsidRPr="007C09FD">
              <w:rPr>
                <w:rFonts w:cstheme="minorHAnsi"/>
                <w:bCs/>
                <w:color w:val="000000"/>
                <w:szCs w:val="20"/>
              </w:rPr>
              <w:t>There were no main effects or interaction</w:t>
            </w:r>
            <w:r>
              <w:rPr>
                <w:rFonts w:cstheme="minorHAnsi"/>
                <w:bCs/>
                <w:color w:val="000000"/>
                <w:szCs w:val="20"/>
              </w:rPr>
              <w:t>s</w:t>
            </w:r>
            <w:r w:rsidRPr="007C09FD">
              <w:rPr>
                <w:rFonts w:cstheme="minorHAnsi"/>
                <w:bCs/>
                <w:color w:val="000000"/>
                <w:szCs w:val="20"/>
              </w:rPr>
              <w:t>.</w:t>
            </w:r>
          </w:p>
          <w:p w14:paraId="2C3CD86B" w14:textId="77777777" w:rsidR="00B80B9A" w:rsidRPr="00D91AB5" w:rsidRDefault="00B80B9A" w:rsidP="00B80B9A">
            <w:pPr>
              <w:numPr>
                <w:ilvl w:val="0"/>
                <w:numId w:val="92"/>
              </w:numPr>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D91AB5">
              <w:rPr>
                <w:rFonts w:cstheme="minorHAnsi"/>
                <w:bCs/>
                <w:color w:val="000000"/>
                <w:szCs w:val="20"/>
              </w:rPr>
              <w:t>Side effects</w:t>
            </w:r>
            <w:r>
              <w:rPr>
                <w:rFonts w:cstheme="minorHAnsi"/>
                <w:bCs/>
                <w:color w:val="000000"/>
                <w:szCs w:val="20"/>
              </w:rPr>
              <w:t xml:space="preserve"> (self-reported):</w:t>
            </w:r>
          </w:p>
          <w:p w14:paraId="3547516C" w14:textId="77777777" w:rsidR="00B80B9A" w:rsidRPr="00D91AB5" w:rsidRDefault="00B80B9A" w:rsidP="00B80B9A">
            <w:pPr>
              <w:numPr>
                <w:ilvl w:val="1"/>
                <w:numId w:val="92"/>
              </w:numPr>
              <w:ind w:left="714" w:hanging="357"/>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Pr>
                <w:rFonts w:cstheme="minorHAnsi"/>
                <w:bCs/>
                <w:color w:val="000000"/>
                <w:szCs w:val="20"/>
              </w:rPr>
              <w:t xml:space="preserve">There was a significant </w:t>
            </w:r>
            <w:r w:rsidRPr="00D91AB5">
              <w:rPr>
                <w:rFonts w:cstheme="minorHAnsi"/>
                <w:bCs/>
                <w:color w:val="000000"/>
                <w:szCs w:val="20"/>
              </w:rPr>
              <w:t>interaction between drug and time for ‘headache’ but no significant pairwise comparisons emerged</w:t>
            </w:r>
            <w:r>
              <w:rPr>
                <w:rFonts w:cstheme="minorHAnsi"/>
                <w:bCs/>
                <w:color w:val="000000"/>
                <w:szCs w:val="20"/>
              </w:rPr>
              <w:t xml:space="preserve"> (p-values not reported)</w:t>
            </w:r>
            <w:r w:rsidRPr="00D91AB5">
              <w:rPr>
                <w:rFonts w:cstheme="minorHAnsi"/>
                <w:bCs/>
                <w:color w:val="000000"/>
                <w:szCs w:val="20"/>
              </w:rPr>
              <w:t xml:space="preserve">. </w:t>
            </w:r>
          </w:p>
          <w:p w14:paraId="0C0B59D4" w14:textId="77777777" w:rsidR="00B80B9A" w:rsidRPr="002E5B98" w:rsidRDefault="00B80B9A" w:rsidP="00B80B9A">
            <w:pPr>
              <w:numPr>
                <w:ilvl w:val="1"/>
                <w:numId w:val="92"/>
              </w:numPr>
              <w:spacing w:line="259" w:lineRule="auto"/>
              <w:ind w:left="714" w:hanging="357"/>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D91AB5">
              <w:rPr>
                <w:rFonts w:cstheme="minorHAnsi"/>
                <w:bCs/>
                <w:color w:val="000000"/>
                <w:szCs w:val="20"/>
              </w:rPr>
              <w:t xml:space="preserve">No other main effects of drug or interactions were </w:t>
            </w:r>
            <w:r>
              <w:rPr>
                <w:rFonts w:cstheme="minorHAnsi"/>
                <w:bCs/>
                <w:color w:val="000000"/>
                <w:szCs w:val="20"/>
              </w:rPr>
              <w:t>observed</w:t>
            </w:r>
            <w:r w:rsidRPr="00D91AB5">
              <w:rPr>
                <w:rFonts w:cstheme="minorHAnsi"/>
                <w:bCs/>
                <w:color w:val="000000"/>
                <w:szCs w:val="20"/>
              </w:rPr>
              <w:t xml:space="preserve"> </w:t>
            </w:r>
            <w:r>
              <w:rPr>
                <w:rFonts w:cstheme="minorHAnsi"/>
                <w:bCs/>
                <w:color w:val="000000"/>
                <w:szCs w:val="20"/>
              </w:rPr>
              <w:t>between</w:t>
            </w:r>
            <w:r w:rsidRPr="00D91AB5">
              <w:rPr>
                <w:rFonts w:cstheme="minorHAnsi"/>
                <w:bCs/>
                <w:color w:val="000000"/>
                <w:szCs w:val="20"/>
              </w:rPr>
              <w:t xml:space="preserve"> drug and time</w:t>
            </w:r>
            <w:r>
              <w:rPr>
                <w:rFonts w:cstheme="minorHAnsi"/>
                <w:bCs/>
                <w:color w:val="000000"/>
                <w:szCs w:val="20"/>
              </w:rPr>
              <w:t xml:space="preserve"> (p-values not reported)</w:t>
            </w:r>
            <w:r w:rsidRPr="00D91AB5">
              <w:rPr>
                <w:rFonts w:cstheme="minorHAnsi"/>
                <w:bCs/>
                <w:color w:val="000000"/>
                <w:szCs w:val="20"/>
              </w:rPr>
              <w:t>.</w:t>
            </w:r>
          </w:p>
        </w:tc>
      </w:tr>
    </w:tbl>
    <w:p w14:paraId="527B5803" w14:textId="77777777" w:rsidR="00B80B9A" w:rsidRDefault="00B80B9A" w:rsidP="00B80B9A"/>
    <w:p w14:paraId="60EC4587" w14:textId="77777777" w:rsidR="00B80B9A" w:rsidRDefault="00B80B9A" w:rsidP="00B80B9A">
      <w:pPr>
        <w:keepNext/>
        <w:keepLines/>
        <w:numPr>
          <w:ilvl w:val="0"/>
          <w:numId w:val="28"/>
        </w:numPr>
        <w:spacing w:before="40" w:after="0"/>
        <w:outlineLvl w:val="1"/>
        <w:rPr>
          <w:rFonts w:ascii="Calibri Light" w:eastAsia="Times New Roman" w:hAnsi="Calibri Light" w:cs="Times New Roman"/>
          <w:color w:val="2E74B5"/>
          <w:sz w:val="26"/>
          <w:szCs w:val="26"/>
        </w:rPr>
      </w:pPr>
      <w:bookmarkStart w:id="323" w:name="_Toc165018245"/>
      <w:r>
        <w:rPr>
          <w:rFonts w:ascii="Calibri Light" w:eastAsia="Times New Roman" w:hAnsi="Calibri Light" w:cs="Times New Roman"/>
          <w:color w:val="2E74B5"/>
          <w:sz w:val="26"/>
          <w:szCs w:val="26"/>
        </w:rPr>
        <w:t xml:space="preserve">Synthetic Cannabidiol (CBD) </w:t>
      </w:r>
      <w:r w:rsidRPr="00D56749">
        <w:rPr>
          <w:rFonts w:ascii="Calibri Light" w:eastAsia="Times New Roman" w:hAnsi="Calibri Light" w:cs="Times New Roman"/>
          <w:color w:val="2E74B5"/>
          <w:sz w:val="26"/>
          <w:szCs w:val="26"/>
        </w:rPr>
        <w:t xml:space="preserve">for </w:t>
      </w:r>
      <w:r>
        <w:rPr>
          <w:rFonts w:ascii="Calibri Light" w:eastAsia="Times New Roman" w:hAnsi="Calibri Light" w:cs="Times New Roman"/>
          <w:color w:val="2E74B5"/>
          <w:sz w:val="26"/>
          <w:szCs w:val="26"/>
        </w:rPr>
        <w:t>Cannabis Use Disorder (CUD</w:t>
      </w:r>
      <w:r w:rsidRPr="00D56749">
        <w:rPr>
          <w:rFonts w:ascii="Calibri Light" w:eastAsia="Times New Roman" w:hAnsi="Calibri Light" w:cs="Times New Roman"/>
          <w:color w:val="2E74B5"/>
          <w:sz w:val="26"/>
          <w:szCs w:val="26"/>
        </w:rPr>
        <w:t xml:space="preserve">): </w:t>
      </w:r>
      <w:r>
        <w:rPr>
          <w:rFonts w:ascii="Calibri Light" w:eastAsia="Times New Roman" w:hAnsi="Calibri Light" w:cs="Times New Roman"/>
          <w:color w:val="2E74B5"/>
          <w:sz w:val="26"/>
          <w:szCs w:val="26"/>
        </w:rPr>
        <w:t>Combined intervention</w:t>
      </w:r>
      <w:bookmarkEnd w:id="323"/>
    </w:p>
    <w:tbl>
      <w:tblPr>
        <w:tblStyle w:val="GridTable5Dark-Accent5"/>
        <w:tblW w:w="5000" w:type="pct"/>
        <w:tblLook w:val="04A0" w:firstRow="1" w:lastRow="0" w:firstColumn="1" w:lastColumn="0" w:noHBand="0" w:noVBand="1"/>
      </w:tblPr>
      <w:tblGrid>
        <w:gridCol w:w="2012"/>
        <w:gridCol w:w="7004"/>
      </w:tblGrid>
      <w:tr w:rsidR="00B80B9A" w:rsidRPr="002F020F" w14:paraId="633105DE" w14:textId="77777777" w:rsidTr="004F2F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63342F19" w14:textId="77777777" w:rsidR="00B80B9A" w:rsidRPr="002F020F" w:rsidRDefault="00B80B9A" w:rsidP="004361E5">
            <w:r w:rsidRPr="002F020F">
              <w:t>Citation</w:t>
            </w:r>
          </w:p>
        </w:tc>
        <w:tc>
          <w:tcPr>
            <w:tcW w:w="3884" w:type="pct"/>
          </w:tcPr>
          <w:p w14:paraId="63FFB0DD" w14:textId="77777777" w:rsidR="00B80B9A" w:rsidRPr="00E40CAD" w:rsidRDefault="00B80B9A" w:rsidP="004361E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rPr>
            </w:pPr>
            <w:r w:rsidRPr="00E40CAD">
              <w:rPr>
                <w:rFonts w:cstheme="minorHAnsi"/>
                <w:szCs w:val="20"/>
              </w:rPr>
              <w:t>Freeman et al. (2020)</w:t>
            </w:r>
          </w:p>
        </w:tc>
      </w:tr>
      <w:tr w:rsidR="00B80B9A" w:rsidRPr="002F020F" w14:paraId="6B3324B9"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ABB11F4" w14:textId="77777777" w:rsidR="00B80B9A" w:rsidRPr="002F020F" w:rsidRDefault="00B80B9A" w:rsidP="004361E5">
            <w:r w:rsidRPr="002F020F">
              <w:t>Study Design</w:t>
            </w:r>
          </w:p>
        </w:tc>
        <w:tc>
          <w:tcPr>
            <w:tcW w:w="3884" w:type="pct"/>
          </w:tcPr>
          <w:p w14:paraId="25ACA498" w14:textId="77777777" w:rsidR="00B80B9A" w:rsidRPr="00823D0E" w:rsidRDefault="00B80B9A" w:rsidP="00B80B9A">
            <w:pPr>
              <w:pStyle w:val="ListParagraph"/>
              <w:numPr>
                <w:ilvl w:val="0"/>
                <w:numId w:val="9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Pr>
                <w:rFonts w:cstheme="minorHAnsi"/>
                <w:szCs w:val="20"/>
              </w:rPr>
              <w:t>Double-blind, randomised, placebo-controlled, trial.</w:t>
            </w:r>
          </w:p>
        </w:tc>
      </w:tr>
      <w:tr w:rsidR="00B80B9A" w:rsidRPr="002F020F" w14:paraId="740EC509"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2414AE51" w14:textId="77777777" w:rsidR="00B80B9A" w:rsidRPr="002F020F" w:rsidRDefault="00B80B9A" w:rsidP="004361E5">
            <w:r w:rsidRPr="002F020F">
              <w:t>Sample Size</w:t>
            </w:r>
          </w:p>
        </w:tc>
        <w:tc>
          <w:tcPr>
            <w:tcW w:w="3884" w:type="pct"/>
          </w:tcPr>
          <w:p w14:paraId="48701C7D" w14:textId="77777777" w:rsidR="00B80B9A" w:rsidRPr="0048070F"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sidRPr="0048070F">
              <w:rPr>
                <w:rFonts w:cstheme="minorHAnsi"/>
                <w:color w:val="000000"/>
                <w:szCs w:val="20"/>
              </w:rPr>
              <w:t>82 participants</w:t>
            </w:r>
            <w:r>
              <w:rPr>
                <w:rFonts w:cstheme="minorHAnsi"/>
                <w:color w:val="000000"/>
                <w:szCs w:val="20"/>
              </w:rPr>
              <w:t xml:space="preserve"> (intention-to-treat, Bayesian analysis)</w:t>
            </w:r>
            <w:r w:rsidRPr="0048070F">
              <w:rPr>
                <w:rFonts w:cstheme="minorHAnsi"/>
                <w:color w:val="000000"/>
                <w:szCs w:val="20"/>
              </w:rPr>
              <w:t>.</w:t>
            </w:r>
          </w:p>
          <w:p w14:paraId="1001B0B1" w14:textId="77777777" w:rsidR="00B80B9A"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sidRPr="0048070F">
              <w:rPr>
                <w:szCs w:val="20"/>
              </w:rPr>
              <w:t xml:space="preserve">48 participants </w:t>
            </w:r>
            <w:r>
              <w:rPr>
                <w:szCs w:val="20"/>
              </w:rPr>
              <w:t xml:space="preserve">enrolled in first phase of study recruitment and </w:t>
            </w:r>
            <w:r w:rsidRPr="0048070F">
              <w:rPr>
                <w:szCs w:val="20"/>
              </w:rPr>
              <w:t xml:space="preserve">randomised to four </w:t>
            </w:r>
            <w:r>
              <w:rPr>
                <w:szCs w:val="20"/>
              </w:rPr>
              <w:t xml:space="preserve">study </w:t>
            </w:r>
            <w:r w:rsidRPr="0048070F">
              <w:rPr>
                <w:szCs w:val="20"/>
              </w:rPr>
              <w:t>conditions</w:t>
            </w:r>
            <w:r>
              <w:rPr>
                <w:szCs w:val="20"/>
              </w:rPr>
              <w:t xml:space="preserve"> (CBD: 200 mg vs. 400 mg vs. 800 mg vs. placebo).</w:t>
            </w:r>
          </w:p>
          <w:p w14:paraId="2BE44281" w14:textId="77777777" w:rsidR="00B80B9A" w:rsidRPr="00523E23"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sidRPr="0048070F">
              <w:rPr>
                <w:szCs w:val="20"/>
              </w:rPr>
              <w:t>200 mg CBD condition dropped following</w:t>
            </w:r>
            <w:r w:rsidRPr="0048070F">
              <w:rPr>
                <w:rFonts w:cstheme="minorHAnsi"/>
                <w:color w:val="000000"/>
                <w:szCs w:val="20"/>
              </w:rPr>
              <w:t xml:space="preserve"> interim </w:t>
            </w:r>
            <w:r>
              <w:rPr>
                <w:rFonts w:cstheme="minorHAnsi"/>
                <w:color w:val="000000"/>
                <w:szCs w:val="20"/>
              </w:rPr>
              <w:t xml:space="preserve">Bayesian </w:t>
            </w:r>
            <w:r w:rsidRPr="0048070F">
              <w:rPr>
                <w:rFonts w:cstheme="minorHAnsi"/>
                <w:color w:val="000000"/>
                <w:szCs w:val="20"/>
              </w:rPr>
              <w:t>analysis</w:t>
            </w:r>
            <w:r>
              <w:rPr>
                <w:rFonts w:cstheme="minorHAnsi"/>
                <w:color w:val="000000"/>
                <w:szCs w:val="20"/>
              </w:rPr>
              <w:t>.</w:t>
            </w:r>
          </w:p>
          <w:p w14:paraId="6ED81E49" w14:textId="77777777" w:rsidR="00B80B9A" w:rsidRPr="0048070F"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sidRPr="0048070F">
              <w:rPr>
                <w:rFonts w:cstheme="minorHAnsi"/>
                <w:color w:val="000000"/>
                <w:szCs w:val="20"/>
              </w:rPr>
              <w:t xml:space="preserve">34 </w:t>
            </w:r>
            <w:r>
              <w:rPr>
                <w:rFonts w:cstheme="minorHAnsi"/>
                <w:color w:val="000000"/>
                <w:szCs w:val="20"/>
              </w:rPr>
              <w:t xml:space="preserve">participants enrolled in second phase of study recruitment and </w:t>
            </w:r>
            <w:r w:rsidRPr="0048070F">
              <w:rPr>
                <w:rFonts w:cstheme="minorHAnsi"/>
                <w:color w:val="000000"/>
                <w:szCs w:val="20"/>
              </w:rPr>
              <w:t xml:space="preserve">randomised to three </w:t>
            </w:r>
            <w:r>
              <w:rPr>
                <w:rFonts w:cstheme="minorHAnsi"/>
                <w:color w:val="000000"/>
                <w:szCs w:val="20"/>
              </w:rPr>
              <w:t xml:space="preserve">study </w:t>
            </w:r>
            <w:r w:rsidRPr="0048070F">
              <w:rPr>
                <w:rFonts w:cstheme="minorHAnsi"/>
                <w:color w:val="000000"/>
                <w:szCs w:val="20"/>
              </w:rPr>
              <w:t>conditions</w:t>
            </w:r>
            <w:r>
              <w:rPr>
                <w:rFonts w:cstheme="minorHAnsi"/>
                <w:color w:val="000000"/>
                <w:szCs w:val="20"/>
              </w:rPr>
              <w:t xml:space="preserve"> </w:t>
            </w:r>
            <w:r>
              <w:rPr>
                <w:szCs w:val="20"/>
              </w:rPr>
              <w:t>(CBD: 400 mg vs. 800 mg vs. placebo)</w:t>
            </w:r>
            <w:r w:rsidRPr="0048070F">
              <w:rPr>
                <w:rFonts w:cstheme="minorHAnsi"/>
                <w:color w:val="000000"/>
                <w:szCs w:val="20"/>
              </w:rPr>
              <w:t>.</w:t>
            </w:r>
          </w:p>
        </w:tc>
      </w:tr>
      <w:tr w:rsidR="00B80B9A" w:rsidRPr="002F020F" w14:paraId="6E6ED7AF"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5A9E779" w14:textId="77777777" w:rsidR="00B80B9A" w:rsidRPr="0094024F" w:rsidRDefault="00B80B9A" w:rsidP="004361E5">
            <w:pPr>
              <w:rPr>
                <w:b w:val="0"/>
                <w:bCs w:val="0"/>
              </w:rPr>
            </w:pPr>
            <w:r w:rsidRPr="002F020F">
              <w:t>Population</w:t>
            </w:r>
          </w:p>
        </w:tc>
        <w:tc>
          <w:tcPr>
            <w:tcW w:w="3884" w:type="pct"/>
          </w:tcPr>
          <w:p w14:paraId="1221FAE1" w14:textId="77777777" w:rsidR="00B80B9A" w:rsidRPr="00547E45" w:rsidRDefault="00B80B9A" w:rsidP="00B80B9A">
            <w:pPr>
              <w:pStyle w:val="ListParagraph"/>
              <w:numPr>
                <w:ilvl w:val="0"/>
                <w:numId w:val="119"/>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547E45">
              <w:rPr>
                <w:rFonts w:cstheme="minorHAnsi"/>
                <w:color w:val="000000"/>
                <w:szCs w:val="20"/>
              </w:rPr>
              <w:t>United Kingdom</w:t>
            </w:r>
            <w:r>
              <w:rPr>
                <w:rFonts w:cstheme="minorHAnsi"/>
                <w:color w:val="000000"/>
                <w:szCs w:val="20"/>
              </w:rPr>
              <w:t>.</w:t>
            </w:r>
          </w:p>
          <w:p w14:paraId="3CA24F33" w14:textId="77777777" w:rsidR="00B80B9A" w:rsidRDefault="00B80B9A" w:rsidP="00B80B9A">
            <w:pPr>
              <w:pStyle w:val="ListParagraph"/>
              <w:numPr>
                <w:ilvl w:val="0"/>
                <w:numId w:val="119"/>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C</w:t>
            </w:r>
            <w:r w:rsidRPr="00547E45">
              <w:rPr>
                <w:rFonts w:cstheme="minorHAnsi"/>
                <w:color w:val="000000"/>
                <w:szCs w:val="20"/>
              </w:rPr>
              <w:t>annabis use disorder (DSM-5</w:t>
            </w:r>
            <w:r>
              <w:rPr>
                <w:rFonts w:cstheme="minorHAnsi"/>
                <w:color w:val="000000"/>
                <w:szCs w:val="20"/>
              </w:rPr>
              <w:t xml:space="preserve"> criteria</w:t>
            </w:r>
            <w:r w:rsidRPr="00547E45">
              <w:rPr>
                <w:rFonts w:cstheme="minorHAnsi"/>
                <w:color w:val="000000"/>
                <w:szCs w:val="20"/>
              </w:rPr>
              <w:t>)</w:t>
            </w:r>
            <w:r>
              <w:rPr>
                <w:rFonts w:cstheme="minorHAnsi"/>
                <w:color w:val="000000"/>
                <w:szCs w:val="20"/>
              </w:rPr>
              <w:t>.</w:t>
            </w:r>
          </w:p>
          <w:p w14:paraId="39C5199D" w14:textId="77777777" w:rsidR="00B80B9A" w:rsidRPr="00547E45" w:rsidRDefault="00B80B9A" w:rsidP="00B80B9A">
            <w:pPr>
              <w:pStyle w:val="ListParagraph"/>
              <w:numPr>
                <w:ilvl w:val="0"/>
                <w:numId w:val="119"/>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Treatment seeking.</w:t>
            </w:r>
          </w:p>
          <w:p w14:paraId="59747DD1" w14:textId="77777777" w:rsidR="00B80B9A" w:rsidRPr="00547E45" w:rsidRDefault="00B80B9A" w:rsidP="00B80B9A">
            <w:pPr>
              <w:pStyle w:val="ListParagraph"/>
              <w:numPr>
                <w:ilvl w:val="0"/>
                <w:numId w:val="119"/>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547E45">
              <w:rPr>
                <w:rFonts w:cstheme="minorHAnsi"/>
                <w:color w:val="000000"/>
                <w:szCs w:val="20"/>
              </w:rPr>
              <w:t>I [800</w:t>
            </w:r>
            <w:r>
              <w:rPr>
                <w:rFonts w:cstheme="minorHAnsi"/>
                <w:color w:val="000000"/>
                <w:szCs w:val="20"/>
              </w:rPr>
              <w:t xml:space="preserve"> </w:t>
            </w:r>
            <w:r w:rsidRPr="00547E45">
              <w:rPr>
                <w:rFonts w:cstheme="minorHAnsi"/>
                <w:color w:val="000000"/>
                <w:szCs w:val="20"/>
              </w:rPr>
              <w:t xml:space="preserve">mg]: </w:t>
            </w:r>
            <w:r>
              <w:rPr>
                <w:rFonts w:cstheme="minorHAnsi"/>
                <w:color w:val="000000"/>
                <w:szCs w:val="20"/>
              </w:rPr>
              <w:t xml:space="preserve">M = </w:t>
            </w:r>
            <w:r w:rsidRPr="00547E45">
              <w:rPr>
                <w:rFonts w:cstheme="minorHAnsi"/>
                <w:color w:val="000000"/>
                <w:szCs w:val="20"/>
              </w:rPr>
              <w:t>27.4 years (</w:t>
            </w:r>
            <w:r>
              <w:rPr>
                <w:rFonts w:cstheme="minorHAnsi"/>
                <w:color w:val="000000"/>
                <w:szCs w:val="20"/>
              </w:rPr>
              <w:t xml:space="preserve">SD = </w:t>
            </w:r>
            <w:r w:rsidRPr="00547E45">
              <w:rPr>
                <w:rFonts w:cstheme="minorHAnsi"/>
                <w:color w:val="000000"/>
                <w:szCs w:val="20"/>
              </w:rPr>
              <w:t>21.9); 70% male</w:t>
            </w:r>
            <w:r>
              <w:rPr>
                <w:rFonts w:cstheme="minorHAnsi"/>
                <w:color w:val="000000"/>
                <w:szCs w:val="20"/>
              </w:rPr>
              <w:t>.</w:t>
            </w:r>
          </w:p>
          <w:p w14:paraId="650B9656" w14:textId="77777777" w:rsidR="00B80B9A" w:rsidRPr="00547E45" w:rsidRDefault="00B80B9A" w:rsidP="00B80B9A">
            <w:pPr>
              <w:pStyle w:val="ListParagraph"/>
              <w:numPr>
                <w:ilvl w:val="0"/>
                <w:numId w:val="119"/>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547E45">
              <w:rPr>
                <w:rFonts w:cstheme="minorHAnsi"/>
                <w:color w:val="000000"/>
                <w:szCs w:val="20"/>
              </w:rPr>
              <w:t>I [400</w:t>
            </w:r>
            <w:r>
              <w:rPr>
                <w:rFonts w:cstheme="minorHAnsi"/>
                <w:color w:val="000000"/>
                <w:szCs w:val="20"/>
              </w:rPr>
              <w:t xml:space="preserve"> </w:t>
            </w:r>
            <w:r w:rsidRPr="00547E45">
              <w:rPr>
                <w:rFonts w:cstheme="minorHAnsi"/>
                <w:color w:val="000000"/>
                <w:szCs w:val="20"/>
              </w:rPr>
              <w:t xml:space="preserve">mg]: </w:t>
            </w:r>
            <w:r>
              <w:rPr>
                <w:rFonts w:cstheme="minorHAnsi"/>
                <w:color w:val="000000"/>
                <w:szCs w:val="20"/>
              </w:rPr>
              <w:t xml:space="preserve">M = </w:t>
            </w:r>
            <w:r w:rsidRPr="00547E45">
              <w:rPr>
                <w:rFonts w:cstheme="minorHAnsi"/>
                <w:color w:val="000000"/>
                <w:szCs w:val="20"/>
              </w:rPr>
              <w:t>26.6 years (</w:t>
            </w:r>
            <w:r>
              <w:rPr>
                <w:rFonts w:cstheme="minorHAnsi"/>
                <w:color w:val="000000"/>
                <w:szCs w:val="20"/>
              </w:rPr>
              <w:t xml:space="preserve">SD = </w:t>
            </w:r>
            <w:r w:rsidRPr="00547E45">
              <w:rPr>
                <w:rFonts w:cstheme="minorHAnsi"/>
                <w:color w:val="000000"/>
                <w:szCs w:val="20"/>
              </w:rPr>
              <w:t>27.6); 71% male</w:t>
            </w:r>
            <w:r>
              <w:rPr>
                <w:rFonts w:cstheme="minorHAnsi"/>
                <w:color w:val="000000"/>
                <w:szCs w:val="20"/>
              </w:rPr>
              <w:t>.</w:t>
            </w:r>
          </w:p>
          <w:p w14:paraId="0893522A" w14:textId="77777777" w:rsidR="00B80B9A" w:rsidRPr="00547E45" w:rsidRDefault="00B80B9A" w:rsidP="00B80B9A">
            <w:pPr>
              <w:pStyle w:val="ListParagraph"/>
              <w:numPr>
                <w:ilvl w:val="0"/>
                <w:numId w:val="119"/>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547E45">
              <w:rPr>
                <w:rFonts w:cstheme="minorHAnsi"/>
                <w:color w:val="000000"/>
                <w:szCs w:val="20"/>
              </w:rPr>
              <w:t xml:space="preserve">I [200 mg]: </w:t>
            </w:r>
            <w:r>
              <w:rPr>
                <w:rFonts w:cstheme="minorHAnsi"/>
                <w:color w:val="000000"/>
                <w:szCs w:val="20"/>
              </w:rPr>
              <w:t xml:space="preserve">M = </w:t>
            </w:r>
            <w:r w:rsidRPr="00547E45">
              <w:rPr>
                <w:rFonts w:cstheme="minorHAnsi"/>
                <w:color w:val="000000"/>
                <w:szCs w:val="20"/>
              </w:rPr>
              <w:t>27.3 years (</w:t>
            </w:r>
            <w:r>
              <w:rPr>
                <w:rFonts w:cstheme="minorHAnsi"/>
                <w:color w:val="000000"/>
                <w:szCs w:val="20"/>
              </w:rPr>
              <w:t xml:space="preserve">SD = </w:t>
            </w:r>
            <w:r w:rsidRPr="00547E45">
              <w:rPr>
                <w:rFonts w:cstheme="minorHAnsi"/>
                <w:color w:val="000000"/>
                <w:szCs w:val="20"/>
              </w:rPr>
              <w:t>17.5); 75% male</w:t>
            </w:r>
            <w:r>
              <w:rPr>
                <w:rFonts w:cstheme="minorHAnsi"/>
                <w:color w:val="000000"/>
                <w:szCs w:val="20"/>
              </w:rPr>
              <w:t>.</w:t>
            </w:r>
          </w:p>
          <w:p w14:paraId="16C3BE79" w14:textId="77777777" w:rsidR="00B80B9A" w:rsidRPr="002F020F" w:rsidRDefault="00B80B9A" w:rsidP="00B80B9A">
            <w:pPr>
              <w:pStyle w:val="ListParagraph"/>
              <w:numPr>
                <w:ilvl w:val="0"/>
                <w:numId w:val="119"/>
              </w:numPr>
              <w:spacing w:after="120"/>
              <w:cnfStyle w:val="000000100000" w:firstRow="0" w:lastRow="0" w:firstColumn="0" w:lastColumn="0" w:oddVBand="0" w:evenVBand="0" w:oddHBand="1" w:evenHBand="0" w:firstRowFirstColumn="0" w:firstRowLastColumn="0" w:lastRowFirstColumn="0" w:lastRowLastColumn="0"/>
            </w:pPr>
            <w:r w:rsidRPr="00547E45">
              <w:rPr>
                <w:rFonts w:cstheme="minorHAnsi"/>
                <w:color w:val="000000"/>
                <w:szCs w:val="20"/>
              </w:rPr>
              <w:t xml:space="preserve">C [placebo]: </w:t>
            </w:r>
            <w:r>
              <w:rPr>
                <w:rFonts w:cstheme="minorHAnsi"/>
                <w:color w:val="000000"/>
                <w:szCs w:val="20"/>
              </w:rPr>
              <w:t xml:space="preserve">M = </w:t>
            </w:r>
            <w:r w:rsidRPr="00547E45">
              <w:rPr>
                <w:rFonts w:cstheme="minorHAnsi"/>
                <w:color w:val="000000"/>
                <w:szCs w:val="20"/>
              </w:rPr>
              <w:t>24.9 years (</w:t>
            </w:r>
            <w:r>
              <w:rPr>
                <w:rFonts w:cstheme="minorHAnsi"/>
                <w:color w:val="000000"/>
                <w:szCs w:val="20"/>
              </w:rPr>
              <w:t xml:space="preserve">SD = </w:t>
            </w:r>
            <w:r w:rsidRPr="00547E45">
              <w:rPr>
                <w:rFonts w:cstheme="minorHAnsi"/>
                <w:color w:val="000000"/>
                <w:szCs w:val="20"/>
              </w:rPr>
              <w:t>30.3); 74% male</w:t>
            </w:r>
            <w:r>
              <w:rPr>
                <w:rFonts w:cstheme="minorHAnsi"/>
                <w:color w:val="000000"/>
                <w:szCs w:val="20"/>
              </w:rPr>
              <w:t>.</w:t>
            </w:r>
          </w:p>
        </w:tc>
      </w:tr>
      <w:tr w:rsidR="00B80B9A" w:rsidRPr="002F020F" w14:paraId="39D5F9B6"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2D554977" w14:textId="77777777" w:rsidR="00B80B9A" w:rsidRPr="002F020F" w:rsidRDefault="00B80B9A" w:rsidP="004361E5">
            <w:pPr>
              <w:rPr>
                <w:b w:val="0"/>
                <w:bCs w:val="0"/>
              </w:rPr>
            </w:pPr>
            <w:r w:rsidRPr="002F020F">
              <w:t xml:space="preserve">Intervention/s (I) and </w:t>
            </w:r>
          </w:p>
          <w:p w14:paraId="3BF01B7E" w14:textId="77777777" w:rsidR="00B80B9A" w:rsidRPr="002F020F" w:rsidRDefault="00B80B9A" w:rsidP="004361E5">
            <w:r w:rsidRPr="002F020F">
              <w:t xml:space="preserve">Comparator/s (C) </w:t>
            </w:r>
          </w:p>
        </w:tc>
        <w:tc>
          <w:tcPr>
            <w:tcW w:w="3884" w:type="pct"/>
          </w:tcPr>
          <w:p w14:paraId="055B92A2" w14:textId="77777777" w:rsidR="00B80B9A" w:rsidRPr="00984208" w:rsidRDefault="00B80B9A" w:rsidP="00B80B9A">
            <w:pPr>
              <w:pStyle w:val="ListParagraph"/>
              <w:numPr>
                <w:ilvl w:val="0"/>
                <w:numId w:val="119"/>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Pr>
                <w:rFonts w:cstheme="minorHAnsi"/>
                <w:color w:val="000000"/>
                <w:szCs w:val="20"/>
              </w:rPr>
              <w:t>All participants received six (</w:t>
            </w:r>
            <w:r>
              <w:t>30-minute</w:t>
            </w:r>
            <w:r>
              <w:rPr>
                <w:rFonts w:cstheme="minorHAnsi"/>
                <w:color w:val="000000"/>
                <w:szCs w:val="20"/>
              </w:rPr>
              <w:t>)</w:t>
            </w:r>
            <w:r w:rsidRPr="00984208">
              <w:rPr>
                <w:rFonts w:cstheme="minorHAnsi"/>
                <w:color w:val="000000"/>
                <w:szCs w:val="20"/>
              </w:rPr>
              <w:t xml:space="preserve"> sessions of motivational interviewing</w:t>
            </w:r>
            <w:r>
              <w:rPr>
                <w:rFonts w:cstheme="minorHAnsi"/>
                <w:color w:val="000000"/>
                <w:szCs w:val="20"/>
              </w:rPr>
              <w:t>.</w:t>
            </w:r>
          </w:p>
          <w:p w14:paraId="25150CDF" w14:textId="77777777" w:rsidR="00B80B9A" w:rsidRDefault="00B80B9A" w:rsidP="00B80B9A">
            <w:pPr>
              <w:pStyle w:val="ListParagraph"/>
              <w:numPr>
                <w:ilvl w:val="0"/>
                <w:numId w:val="119"/>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984208">
              <w:rPr>
                <w:rFonts w:cstheme="minorHAnsi"/>
                <w:color w:val="000000"/>
                <w:szCs w:val="20"/>
              </w:rPr>
              <w:t>Two phase</w:t>
            </w:r>
            <w:r>
              <w:rPr>
                <w:rFonts w:cstheme="minorHAnsi"/>
                <w:color w:val="000000"/>
                <w:szCs w:val="20"/>
              </w:rPr>
              <w:t xml:space="preserve">s of study recruitment. </w:t>
            </w:r>
            <w:r w:rsidRPr="00AF0650">
              <w:rPr>
                <w:rFonts w:cstheme="minorHAnsi"/>
                <w:color w:val="000000"/>
                <w:szCs w:val="20"/>
              </w:rPr>
              <w:t xml:space="preserve">At </w:t>
            </w:r>
            <w:r>
              <w:rPr>
                <w:rFonts w:cstheme="minorHAnsi"/>
                <w:color w:val="000000"/>
                <w:szCs w:val="20"/>
              </w:rPr>
              <w:t xml:space="preserve">the </w:t>
            </w:r>
            <w:r w:rsidRPr="00AF0650">
              <w:rPr>
                <w:rFonts w:cstheme="minorHAnsi"/>
                <w:color w:val="000000"/>
                <w:szCs w:val="20"/>
              </w:rPr>
              <w:t xml:space="preserve">interim </w:t>
            </w:r>
            <w:r>
              <w:rPr>
                <w:rFonts w:cstheme="minorHAnsi"/>
                <w:color w:val="000000"/>
                <w:szCs w:val="20"/>
              </w:rPr>
              <w:t xml:space="preserve">Bayesian </w:t>
            </w:r>
            <w:r w:rsidRPr="00AF0650">
              <w:rPr>
                <w:rFonts w:cstheme="minorHAnsi"/>
                <w:color w:val="000000"/>
                <w:szCs w:val="20"/>
              </w:rPr>
              <w:t xml:space="preserve">analysis, </w:t>
            </w:r>
            <w:r>
              <w:rPr>
                <w:rFonts w:cstheme="minorHAnsi"/>
                <w:color w:val="000000"/>
                <w:szCs w:val="20"/>
              </w:rPr>
              <w:t xml:space="preserve">the 200 mg CBD condition </w:t>
            </w:r>
            <w:r w:rsidRPr="00AF0650">
              <w:rPr>
                <w:rFonts w:cstheme="minorHAnsi"/>
                <w:color w:val="000000"/>
                <w:szCs w:val="20"/>
              </w:rPr>
              <w:t>was</w:t>
            </w:r>
            <w:r>
              <w:rPr>
                <w:rFonts w:cstheme="minorHAnsi"/>
                <w:color w:val="000000"/>
                <w:szCs w:val="20"/>
              </w:rPr>
              <w:t xml:space="preserve"> found to be ineffective,</w:t>
            </w:r>
            <w:r w:rsidRPr="00AF0650">
              <w:rPr>
                <w:rFonts w:cstheme="minorHAnsi"/>
                <w:color w:val="000000"/>
                <w:szCs w:val="20"/>
              </w:rPr>
              <w:t xml:space="preserve"> and no </w:t>
            </w:r>
            <w:r>
              <w:rPr>
                <w:rFonts w:cstheme="minorHAnsi"/>
                <w:color w:val="000000"/>
                <w:szCs w:val="20"/>
              </w:rPr>
              <w:t xml:space="preserve">additional </w:t>
            </w:r>
            <w:r w:rsidRPr="00AF0650">
              <w:rPr>
                <w:rFonts w:cstheme="minorHAnsi"/>
                <w:color w:val="000000"/>
                <w:szCs w:val="20"/>
              </w:rPr>
              <w:t>participants were randomised to this</w:t>
            </w:r>
            <w:r>
              <w:rPr>
                <w:rFonts w:cstheme="minorHAnsi"/>
                <w:color w:val="000000"/>
                <w:szCs w:val="20"/>
              </w:rPr>
              <w:t xml:space="preserve"> study condition</w:t>
            </w:r>
            <w:r w:rsidRPr="00AF0650">
              <w:rPr>
                <w:rFonts w:cstheme="minorHAnsi"/>
                <w:color w:val="000000"/>
                <w:szCs w:val="20"/>
              </w:rPr>
              <w:t xml:space="preserve"> in </w:t>
            </w:r>
            <w:r>
              <w:rPr>
                <w:rFonts w:cstheme="minorHAnsi"/>
                <w:color w:val="000000"/>
                <w:szCs w:val="20"/>
              </w:rPr>
              <w:t>the second phase of recruitment</w:t>
            </w:r>
            <w:r w:rsidRPr="00AF0650">
              <w:rPr>
                <w:rFonts w:cstheme="minorHAnsi"/>
                <w:color w:val="000000"/>
                <w:szCs w:val="20"/>
              </w:rPr>
              <w:t>.</w:t>
            </w:r>
          </w:p>
          <w:p w14:paraId="339B8D72" w14:textId="77777777" w:rsidR="00B80B9A" w:rsidRPr="00984208" w:rsidRDefault="00B80B9A" w:rsidP="00B80B9A">
            <w:pPr>
              <w:pStyle w:val="ListParagraph"/>
              <w:numPr>
                <w:ilvl w:val="0"/>
                <w:numId w:val="119"/>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Pr>
                <w:rFonts w:cstheme="minorHAnsi"/>
                <w:color w:val="000000"/>
                <w:szCs w:val="20"/>
              </w:rPr>
              <w:t xml:space="preserve">All participants received </w:t>
            </w:r>
            <w:r>
              <w:t xml:space="preserve">two oral capsules (twice per day for four weeks) to achieve daily doses of </w:t>
            </w:r>
            <w:r w:rsidRPr="00984208">
              <w:rPr>
                <w:rFonts w:cstheme="minorHAnsi"/>
                <w:color w:val="000000"/>
                <w:szCs w:val="20"/>
              </w:rPr>
              <w:t xml:space="preserve">(n = </w:t>
            </w:r>
            <w:r>
              <w:rPr>
                <w:rFonts w:cstheme="minorHAnsi"/>
                <w:color w:val="000000"/>
                <w:szCs w:val="20"/>
              </w:rPr>
              <w:t>first phase, second phase</w:t>
            </w:r>
            <w:r w:rsidRPr="00984208">
              <w:rPr>
                <w:rFonts w:cstheme="minorHAnsi"/>
                <w:color w:val="000000"/>
                <w:szCs w:val="20"/>
              </w:rPr>
              <w:t>)</w:t>
            </w:r>
            <w:r>
              <w:t>:</w:t>
            </w:r>
          </w:p>
          <w:p w14:paraId="718E1E5C" w14:textId="77777777" w:rsidR="00B80B9A" w:rsidRPr="00FB15C0" w:rsidRDefault="00B80B9A" w:rsidP="00B80B9A">
            <w:pPr>
              <w:pStyle w:val="ListParagraph"/>
              <w:numPr>
                <w:ilvl w:val="1"/>
                <w:numId w:val="119"/>
              </w:numPr>
              <w:spacing w:after="120"/>
              <w:ind w:left="714" w:hanging="357"/>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C23BCB">
              <w:rPr>
                <w:rFonts w:cstheme="minorHAnsi"/>
                <w:color w:val="000000"/>
                <w:szCs w:val="20"/>
              </w:rPr>
              <w:lastRenderedPageBreak/>
              <w:t>I (n = 12</w:t>
            </w:r>
            <w:r>
              <w:rPr>
                <w:rFonts w:cstheme="minorHAnsi"/>
                <w:color w:val="000000"/>
                <w:szCs w:val="20"/>
              </w:rPr>
              <w:t>, 0</w:t>
            </w:r>
            <w:r w:rsidRPr="00C23BCB">
              <w:rPr>
                <w:rFonts w:cstheme="minorHAnsi"/>
                <w:color w:val="000000"/>
                <w:szCs w:val="20"/>
              </w:rPr>
              <w:t>)</w:t>
            </w:r>
            <w:r>
              <w:rPr>
                <w:rFonts w:cstheme="minorHAnsi"/>
                <w:color w:val="000000"/>
                <w:szCs w:val="20"/>
              </w:rPr>
              <w:t>: 200 mg CBD.</w:t>
            </w:r>
          </w:p>
          <w:p w14:paraId="742FA85A" w14:textId="77777777" w:rsidR="00B80B9A" w:rsidRPr="00C23BCB" w:rsidRDefault="00B80B9A" w:rsidP="00B80B9A">
            <w:pPr>
              <w:pStyle w:val="ListParagraph"/>
              <w:numPr>
                <w:ilvl w:val="1"/>
                <w:numId w:val="119"/>
              </w:numPr>
              <w:spacing w:after="120"/>
              <w:ind w:left="714" w:hanging="357"/>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C23BCB">
              <w:rPr>
                <w:rFonts w:cstheme="minorHAnsi"/>
                <w:color w:val="000000"/>
                <w:szCs w:val="20"/>
              </w:rPr>
              <w:t>I (n = 12</w:t>
            </w:r>
            <w:r>
              <w:rPr>
                <w:rFonts w:cstheme="minorHAnsi"/>
                <w:color w:val="000000"/>
                <w:szCs w:val="20"/>
              </w:rPr>
              <w:t>, 24</w:t>
            </w:r>
            <w:r w:rsidRPr="00C23BCB">
              <w:rPr>
                <w:rFonts w:cstheme="minorHAnsi"/>
                <w:color w:val="000000"/>
                <w:szCs w:val="20"/>
              </w:rPr>
              <w:t>)</w:t>
            </w:r>
            <w:r>
              <w:rPr>
                <w:rFonts w:cstheme="minorHAnsi"/>
                <w:color w:val="000000"/>
                <w:szCs w:val="20"/>
              </w:rPr>
              <w:t xml:space="preserve">: </w:t>
            </w:r>
            <w:r w:rsidRPr="00C23BCB">
              <w:rPr>
                <w:rFonts w:cstheme="minorHAnsi"/>
                <w:color w:val="000000"/>
                <w:szCs w:val="20"/>
              </w:rPr>
              <w:t>400</w:t>
            </w:r>
            <w:r>
              <w:rPr>
                <w:rFonts w:cstheme="minorHAnsi"/>
                <w:color w:val="000000"/>
                <w:szCs w:val="20"/>
              </w:rPr>
              <w:t xml:space="preserve"> </w:t>
            </w:r>
            <w:r w:rsidRPr="00C23BCB">
              <w:rPr>
                <w:rFonts w:cstheme="minorHAnsi"/>
                <w:color w:val="000000"/>
                <w:szCs w:val="20"/>
              </w:rPr>
              <w:t xml:space="preserve">mg </w:t>
            </w:r>
            <w:r>
              <w:rPr>
                <w:rFonts w:cstheme="minorHAnsi"/>
                <w:color w:val="000000"/>
                <w:szCs w:val="20"/>
              </w:rPr>
              <w:t>CBD.</w:t>
            </w:r>
          </w:p>
          <w:p w14:paraId="635A8B7D" w14:textId="77777777" w:rsidR="00B80B9A" w:rsidRPr="00C23BCB" w:rsidRDefault="00B80B9A" w:rsidP="00B80B9A">
            <w:pPr>
              <w:pStyle w:val="ListParagraph"/>
              <w:numPr>
                <w:ilvl w:val="1"/>
                <w:numId w:val="119"/>
              </w:numPr>
              <w:spacing w:after="120"/>
              <w:ind w:left="714" w:hanging="357"/>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C23BCB">
              <w:rPr>
                <w:rFonts w:cstheme="minorHAnsi"/>
                <w:color w:val="000000"/>
                <w:szCs w:val="20"/>
              </w:rPr>
              <w:t>I (n = 12</w:t>
            </w:r>
            <w:r>
              <w:rPr>
                <w:rFonts w:cstheme="minorHAnsi"/>
                <w:color w:val="000000"/>
                <w:szCs w:val="20"/>
              </w:rPr>
              <w:t>, 23</w:t>
            </w:r>
            <w:r w:rsidRPr="00C23BCB">
              <w:rPr>
                <w:rFonts w:cstheme="minorHAnsi"/>
                <w:color w:val="000000"/>
                <w:szCs w:val="20"/>
              </w:rPr>
              <w:t>)</w:t>
            </w:r>
            <w:r>
              <w:rPr>
                <w:rFonts w:cstheme="minorHAnsi"/>
                <w:color w:val="000000"/>
                <w:szCs w:val="20"/>
              </w:rPr>
              <w:t>: 800 mg CBD.</w:t>
            </w:r>
          </w:p>
          <w:p w14:paraId="23A631EC" w14:textId="77777777" w:rsidR="00B80B9A" w:rsidRPr="007348FF" w:rsidRDefault="00B80B9A" w:rsidP="00B80B9A">
            <w:pPr>
              <w:pStyle w:val="ListParagraph"/>
              <w:numPr>
                <w:ilvl w:val="1"/>
                <w:numId w:val="119"/>
              </w:numPr>
              <w:spacing w:after="120"/>
              <w:ind w:left="714" w:hanging="357"/>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C23BCB">
              <w:rPr>
                <w:rFonts w:cstheme="minorHAnsi"/>
                <w:color w:val="000000"/>
                <w:szCs w:val="20"/>
              </w:rPr>
              <w:t>C (n = 12</w:t>
            </w:r>
            <w:r>
              <w:rPr>
                <w:rFonts w:cstheme="minorHAnsi"/>
                <w:color w:val="000000"/>
                <w:szCs w:val="20"/>
              </w:rPr>
              <w:t>, 23</w:t>
            </w:r>
            <w:r w:rsidRPr="00C23BCB">
              <w:rPr>
                <w:rFonts w:cstheme="minorHAnsi"/>
                <w:color w:val="000000"/>
                <w:szCs w:val="20"/>
              </w:rPr>
              <w:t>)</w:t>
            </w:r>
            <w:r>
              <w:rPr>
                <w:rFonts w:cstheme="minorHAnsi"/>
                <w:color w:val="000000"/>
                <w:szCs w:val="20"/>
              </w:rPr>
              <w:t>:</w:t>
            </w:r>
            <w:r w:rsidRPr="00C23BCB">
              <w:rPr>
                <w:rFonts w:cstheme="minorHAnsi"/>
                <w:color w:val="000000"/>
                <w:szCs w:val="20"/>
              </w:rPr>
              <w:t xml:space="preserve"> placebo (cellulose)</w:t>
            </w:r>
            <w:r>
              <w:rPr>
                <w:rFonts w:cstheme="minorHAnsi"/>
                <w:color w:val="000000"/>
                <w:szCs w:val="20"/>
              </w:rPr>
              <w:t>.</w:t>
            </w:r>
          </w:p>
        </w:tc>
      </w:tr>
      <w:tr w:rsidR="00B80B9A" w:rsidRPr="002F020F" w14:paraId="4CA69D22"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0D97FD3" w14:textId="77777777" w:rsidR="00B80B9A" w:rsidRPr="002F020F" w:rsidRDefault="00B80B9A" w:rsidP="004361E5">
            <w:r w:rsidRPr="002F020F">
              <w:lastRenderedPageBreak/>
              <w:t>Outcome Measure/s</w:t>
            </w:r>
          </w:p>
        </w:tc>
        <w:tc>
          <w:tcPr>
            <w:tcW w:w="3884" w:type="pct"/>
          </w:tcPr>
          <w:p w14:paraId="1309B126" w14:textId="77777777" w:rsidR="00B80B9A" w:rsidRPr="00E131BF" w:rsidRDefault="00B80B9A" w:rsidP="004361E5">
            <w:pPr>
              <w:spacing w:after="0"/>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E131BF">
              <w:rPr>
                <w:rFonts w:cstheme="minorHAnsi"/>
                <w:bCs/>
                <w:color w:val="000000"/>
                <w:szCs w:val="20"/>
              </w:rPr>
              <w:t>Primary</w:t>
            </w:r>
            <w:r>
              <w:rPr>
                <w:rFonts w:cstheme="minorHAnsi"/>
                <w:bCs/>
                <w:color w:val="000000"/>
                <w:szCs w:val="20"/>
              </w:rPr>
              <w:t>:</w:t>
            </w:r>
          </w:p>
          <w:p w14:paraId="75DDBD11" w14:textId="77777777" w:rsidR="00B80B9A" w:rsidRPr="00E45FE6" w:rsidRDefault="00B80B9A" w:rsidP="00B80B9A">
            <w:pPr>
              <w:pStyle w:val="ListParagraph"/>
              <w:numPr>
                <w:ilvl w:val="0"/>
                <w:numId w:val="120"/>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 xml:space="preserve">Cannabis use as </w:t>
            </w:r>
            <w:r w:rsidRPr="00E45FE6">
              <w:rPr>
                <w:rFonts w:cstheme="minorHAnsi"/>
                <w:color w:val="000000"/>
                <w:szCs w:val="20"/>
              </w:rPr>
              <w:t xml:space="preserve">measured </w:t>
            </w:r>
            <w:r>
              <w:rPr>
                <w:rFonts w:cstheme="minorHAnsi"/>
                <w:color w:val="000000"/>
                <w:szCs w:val="20"/>
              </w:rPr>
              <w:t>by</w:t>
            </w:r>
            <w:r w:rsidRPr="00E45FE6">
              <w:rPr>
                <w:rFonts w:cstheme="minorHAnsi"/>
                <w:color w:val="000000"/>
                <w:szCs w:val="20"/>
              </w:rPr>
              <w:t xml:space="preserve"> urine</w:t>
            </w:r>
            <w:r>
              <w:rPr>
                <w:rFonts w:cstheme="minorHAnsi"/>
                <w:color w:val="000000"/>
                <w:szCs w:val="20"/>
              </w:rPr>
              <w:t xml:space="preserve"> screen</w:t>
            </w:r>
            <w:r w:rsidRPr="00E45FE6">
              <w:rPr>
                <w:rFonts w:cstheme="minorHAnsi"/>
                <w:color w:val="000000"/>
                <w:szCs w:val="20"/>
              </w:rPr>
              <w:t xml:space="preserve"> (THC-COOH:creatinine </w:t>
            </w:r>
            <w:r>
              <w:rPr>
                <w:rFonts w:cstheme="minorHAnsi"/>
                <w:color w:val="000000"/>
                <w:szCs w:val="20"/>
              </w:rPr>
              <w:t>c</w:t>
            </w:r>
            <w:r w:rsidRPr="00E45FE6">
              <w:rPr>
                <w:rFonts w:cstheme="minorHAnsi"/>
                <w:color w:val="000000"/>
                <w:szCs w:val="20"/>
              </w:rPr>
              <w:t>oncentration)</w:t>
            </w:r>
            <w:r>
              <w:rPr>
                <w:rFonts w:cstheme="minorHAnsi"/>
                <w:color w:val="000000"/>
                <w:szCs w:val="20"/>
              </w:rPr>
              <w:t>.</w:t>
            </w:r>
            <w:r w:rsidRPr="00E45FE6">
              <w:rPr>
                <w:rFonts w:cstheme="minorHAnsi"/>
                <w:color w:val="000000"/>
                <w:szCs w:val="20"/>
              </w:rPr>
              <w:t xml:space="preserve"> </w:t>
            </w:r>
          </w:p>
          <w:p w14:paraId="56AB3334" w14:textId="77777777" w:rsidR="00B80B9A" w:rsidRPr="00E131BF" w:rsidRDefault="00B80B9A" w:rsidP="00B80B9A">
            <w:pPr>
              <w:pStyle w:val="ListParagraph"/>
              <w:numPr>
                <w:ilvl w:val="0"/>
                <w:numId w:val="120"/>
              </w:numPr>
              <w:ind w:left="357" w:hanging="357"/>
              <w:contextualSpacing w:val="0"/>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Pr>
                <w:rFonts w:cstheme="minorHAnsi"/>
                <w:color w:val="000000"/>
                <w:szCs w:val="20"/>
              </w:rPr>
              <w:t xml:space="preserve">Cannabis abstinence </w:t>
            </w:r>
            <w:r w:rsidRPr="00E131BF">
              <w:rPr>
                <w:rFonts w:cstheme="minorHAnsi"/>
                <w:color w:val="000000"/>
                <w:szCs w:val="20"/>
              </w:rPr>
              <w:t>(</w:t>
            </w:r>
            <w:r>
              <w:rPr>
                <w:rFonts w:cstheme="minorHAnsi"/>
                <w:color w:val="000000"/>
                <w:szCs w:val="20"/>
              </w:rPr>
              <w:t xml:space="preserve">number of </w:t>
            </w:r>
            <w:r w:rsidRPr="00E131BF">
              <w:rPr>
                <w:rFonts w:cstheme="minorHAnsi"/>
                <w:color w:val="000000"/>
                <w:szCs w:val="20"/>
              </w:rPr>
              <w:t>days per week</w:t>
            </w:r>
            <w:r>
              <w:rPr>
                <w:rFonts w:cstheme="minorHAnsi"/>
                <w:color w:val="000000"/>
                <w:szCs w:val="20"/>
              </w:rPr>
              <w:t>; self-report</w:t>
            </w:r>
            <w:r w:rsidRPr="00E131BF">
              <w:rPr>
                <w:rFonts w:cstheme="minorHAnsi"/>
                <w:color w:val="000000"/>
                <w:szCs w:val="20"/>
              </w:rPr>
              <w:t>)</w:t>
            </w:r>
            <w:r>
              <w:rPr>
                <w:rFonts w:cstheme="minorHAnsi"/>
                <w:color w:val="000000"/>
                <w:szCs w:val="20"/>
              </w:rPr>
              <w:t>.</w:t>
            </w:r>
          </w:p>
          <w:p w14:paraId="00D83FD1" w14:textId="77777777" w:rsidR="00B80B9A" w:rsidRPr="00E131BF" w:rsidRDefault="00B80B9A" w:rsidP="004361E5">
            <w:pPr>
              <w:spacing w:after="0"/>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E131BF">
              <w:rPr>
                <w:rFonts w:cstheme="minorHAnsi"/>
                <w:bCs/>
                <w:color w:val="000000"/>
                <w:szCs w:val="20"/>
              </w:rPr>
              <w:t>Secondary</w:t>
            </w:r>
            <w:r>
              <w:rPr>
                <w:rFonts w:cstheme="minorHAnsi"/>
                <w:bCs/>
                <w:color w:val="000000"/>
                <w:szCs w:val="20"/>
              </w:rPr>
              <w:t>:</w:t>
            </w:r>
          </w:p>
          <w:p w14:paraId="0314D3F3" w14:textId="77777777" w:rsidR="00B80B9A" w:rsidRDefault="00B80B9A" w:rsidP="00B80B9A">
            <w:pPr>
              <w:pStyle w:val="ListParagraph"/>
              <w:numPr>
                <w:ilvl w:val="0"/>
                <w:numId w:val="121"/>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9B7760">
              <w:rPr>
                <w:rFonts w:cstheme="minorHAnsi"/>
                <w:color w:val="000000"/>
                <w:szCs w:val="20"/>
              </w:rPr>
              <w:t>Cannabis Withdrawal Scale</w:t>
            </w:r>
            <w:r>
              <w:rPr>
                <w:rFonts w:cstheme="minorHAnsi"/>
                <w:color w:val="000000"/>
                <w:szCs w:val="20"/>
              </w:rPr>
              <w:t xml:space="preserve"> (total score).</w:t>
            </w:r>
          </w:p>
          <w:p w14:paraId="5113CC65" w14:textId="77777777" w:rsidR="00B80B9A" w:rsidRPr="001B623C" w:rsidRDefault="00B80B9A" w:rsidP="00B80B9A">
            <w:pPr>
              <w:pStyle w:val="ListParagraph"/>
              <w:numPr>
                <w:ilvl w:val="0"/>
                <w:numId w:val="121"/>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1B623C">
              <w:rPr>
                <w:rFonts w:cstheme="minorHAnsi"/>
                <w:color w:val="000000"/>
                <w:szCs w:val="20"/>
              </w:rPr>
              <w:t>Tobacco use as measured by urine screen (</w:t>
            </w:r>
            <w:r>
              <w:rPr>
                <w:rFonts w:cstheme="minorHAnsi"/>
                <w:color w:val="000000"/>
                <w:szCs w:val="20"/>
              </w:rPr>
              <w:t>cotinine</w:t>
            </w:r>
            <w:r w:rsidRPr="001B623C">
              <w:rPr>
                <w:rFonts w:cstheme="minorHAnsi"/>
                <w:color w:val="000000"/>
                <w:szCs w:val="20"/>
              </w:rPr>
              <w:t>:creatinine concentration) and self-report (number of cigarettes smoked using the Timeline Followback</w:t>
            </w:r>
            <w:r>
              <w:rPr>
                <w:rFonts w:cstheme="minorHAnsi"/>
                <w:color w:val="000000"/>
                <w:szCs w:val="20"/>
              </w:rPr>
              <w:t>, TLFB,</w:t>
            </w:r>
            <w:r w:rsidRPr="001B623C">
              <w:rPr>
                <w:rFonts w:cstheme="minorHAnsi"/>
                <w:color w:val="000000"/>
                <w:szCs w:val="20"/>
              </w:rPr>
              <w:t xml:space="preserve"> method).</w:t>
            </w:r>
          </w:p>
          <w:p w14:paraId="7F953017" w14:textId="77777777" w:rsidR="00B80B9A" w:rsidRDefault="00B80B9A" w:rsidP="00B80B9A">
            <w:pPr>
              <w:pStyle w:val="ListParagraph"/>
              <w:numPr>
                <w:ilvl w:val="0"/>
                <w:numId w:val="121"/>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Alcohol consumption (self-report using the TLFB method).</w:t>
            </w:r>
          </w:p>
          <w:p w14:paraId="1962DB71" w14:textId="77777777" w:rsidR="00B80B9A" w:rsidRDefault="00B80B9A" w:rsidP="00B80B9A">
            <w:pPr>
              <w:pStyle w:val="ListParagraph"/>
              <w:numPr>
                <w:ilvl w:val="0"/>
                <w:numId w:val="121"/>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414EC0">
              <w:rPr>
                <w:rFonts w:cstheme="minorHAnsi"/>
                <w:color w:val="000000"/>
                <w:szCs w:val="20"/>
              </w:rPr>
              <w:t>Pittsburgh Sleep Quality Index</w:t>
            </w:r>
            <w:r>
              <w:rPr>
                <w:rFonts w:cstheme="minorHAnsi"/>
                <w:color w:val="000000"/>
                <w:szCs w:val="20"/>
              </w:rPr>
              <w:t xml:space="preserve"> (PSQI).</w:t>
            </w:r>
          </w:p>
          <w:p w14:paraId="008945E9" w14:textId="77777777" w:rsidR="00B80B9A" w:rsidRDefault="00B80B9A" w:rsidP="00B80B9A">
            <w:pPr>
              <w:pStyle w:val="ListParagraph"/>
              <w:numPr>
                <w:ilvl w:val="0"/>
                <w:numId w:val="121"/>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414EC0">
              <w:rPr>
                <w:rFonts w:cstheme="minorHAnsi"/>
                <w:color w:val="000000"/>
                <w:szCs w:val="20"/>
              </w:rPr>
              <w:t>Beck Depression Inventory</w:t>
            </w:r>
            <w:r>
              <w:rPr>
                <w:rFonts w:cstheme="minorHAnsi"/>
                <w:color w:val="000000"/>
                <w:szCs w:val="20"/>
              </w:rPr>
              <w:t xml:space="preserve"> (BDI).</w:t>
            </w:r>
          </w:p>
          <w:p w14:paraId="2D4BB68A" w14:textId="77777777" w:rsidR="00B80B9A" w:rsidRPr="002F020F" w:rsidRDefault="00B80B9A" w:rsidP="00B80B9A">
            <w:pPr>
              <w:pStyle w:val="ListParagraph"/>
              <w:numPr>
                <w:ilvl w:val="0"/>
                <w:numId w:val="121"/>
              </w:numPr>
              <w:spacing w:after="120"/>
              <w:ind w:left="357" w:hanging="357"/>
              <w:cnfStyle w:val="000000100000" w:firstRow="0" w:lastRow="0" w:firstColumn="0" w:lastColumn="0" w:oddVBand="0" w:evenVBand="0" w:oddHBand="1" w:evenHBand="0" w:firstRowFirstColumn="0" w:firstRowLastColumn="0" w:lastRowFirstColumn="0" w:lastRowLastColumn="0"/>
            </w:pPr>
            <w:r w:rsidRPr="00414EC0">
              <w:rPr>
                <w:rFonts w:cstheme="minorHAnsi"/>
                <w:color w:val="000000"/>
                <w:szCs w:val="20"/>
              </w:rPr>
              <w:t xml:space="preserve">Beck </w:t>
            </w:r>
            <w:r>
              <w:rPr>
                <w:rFonts w:cstheme="minorHAnsi"/>
                <w:color w:val="000000"/>
                <w:szCs w:val="20"/>
              </w:rPr>
              <w:t>Anxiety</w:t>
            </w:r>
            <w:r w:rsidRPr="00414EC0">
              <w:rPr>
                <w:rFonts w:cstheme="minorHAnsi"/>
                <w:color w:val="000000"/>
                <w:szCs w:val="20"/>
              </w:rPr>
              <w:t xml:space="preserve"> Inventory</w:t>
            </w:r>
            <w:r>
              <w:rPr>
                <w:rFonts w:cstheme="minorHAnsi"/>
                <w:color w:val="000000"/>
                <w:szCs w:val="20"/>
              </w:rPr>
              <w:t xml:space="preserve"> (BAI).</w:t>
            </w:r>
          </w:p>
        </w:tc>
      </w:tr>
      <w:tr w:rsidR="00B80B9A" w:rsidRPr="002F020F" w14:paraId="4E0717AE"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2EE6EDE4" w14:textId="77777777" w:rsidR="00B80B9A" w:rsidRPr="002F020F" w:rsidRDefault="00B80B9A" w:rsidP="004361E5">
            <w:r w:rsidRPr="002F020F">
              <w:t>General</w:t>
            </w:r>
          </w:p>
        </w:tc>
        <w:tc>
          <w:tcPr>
            <w:tcW w:w="3884" w:type="pct"/>
          </w:tcPr>
          <w:p w14:paraId="6C411F63" w14:textId="77777777" w:rsidR="00B80B9A" w:rsidRPr="0089580A" w:rsidRDefault="00B80B9A" w:rsidP="00B80B9A">
            <w:pPr>
              <w:pStyle w:val="ListParagraph"/>
              <w:numPr>
                <w:ilvl w:val="0"/>
                <w:numId w:val="8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89580A">
              <w:rPr>
                <w:rFonts w:ascii="Calibri" w:hAnsi="Calibri" w:cs="Calibri"/>
                <w:color w:val="000000"/>
                <w:szCs w:val="20"/>
              </w:rPr>
              <w:t xml:space="preserve">DSM-5 diagnosis of cannabis use disorder, with </w:t>
            </w:r>
            <w:r>
              <w:rPr>
                <w:rFonts w:ascii="Calibri" w:hAnsi="Calibri" w:cs="Calibri"/>
                <w:color w:val="000000"/>
                <w:szCs w:val="20"/>
              </w:rPr>
              <w:t>the majority (</w:t>
            </w:r>
            <w:r w:rsidRPr="0089580A">
              <w:rPr>
                <w:rFonts w:ascii="Calibri" w:hAnsi="Calibri" w:cs="Calibri"/>
                <w:color w:val="000000"/>
                <w:szCs w:val="20"/>
              </w:rPr>
              <w:t>96%</w:t>
            </w:r>
            <w:r>
              <w:rPr>
                <w:rFonts w:ascii="Calibri" w:hAnsi="Calibri" w:cs="Calibri"/>
                <w:color w:val="000000"/>
                <w:szCs w:val="20"/>
              </w:rPr>
              <w:t>)</w:t>
            </w:r>
            <w:r w:rsidRPr="0089580A">
              <w:rPr>
                <w:rFonts w:ascii="Calibri" w:hAnsi="Calibri" w:cs="Calibri"/>
                <w:color w:val="000000"/>
                <w:szCs w:val="20"/>
              </w:rPr>
              <w:t xml:space="preserve"> </w:t>
            </w:r>
            <w:r>
              <w:rPr>
                <w:rFonts w:ascii="Calibri" w:hAnsi="Calibri" w:cs="Calibri"/>
                <w:color w:val="000000"/>
                <w:szCs w:val="20"/>
              </w:rPr>
              <w:t xml:space="preserve">of participants </w:t>
            </w:r>
            <w:r w:rsidRPr="0089580A">
              <w:rPr>
                <w:rFonts w:ascii="Calibri" w:hAnsi="Calibri" w:cs="Calibri"/>
                <w:color w:val="000000"/>
                <w:szCs w:val="20"/>
              </w:rPr>
              <w:t xml:space="preserve">in the severe range. </w:t>
            </w:r>
          </w:p>
          <w:p w14:paraId="195E17D2" w14:textId="77777777" w:rsidR="00B80B9A" w:rsidRPr="00FE6E8F" w:rsidRDefault="00B80B9A" w:rsidP="00B80B9A">
            <w:pPr>
              <w:pStyle w:val="ListParagraph"/>
              <w:numPr>
                <w:ilvl w:val="0"/>
                <w:numId w:val="8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8720FB">
              <w:rPr>
                <w:rFonts w:cstheme="minorHAnsi"/>
                <w:color w:val="000000"/>
                <w:szCs w:val="20"/>
              </w:rPr>
              <w:t xml:space="preserve">The primary objective was to identify the Most Effective Dose (MED) of CBD for reducing cannabis use. </w:t>
            </w:r>
          </w:p>
          <w:p w14:paraId="49C49AB2" w14:textId="77777777" w:rsidR="00B80B9A" w:rsidRPr="000718BD" w:rsidRDefault="00B80B9A" w:rsidP="00B80B9A">
            <w:pPr>
              <w:pStyle w:val="ListParagraph"/>
              <w:numPr>
                <w:ilvl w:val="0"/>
                <w:numId w:val="8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FE6E8F">
              <w:rPr>
                <w:rFonts w:ascii="Calibri" w:hAnsi="Calibri" w:cs="Calibri"/>
                <w:color w:val="000000"/>
                <w:szCs w:val="20"/>
              </w:rPr>
              <w:t>94% of participants completed treatment as evidenced by medication compliance of at least 70% at each treatment week (for both self-report and returned medication) and attending all treatment week visits within two days of the scheduled appointment.</w:t>
            </w:r>
          </w:p>
          <w:p w14:paraId="166F7C7A" w14:textId="77777777" w:rsidR="00B80B9A" w:rsidRPr="001C0768" w:rsidRDefault="00B80B9A" w:rsidP="00B80B9A">
            <w:pPr>
              <w:pStyle w:val="ListParagraph"/>
              <w:numPr>
                <w:ilvl w:val="0"/>
                <w:numId w:val="8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Pr>
                <w:rFonts w:ascii="Calibri" w:hAnsi="Calibri" w:cs="Calibri"/>
                <w:color w:val="000000"/>
                <w:szCs w:val="20"/>
              </w:rPr>
              <w:t>Period study was conducted: May</w:t>
            </w:r>
            <w:r w:rsidRPr="006D1E06">
              <w:rPr>
                <w:rFonts w:ascii="Calibri" w:hAnsi="Calibri" w:cs="Calibri"/>
                <w:color w:val="000000"/>
                <w:szCs w:val="20"/>
              </w:rPr>
              <w:t xml:space="preserve"> 201</w:t>
            </w:r>
            <w:r>
              <w:rPr>
                <w:rFonts w:ascii="Calibri" w:hAnsi="Calibri" w:cs="Calibri"/>
                <w:color w:val="000000"/>
                <w:szCs w:val="20"/>
              </w:rPr>
              <w:t>4</w:t>
            </w:r>
            <w:r w:rsidRPr="006D1E06">
              <w:rPr>
                <w:rFonts w:ascii="Calibri" w:hAnsi="Calibri" w:cs="Calibri"/>
                <w:color w:val="000000"/>
                <w:szCs w:val="20"/>
              </w:rPr>
              <w:t xml:space="preserve"> </w:t>
            </w:r>
            <w:r>
              <w:rPr>
                <w:rFonts w:ascii="Calibri" w:hAnsi="Calibri" w:cs="Calibri"/>
                <w:color w:val="000000"/>
                <w:szCs w:val="20"/>
              </w:rPr>
              <w:t>to May 2018.</w:t>
            </w:r>
          </w:p>
        </w:tc>
      </w:tr>
      <w:tr w:rsidR="00B80B9A" w:rsidRPr="002F020F" w14:paraId="56955888"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0124535E" w14:textId="77777777" w:rsidR="00B80B9A" w:rsidRPr="002F020F" w:rsidRDefault="00B80B9A" w:rsidP="004361E5">
            <w:r w:rsidRPr="002F020F">
              <w:t>Inclusion Criteria</w:t>
            </w:r>
          </w:p>
        </w:tc>
        <w:tc>
          <w:tcPr>
            <w:tcW w:w="3884" w:type="pct"/>
          </w:tcPr>
          <w:p w14:paraId="699EF8DD" w14:textId="77777777" w:rsidR="00B80B9A" w:rsidRPr="00414422" w:rsidRDefault="00B80B9A" w:rsidP="00B80B9A">
            <w:pPr>
              <w:pStyle w:val="ListParagraph"/>
              <w:numPr>
                <w:ilvl w:val="0"/>
                <w:numId w:val="90"/>
              </w:numPr>
              <w:spacing w:after="120"/>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414422">
              <w:rPr>
                <w:rFonts w:cstheme="minorHAnsi"/>
                <w:color w:val="000000"/>
                <w:szCs w:val="20"/>
              </w:rPr>
              <w:t>16</w:t>
            </w:r>
            <w:r>
              <w:rPr>
                <w:rFonts w:cstheme="minorHAnsi"/>
                <w:color w:val="000000"/>
                <w:szCs w:val="20"/>
              </w:rPr>
              <w:t xml:space="preserve"> to </w:t>
            </w:r>
            <w:r w:rsidRPr="00414422">
              <w:rPr>
                <w:rFonts w:cstheme="minorHAnsi"/>
                <w:color w:val="000000"/>
                <w:szCs w:val="20"/>
              </w:rPr>
              <w:t>60 years</w:t>
            </w:r>
            <w:r>
              <w:rPr>
                <w:rFonts w:cstheme="minorHAnsi"/>
                <w:color w:val="000000"/>
                <w:szCs w:val="20"/>
              </w:rPr>
              <w:t xml:space="preserve"> of age.</w:t>
            </w:r>
          </w:p>
          <w:p w14:paraId="12BE2D93" w14:textId="77777777" w:rsidR="00B80B9A" w:rsidRPr="00414422" w:rsidRDefault="00B80B9A" w:rsidP="00B80B9A">
            <w:pPr>
              <w:pStyle w:val="ListParagraph"/>
              <w:numPr>
                <w:ilvl w:val="0"/>
                <w:numId w:val="90"/>
              </w:numPr>
              <w:spacing w:after="120"/>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Pr>
                <w:rFonts w:cstheme="minorHAnsi"/>
                <w:color w:val="000000"/>
                <w:szCs w:val="20"/>
              </w:rPr>
              <w:t>C</w:t>
            </w:r>
            <w:r w:rsidRPr="00414422">
              <w:rPr>
                <w:rFonts w:cstheme="minorHAnsi"/>
                <w:color w:val="000000"/>
                <w:szCs w:val="20"/>
              </w:rPr>
              <w:t xml:space="preserve">annabis use disorder </w:t>
            </w:r>
            <w:r>
              <w:rPr>
                <w:rFonts w:cstheme="minorHAnsi"/>
                <w:color w:val="000000"/>
                <w:szCs w:val="20"/>
              </w:rPr>
              <w:t xml:space="preserve">with </w:t>
            </w:r>
            <w:r w:rsidRPr="00414422">
              <w:rPr>
                <w:rFonts w:cstheme="minorHAnsi"/>
                <w:color w:val="000000"/>
                <w:szCs w:val="20"/>
              </w:rPr>
              <w:t>at least moderate severity</w:t>
            </w:r>
            <w:r>
              <w:rPr>
                <w:rFonts w:cstheme="minorHAnsi"/>
                <w:color w:val="000000"/>
                <w:szCs w:val="20"/>
              </w:rPr>
              <w:t xml:space="preserve"> (DSM-5 criteria).</w:t>
            </w:r>
          </w:p>
          <w:p w14:paraId="24E725F0" w14:textId="77777777" w:rsidR="00B80B9A" w:rsidRPr="00414422" w:rsidRDefault="00B80B9A" w:rsidP="00B80B9A">
            <w:pPr>
              <w:pStyle w:val="ListParagraph"/>
              <w:numPr>
                <w:ilvl w:val="0"/>
                <w:numId w:val="90"/>
              </w:numPr>
              <w:spacing w:after="120"/>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Pr>
                <w:rFonts w:cstheme="minorHAnsi"/>
                <w:color w:val="000000"/>
                <w:szCs w:val="20"/>
              </w:rPr>
              <w:t>D</w:t>
            </w:r>
            <w:r w:rsidRPr="00414422">
              <w:rPr>
                <w:rFonts w:cstheme="minorHAnsi"/>
                <w:color w:val="000000"/>
                <w:szCs w:val="20"/>
              </w:rPr>
              <w:t>esire to stop using cannabis</w:t>
            </w:r>
            <w:r>
              <w:rPr>
                <w:rFonts w:cstheme="minorHAnsi"/>
                <w:color w:val="000000"/>
                <w:szCs w:val="20"/>
              </w:rPr>
              <w:t>,</w:t>
            </w:r>
            <w:r w:rsidRPr="00414422">
              <w:rPr>
                <w:rFonts w:cstheme="minorHAnsi"/>
                <w:color w:val="000000"/>
                <w:szCs w:val="20"/>
              </w:rPr>
              <w:t xml:space="preserve"> and intending to do so in the next month</w:t>
            </w:r>
            <w:r>
              <w:rPr>
                <w:rFonts w:cstheme="minorHAnsi"/>
                <w:color w:val="000000"/>
                <w:szCs w:val="20"/>
              </w:rPr>
              <w:t>,</w:t>
            </w:r>
            <w:r w:rsidRPr="00414422">
              <w:rPr>
                <w:rFonts w:cstheme="minorHAnsi"/>
                <w:color w:val="000000"/>
                <w:szCs w:val="20"/>
              </w:rPr>
              <w:t xml:space="preserve"> based on an adapted Motivation </w:t>
            </w:r>
            <w:r>
              <w:rPr>
                <w:rFonts w:cstheme="minorHAnsi"/>
                <w:color w:val="000000"/>
                <w:szCs w:val="20"/>
              </w:rPr>
              <w:t>T</w:t>
            </w:r>
            <w:r w:rsidRPr="00414422">
              <w:rPr>
                <w:rFonts w:cstheme="minorHAnsi"/>
                <w:color w:val="000000"/>
                <w:szCs w:val="20"/>
              </w:rPr>
              <w:t>o Stop Scale</w:t>
            </w:r>
            <w:r>
              <w:rPr>
                <w:rFonts w:cstheme="minorHAnsi"/>
                <w:color w:val="000000"/>
                <w:szCs w:val="20"/>
              </w:rPr>
              <w:t xml:space="preserve"> (MTSS).</w:t>
            </w:r>
          </w:p>
          <w:p w14:paraId="52A7313E" w14:textId="77777777" w:rsidR="00B80B9A" w:rsidRPr="00414422" w:rsidRDefault="00B80B9A" w:rsidP="00B80B9A">
            <w:pPr>
              <w:pStyle w:val="ListParagraph"/>
              <w:numPr>
                <w:ilvl w:val="0"/>
                <w:numId w:val="90"/>
              </w:numPr>
              <w:spacing w:after="120"/>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Pr>
                <w:rFonts w:cstheme="minorHAnsi"/>
                <w:color w:val="000000"/>
                <w:szCs w:val="20"/>
              </w:rPr>
              <w:t>At least one f</w:t>
            </w:r>
            <w:r w:rsidRPr="00414422">
              <w:rPr>
                <w:rFonts w:cstheme="minorHAnsi"/>
                <w:color w:val="000000"/>
                <w:szCs w:val="20"/>
              </w:rPr>
              <w:t xml:space="preserve">ailed </w:t>
            </w:r>
            <w:r>
              <w:rPr>
                <w:rFonts w:cstheme="minorHAnsi"/>
                <w:color w:val="000000"/>
                <w:szCs w:val="20"/>
              </w:rPr>
              <w:t xml:space="preserve">attempt to </w:t>
            </w:r>
            <w:r w:rsidRPr="00414422">
              <w:rPr>
                <w:rFonts w:cstheme="minorHAnsi"/>
                <w:color w:val="000000"/>
                <w:szCs w:val="20"/>
              </w:rPr>
              <w:t xml:space="preserve">quit </w:t>
            </w:r>
            <w:r>
              <w:rPr>
                <w:rFonts w:cstheme="minorHAnsi"/>
                <w:color w:val="000000"/>
                <w:szCs w:val="20"/>
              </w:rPr>
              <w:t>c</w:t>
            </w:r>
            <w:r w:rsidRPr="00414422">
              <w:rPr>
                <w:rFonts w:cstheme="minorHAnsi"/>
                <w:color w:val="000000"/>
                <w:szCs w:val="20"/>
              </w:rPr>
              <w:t>annabis use</w:t>
            </w:r>
            <w:r>
              <w:rPr>
                <w:rFonts w:cstheme="minorHAnsi"/>
                <w:color w:val="000000"/>
                <w:szCs w:val="20"/>
              </w:rPr>
              <w:t>.</w:t>
            </w:r>
          </w:p>
          <w:p w14:paraId="7318F52E" w14:textId="77777777" w:rsidR="00B80B9A" w:rsidRPr="004976D5" w:rsidRDefault="00B80B9A" w:rsidP="00B80B9A">
            <w:pPr>
              <w:pStyle w:val="ListParagraph"/>
              <w:numPr>
                <w:ilvl w:val="0"/>
                <w:numId w:val="90"/>
              </w:numPr>
              <w:spacing w:after="120"/>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Pr>
                <w:rFonts w:cstheme="minorHAnsi"/>
                <w:color w:val="000000"/>
                <w:szCs w:val="20"/>
              </w:rPr>
              <w:t>Must c</w:t>
            </w:r>
            <w:r w:rsidRPr="00414422">
              <w:rPr>
                <w:rFonts w:cstheme="minorHAnsi"/>
                <w:color w:val="000000"/>
                <w:szCs w:val="20"/>
              </w:rPr>
              <w:t>o-</w:t>
            </w:r>
            <w:r w:rsidRPr="004976D5">
              <w:rPr>
                <w:rFonts w:cstheme="minorHAnsi"/>
                <w:color w:val="000000"/>
                <w:szCs w:val="20"/>
              </w:rPr>
              <w:t>administer cannabis with tobacco</w:t>
            </w:r>
            <w:r>
              <w:rPr>
                <w:rFonts w:cstheme="minorHAnsi"/>
                <w:color w:val="000000"/>
                <w:szCs w:val="20"/>
              </w:rPr>
              <w:t xml:space="preserve"> (i.e., most common method of cannabis use in Europe).</w:t>
            </w:r>
          </w:p>
          <w:p w14:paraId="1F82E7DD" w14:textId="77777777" w:rsidR="00B80B9A" w:rsidRPr="00847A63" w:rsidRDefault="00B80B9A" w:rsidP="00B80B9A">
            <w:pPr>
              <w:pStyle w:val="ListParagraph"/>
              <w:numPr>
                <w:ilvl w:val="0"/>
                <w:numId w:val="90"/>
              </w:numPr>
              <w:spacing w:after="120"/>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Pr>
                <w:rFonts w:cstheme="minorHAnsi"/>
                <w:color w:val="000000"/>
                <w:szCs w:val="20"/>
              </w:rPr>
              <w:t>U</w:t>
            </w:r>
            <w:r w:rsidRPr="004976D5">
              <w:rPr>
                <w:rFonts w:cstheme="minorHAnsi"/>
                <w:color w:val="000000"/>
                <w:szCs w:val="20"/>
              </w:rPr>
              <w:t>rine sample</w:t>
            </w:r>
            <w:r>
              <w:rPr>
                <w:rFonts w:cstheme="minorHAnsi"/>
                <w:color w:val="000000"/>
                <w:szCs w:val="20"/>
              </w:rPr>
              <w:t xml:space="preserve"> positive for THC-COOH.</w:t>
            </w:r>
          </w:p>
          <w:p w14:paraId="7C05D064" w14:textId="77777777" w:rsidR="00B80B9A" w:rsidRPr="008208A0" w:rsidRDefault="00B80B9A" w:rsidP="00B80B9A">
            <w:pPr>
              <w:pStyle w:val="ListParagraph"/>
              <w:numPr>
                <w:ilvl w:val="0"/>
                <w:numId w:val="90"/>
              </w:numPr>
              <w:spacing w:after="120"/>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Pr>
                <w:rFonts w:cstheme="minorHAnsi"/>
                <w:color w:val="000000"/>
                <w:szCs w:val="20"/>
              </w:rPr>
              <w:t>C</w:t>
            </w:r>
            <w:r w:rsidRPr="004976D5">
              <w:rPr>
                <w:rFonts w:cstheme="minorHAnsi"/>
                <w:color w:val="000000"/>
                <w:szCs w:val="20"/>
              </w:rPr>
              <w:t>apacity to give informed consent as defined by</w:t>
            </w:r>
            <w:r>
              <w:t xml:space="preserve"> </w:t>
            </w:r>
            <w:r w:rsidRPr="005F15B6">
              <w:rPr>
                <w:rFonts w:cstheme="minorHAnsi"/>
                <w:color w:val="000000"/>
                <w:szCs w:val="20"/>
              </w:rPr>
              <w:t>Good Clinical Practice</w:t>
            </w:r>
            <w:r>
              <w:rPr>
                <w:rFonts w:cstheme="minorHAnsi"/>
                <w:color w:val="000000"/>
                <w:szCs w:val="20"/>
              </w:rPr>
              <w:t xml:space="preserve"> </w:t>
            </w:r>
            <w:r w:rsidRPr="005F15B6">
              <w:rPr>
                <w:rFonts w:cstheme="minorHAnsi"/>
                <w:color w:val="000000"/>
                <w:szCs w:val="20"/>
              </w:rPr>
              <w:t>(GCP) guidelines.</w:t>
            </w:r>
          </w:p>
          <w:p w14:paraId="061874A2" w14:textId="77777777" w:rsidR="00B80B9A" w:rsidRPr="006A58A6" w:rsidRDefault="00B80B9A" w:rsidP="00B80B9A">
            <w:pPr>
              <w:pStyle w:val="ListParagraph"/>
              <w:numPr>
                <w:ilvl w:val="0"/>
                <w:numId w:val="90"/>
              </w:numPr>
              <w:spacing w:after="120"/>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1B32EE">
              <w:rPr>
                <w:rFonts w:cstheme="minorHAnsi"/>
                <w:color w:val="000000"/>
                <w:szCs w:val="20"/>
              </w:rPr>
              <w:t>Females of childbearing potential</w:t>
            </w:r>
            <w:r>
              <w:rPr>
                <w:rFonts w:cstheme="minorHAnsi"/>
                <w:color w:val="000000"/>
                <w:szCs w:val="20"/>
              </w:rPr>
              <w:t xml:space="preserve">: </w:t>
            </w:r>
            <w:r w:rsidRPr="001B32EE">
              <w:rPr>
                <w:rFonts w:cstheme="minorHAnsi"/>
                <w:color w:val="000000"/>
                <w:szCs w:val="20"/>
              </w:rPr>
              <w:t>negative pregnancy test within seven days of starting treatment</w:t>
            </w:r>
            <w:r>
              <w:rPr>
                <w:rFonts w:cstheme="minorHAnsi"/>
                <w:color w:val="000000"/>
                <w:szCs w:val="20"/>
              </w:rPr>
              <w:t>.</w:t>
            </w:r>
          </w:p>
          <w:p w14:paraId="733F1855" w14:textId="77777777" w:rsidR="00B80B9A" w:rsidRPr="008208A0" w:rsidRDefault="00B80B9A" w:rsidP="00B80B9A">
            <w:pPr>
              <w:pStyle w:val="ListParagraph"/>
              <w:numPr>
                <w:ilvl w:val="0"/>
                <w:numId w:val="90"/>
              </w:numPr>
              <w:spacing w:after="120"/>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Pr>
                <w:rFonts w:cstheme="minorHAnsi"/>
                <w:color w:val="000000"/>
                <w:szCs w:val="20"/>
              </w:rPr>
              <w:t xml:space="preserve">Male participants and females of childbearing potential: </w:t>
            </w:r>
            <w:r w:rsidRPr="001B32EE">
              <w:rPr>
                <w:rFonts w:cstheme="minorHAnsi"/>
                <w:color w:val="000000"/>
                <w:szCs w:val="20"/>
              </w:rPr>
              <w:t>medically acceptable contraceptive method</w:t>
            </w:r>
            <w:r>
              <w:t xml:space="preserve"> </w:t>
            </w:r>
            <w:r w:rsidRPr="001B32EE">
              <w:rPr>
                <w:rFonts w:cstheme="minorHAnsi"/>
                <w:color w:val="000000"/>
                <w:szCs w:val="20"/>
              </w:rPr>
              <w:t>from the time consent</w:t>
            </w:r>
            <w:r>
              <w:rPr>
                <w:rFonts w:cstheme="minorHAnsi"/>
                <w:color w:val="000000"/>
                <w:szCs w:val="20"/>
              </w:rPr>
              <w:t xml:space="preserve"> </w:t>
            </w:r>
            <w:r w:rsidRPr="001B32EE">
              <w:rPr>
                <w:rFonts w:cstheme="minorHAnsi"/>
                <w:color w:val="000000"/>
                <w:szCs w:val="20"/>
              </w:rPr>
              <w:t>was signed until six weeks after</w:t>
            </w:r>
            <w:r>
              <w:rPr>
                <w:rFonts w:cstheme="minorHAnsi"/>
                <w:color w:val="000000"/>
                <w:szCs w:val="20"/>
              </w:rPr>
              <w:t xml:space="preserve"> the discontinuation of</w:t>
            </w:r>
            <w:r w:rsidRPr="001B32EE">
              <w:rPr>
                <w:rFonts w:cstheme="minorHAnsi"/>
                <w:color w:val="000000"/>
                <w:szCs w:val="20"/>
              </w:rPr>
              <w:t xml:space="preserve"> treatment</w:t>
            </w:r>
            <w:r>
              <w:rPr>
                <w:rFonts w:cstheme="minorHAnsi"/>
                <w:color w:val="000000"/>
                <w:szCs w:val="20"/>
              </w:rPr>
              <w:t>.</w:t>
            </w:r>
          </w:p>
        </w:tc>
      </w:tr>
      <w:tr w:rsidR="00B80B9A" w:rsidRPr="002F020F" w14:paraId="3FE279C3"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3A7249B9" w14:textId="77777777" w:rsidR="00B80B9A" w:rsidRPr="002F020F" w:rsidRDefault="00B80B9A" w:rsidP="004361E5">
            <w:r w:rsidRPr="002F020F">
              <w:t>Exclusion Criteria</w:t>
            </w:r>
          </w:p>
        </w:tc>
        <w:tc>
          <w:tcPr>
            <w:tcW w:w="3884" w:type="pct"/>
          </w:tcPr>
          <w:p w14:paraId="4D8322C3" w14:textId="77777777" w:rsidR="00B80B9A" w:rsidRPr="00EB38E1" w:rsidRDefault="00B80B9A" w:rsidP="00B80B9A">
            <w:pPr>
              <w:pStyle w:val="ListParagraph"/>
              <w:numPr>
                <w:ilvl w:val="0"/>
                <w:numId w:val="91"/>
              </w:numPr>
              <w:spacing w:after="120"/>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EB38E1">
              <w:rPr>
                <w:rFonts w:cstheme="minorHAnsi"/>
                <w:color w:val="000000"/>
                <w:szCs w:val="20"/>
              </w:rPr>
              <w:t>Allerg</w:t>
            </w:r>
            <w:r>
              <w:rPr>
                <w:rFonts w:cstheme="minorHAnsi"/>
                <w:color w:val="000000"/>
                <w:szCs w:val="20"/>
              </w:rPr>
              <w:t>ies</w:t>
            </w:r>
            <w:r w:rsidRPr="00EB38E1">
              <w:rPr>
                <w:rFonts w:cstheme="minorHAnsi"/>
                <w:color w:val="000000"/>
                <w:szCs w:val="20"/>
              </w:rPr>
              <w:t xml:space="preserve"> to CBD</w:t>
            </w:r>
            <w:r>
              <w:rPr>
                <w:rFonts w:cstheme="minorHAnsi"/>
                <w:color w:val="000000"/>
                <w:szCs w:val="20"/>
              </w:rPr>
              <w:t>,</w:t>
            </w:r>
            <w:r w:rsidRPr="00EB38E1">
              <w:t xml:space="preserve"> </w:t>
            </w:r>
            <w:r w:rsidRPr="00EB38E1">
              <w:rPr>
                <w:rFonts w:cstheme="minorHAnsi"/>
                <w:color w:val="000000"/>
                <w:szCs w:val="20"/>
              </w:rPr>
              <w:t>microcrystalline cellulose</w:t>
            </w:r>
            <w:r>
              <w:rPr>
                <w:rFonts w:cstheme="minorHAnsi"/>
                <w:color w:val="000000"/>
                <w:szCs w:val="20"/>
              </w:rPr>
              <w:t>,</w:t>
            </w:r>
            <w:r w:rsidRPr="00EB38E1">
              <w:rPr>
                <w:rFonts w:cstheme="minorHAnsi"/>
                <w:color w:val="000000"/>
                <w:szCs w:val="20"/>
              </w:rPr>
              <w:t xml:space="preserve"> or gelatin</w:t>
            </w:r>
            <w:r>
              <w:rPr>
                <w:rFonts w:cstheme="minorHAnsi"/>
                <w:color w:val="000000"/>
                <w:szCs w:val="20"/>
              </w:rPr>
              <w:t>.</w:t>
            </w:r>
          </w:p>
          <w:p w14:paraId="3AD9638A" w14:textId="77777777" w:rsidR="00B80B9A" w:rsidRPr="00A919A3" w:rsidRDefault="00B80B9A" w:rsidP="00B80B9A">
            <w:pPr>
              <w:pStyle w:val="ListParagraph"/>
              <w:numPr>
                <w:ilvl w:val="0"/>
                <w:numId w:val="91"/>
              </w:numPr>
              <w:spacing w:after="120"/>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Pr>
                <w:rFonts w:cstheme="minorHAnsi"/>
                <w:color w:val="000000"/>
                <w:szCs w:val="20"/>
              </w:rPr>
              <w:t xml:space="preserve">Currently </w:t>
            </w:r>
            <w:r w:rsidRPr="00A919A3">
              <w:rPr>
                <w:rFonts w:cstheme="minorHAnsi"/>
                <w:color w:val="000000"/>
                <w:szCs w:val="20"/>
              </w:rPr>
              <w:t>using prescribed psychotropic drugs</w:t>
            </w:r>
            <w:r>
              <w:rPr>
                <w:rFonts w:cstheme="minorHAnsi"/>
                <w:color w:val="000000"/>
                <w:szCs w:val="20"/>
              </w:rPr>
              <w:t>.</w:t>
            </w:r>
          </w:p>
          <w:p w14:paraId="40CC70A9" w14:textId="77777777" w:rsidR="00B80B9A" w:rsidRPr="00A919A3" w:rsidRDefault="00B80B9A" w:rsidP="00B80B9A">
            <w:pPr>
              <w:pStyle w:val="ListParagraph"/>
              <w:numPr>
                <w:ilvl w:val="0"/>
                <w:numId w:val="91"/>
              </w:numPr>
              <w:spacing w:after="120"/>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A919A3">
              <w:rPr>
                <w:rFonts w:cstheme="minorHAnsi"/>
                <w:color w:val="000000"/>
                <w:szCs w:val="20"/>
              </w:rPr>
              <w:t xml:space="preserve">Use of illicit drugs </w:t>
            </w:r>
            <w:r>
              <w:rPr>
                <w:rFonts w:cstheme="minorHAnsi"/>
                <w:color w:val="000000"/>
                <w:szCs w:val="20"/>
              </w:rPr>
              <w:t xml:space="preserve">(other than cannabis) </w:t>
            </w:r>
            <w:r w:rsidRPr="00A919A3">
              <w:rPr>
                <w:rFonts w:cstheme="minorHAnsi"/>
                <w:color w:val="000000"/>
                <w:szCs w:val="20"/>
              </w:rPr>
              <w:t xml:space="preserve">more than twice </w:t>
            </w:r>
            <w:r>
              <w:rPr>
                <w:rFonts w:cstheme="minorHAnsi"/>
                <w:color w:val="000000"/>
                <w:szCs w:val="20"/>
              </w:rPr>
              <w:t>per</w:t>
            </w:r>
            <w:r w:rsidRPr="00A919A3">
              <w:rPr>
                <w:rFonts w:cstheme="minorHAnsi"/>
                <w:color w:val="000000"/>
                <w:szCs w:val="20"/>
              </w:rPr>
              <w:t xml:space="preserve"> month at screening</w:t>
            </w:r>
            <w:r>
              <w:rPr>
                <w:rFonts w:cstheme="minorHAnsi"/>
                <w:color w:val="000000"/>
                <w:szCs w:val="20"/>
              </w:rPr>
              <w:t>.</w:t>
            </w:r>
          </w:p>
          <w:p w14:paraId="7E0AE0D4" w14:textId="77777777" w:rsidR="00B80B9A" w:rsidRPr="00A919A3" w:rsidRDefault="00B80B9A" w:rsidP="00B80B9A">
            <w:pPr>
              <w:pStyle w:val="ListParagraph"/>
              <w:numPr>
                <w:ilvl w:val="0"/>
                <w:numId w:val="91"/>
              </w:numPr>
              <w:spacing w:after="120"/>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A919A3">
              <w:rPr>
                <w:rFonts w:cstheme="minorHAnsi"/>
                <w:color w:val="000000"/>
                <w:szCs w:val="20"/>
              </w:rPr>
              <w:t xml:space="preserve">Evidence of inaccurate self-reported drug use </w:t>
            </w:r>
            <w:r>
              <w:rPr>
                <w:rFonts w:cstheme="minorHAnsi"/>
                <w:color w:val="000000"/>
                <w:szCs w:val="20"/>
              </w:rPr>
              <w:t xml:space="preserve">(i.e., a </w:t>
            </w:r>
            <w:r w:rsidRPr="00A919A3">
              <w:rPr>
                <w:rFonts w:cstheme="minorHAnsi"/>
                <w:color w:val="000000"/>
                <w:szCs w:val="20"/>
              </w:rPr>
              <w:t>positive urine test for a drug that was not reported during screenin</w:t>
            </w:r>
            <w:r>
              <w:rPr>
                <w:rFonts w:cstheme="minorHAnsi"/>
                <w:color w:val="000000"/>
                <w:szCs w:val="20"/>
              </w:rPr>
              <w:t>g).</w:t>
            </w:r>
          </w:p>
          <w:p w14:paraId="02601244" w14:textId="77777777" w:rsidR="00B80B9A" w:rsidRPr="00BF3332" w:rsidRDefault="00B80B9A" w:rsidP="00B80B9A">
            <w:pPr>
              <w:pStyle w:val="ListParagraph"/>
              <w:numPr>
                <w:ilvl w:val="0"/>
                <w:numId w:val="91"/>
              </w:numPr>
              <w:spacing w:after="120"/>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A919A3">
              <w:rPr>
                <w:rFonts w:cstheme="minorHAnsi"/>
                <w:color w:val="000000"/>
                <w:szCs w:val="20"/>
              </w:rPr>
              <w:t>Current or prior diagnosis of a psychotic disorder</w:t>
            </w:r>
            <w:r>
              <w:rPr>
                <w:rFonts w:cstheme="minorHAnsi"/>
                <w:color w:val="000000"/>
                <w:szCs w:val="20"/>
              </w:rPr>
              <w:t xml:space="preserve"> (self-report).</w:t>
            </w:r>
          </w:p>
          <w:p w14:paraId="3AA967E3" w14:textId="77777777" w:rsidR="00B80B9A" w:rsidRPr="005F4D49" w:rsidRDefault="00B80B9A" w:rsidP="00B80B9A">
            <w:pPr>
              <w:pStyle w:val="ListParagraph"/>
              <w:numPr>
                <w:ilvl w:val="0"/>
                <w:numId w:val="91"/>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Pr>
                <w:rFonts w:cstheme="minorHAnsi"/>
                <w:color w:val="000000"/>
                <w:szCs w:val="20"/>
              </w:rPr>
              <w:t>Pregnant or breastfeeding.</w:t>
            </w:r>
          </w:p>
          <w:p w14:paraId="10033740" w14:textId="77777777" w:rsidR="00B80B9A" w:rsidRPr="00A919A3" w:rsidRDefault="00B80B9A" w:rsidP="00B80B9A">
            <w:pPr>
              <w:pStyle w:val="ListParagraph"/>
              <w:numPr>
                <w:ilvl w:val="0"/>
                <w:numId w:val="91"/>
              </w:numPr>
              <w:spacing w:after="120"/>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A919A3">
              <w:rPr>
                <w:rFonts w:cstheme="minorHAnsi"/>
                <w:color w:val="000000"/>
                <w:szCs w:val="20"/>
              </w:rPr>
              <w:t>Any physical health problem deemed clinically significant by the investigator team</w:t>
            </w:r>
            <w:r>
              <w:rPr>
                <w:rFonts w:cstheme="minorHAnsi"/>
                <w:color w:val="000000"/>
                <w:szCs w:val="20"/>
              </w:rPr>
              <w:t>.</w:t>
            </w:r>
          </w:p>
          <w:p w14:paraId="666B5D2D" w14:textId="77777777" w:rsidR="00B80B9A" w:rsidRPr="001C0768" w:rsidRDefault="00B80B9A" w:rsidP="00B80B9A">
            <w:pPr>
              <w:pStyle w:val="ListParagraph"/>
              <w:numPr>
                <w:ilvl w:val="0"/>
                <w:numId w:val="91"/>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A919A3">
              <w:rPr>
                <w:rFonts w:cstheme="minorHAnsi"/>
                <w:color w:val="000000"/>
                <w:szCs w:val="20"/>
              </w:rPr>
              <w:lastRenderedPageBreak/>
              <w:t xml:space="preserve">Not </w:t>
            </w:r>
            <w:r>
              <w:rPr>
                <w:rFonts w:cstheme="minorHAnsi"/>
                <w:color w:val="000000"/>
                <w:szCs w:val="20"/>
              </w:rPr>
              <w:t xml:space="preserve">English </w:t>
            </w:r>
            <w:r w:rsidRPr="00A919A3">
              <w:rPr>
                <w:rFonts w:cstheme="minorHAnsi"/>
                <w:color w:val="000000"/>
                <w:szCs w:val="20"/>
              </w:rPr>
              <w:t>speaking (</w:t>
            </w:r>
            <w:r>
              <w:rPr>
                <w:rFonts w:cstheme="minorHAnsi"/>
                <w:color w:val="000000"/>
                <w:szCs w:val="20"/>
              </w:rPr>
              <w:t xml:space="preserve">cf. </w:t>
            </w:r>
            <w:r w:rsidRPr="00A919A3">
              <w:rPr>
                <w:rFonts w:cstheme="minorHAnsi"/>
                <w:color w:val="000000"/>
                <w:szCs w:val="20"/>
              </w:rPr>
              <w:t>verbal assessments</w:t>
            </w:r>
            <w:r w:rsidRPr="007B3150">
              <w:rPr>
                <w:rFonts w:cstheme="minorHAnsi"/>
                <w:color w:val="000000"/>
                <w:szCs w:val="20"/>
              </w:rPr>
              <w:t>).</w:t>
            </w:r>
          </w:p>
        </w:tc>
      </w:tr>
      <w:tr w:rsidR="00B80B9A" w:rsidRPr="002F020F" w14:paraId="6E365C7D"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E6615B0" w14:textId="77777777" w:rsidR="00B80B9A" w:rsidRPr="002F020F" w:rsidRDefault="00B80B9A" w:rsidP="004361E5">
            <w:r w:rsidRPr="002F020F">
              <w:lastRenderedPageBreak/>
              <w:t>Assessment Time-</w:t>
            </w:r>
            <w:r>
              <w:t>P</w:t>
            </w:r>
            <w:r w:rsidRPr="002F020F">
              <w:t>oint/s</w:t>
            </w:r>
          </w:p>
        </w:tc>
        <w:tc>
          <w:tcPr>
            <w:tcW w:w="3884" w:type="pct"/>
          </w:tcPr>
          <w:p w14:paraId="5D5AF7B3" w14:textId="707365B1" w:rsidR="00B80B9A" w:rsidRPr="00E45FE6" w:rsidRDefault="00DB2DCA" w:rsidP="00B80B9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Baseline: w</w:t>
            </w:r>
            <w:r w:rsidR="00B80B9A" w:rsidRPr="00E45FE6">
              <w:rPr>
                <w:rFonts w:cstheme="minorHAnsi"/>
                <w:color w:val="000000"/>
                <w:szCs w:val="20"/>
              </w:rPr>
              <w:t>eek 0</w:t>
            </w:r>
            <w:r w:rsidR="00B80B9A">
              <w:rPr>
                <w:rFonts w:cstheme="minorHAnsi"/>
                <w:color w:val="000000"/>
                <w:szCs w:val="20"/>
              </w:rPr>
              <w:t>.</w:t>
            </w:r>
          </w:p>
          <w:p w14:paraId="05DD6420" w14:textId="0403365A" w:rsidR="00B80B9A" w:rsidRPr="00E45FE6" w:rsidRDefault="00DB2DCA" w:rsidP="00B80B9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During treatment: w</w:t>
            </w:r>
            <w:r w:rsidR="00B80B9A" w:rsidRPr="00E45FE6">
              <w:rPr>
                <w:rFonts w:cstheme="minorHAnsi"/>
                <w:color w:val="000000"/>
                <w:szCs w:val="20"/>
              </w:rPr>
              <w:t>eek 1</w:t>
            </w:r>
            <w:r w:rsidR="00B80B9A">
              <w:rPr>
                <w:rFonts w:cstheme="minorHAnsi"/>
                <w:color w:val="000000"/>
                <w:szCs w:val="20"/>
              </w:rPr>
              <w:t xml:space="preserve"> to </w:t>
            </w:r>
            <w:r w:rsidR="00B80B9A" w:rsidRPr="00E45FE6">
              <w:rPr>
                <w:rFonts w:cstheme="minorHAnsi"/>
                <w:color w:val="000000"/>
                <w:szCs w:val="20"/>
              </w:rPr>
              <w:t>4 (site visit)</w:t>
            </w:r>
            <w:r w:rsidR="00B80B9A">
              <w:rPr>
                <w:rFonts w:cstheme="minorHAnsi"/>
                <w:color w:val="000000"/>
                <w:szCs w:val="20"/>
              </w:rPr>
              <w:t>.</w:t>
            </w:r>
          </w:p>
          <w:p w14:paraId="4BB808CC" w14:textId="22A43C5C" w:rsidR="00B80B9A" w:rsidRPr="00F62917" w:rsidRDefault="00DB2DCA" w:rsidP="00D11A8D">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11A8D">
              <w:rPr>
                <w:rFonts w:cstheme="minorHAnsi"/>
                <w:color w:val="000000"/>
                <w:szCs w:val="20"/>
              </w:rPr>
              <w:t>Follow-up: w</w:t>
            </w:r>
            <w:r w:rsidR="00B80B9A" w:rsidRPr="00D11A8D">
              <w:rPr>
                <w:rFonts w:cstheme="minorHAnsi"/>
                <w:color w:val="000000"/>
                <w:szCs w:val="20"/>
              </w:rPr>
              <w:t>eek 6, 12, 16 (site visit)</w:t>
            </w:r>
            <w:r w:rsidR="00D11A8D" w:rsidRPr="00D11A8D">
              <w:rPr>
                <w:rFonts w:cstheme="minorHAnsi"/>
                <w:color w:val="000000"/>
                <w:szCs w:val="20"/>
              </w:rPr>
              <w:t xml:space="preserve">; </w:t>
            </w:r>
            <w:r w:rsidR="00D11A8D">
              <w:rPr>
                <w:rFonts w:cstheme="minorHAnsi"/>
                <w:color w:val="000000"/>
                <w:szCs w:val="20"/>
              </w:rPr>
              <w:t>w</w:t>
            </w:r>
            <w:r w:rsidR="00B80B9A" w:rsidRPr="00D11A8D">
              <w:rPr>
                <w:rFonts w:cstheme="minorHAnsi"/>
                <w:color w:val="000000"/>
                <w:szCs w:val="20"/>
              </w:rPr>
              <w:t>eek 8, 20, 24 (telephone)</w:t>
            </w:r>
            <w:r w:rsidR="00B80B9A" w:rsidRPr="00F62917">
              <w:rPr>
                <w:rFonts w:cstheme="minorHAnsi"/>
                <w:color w:val="000000"/>
                <w:szCs w:val="20"/>
              </w:rPr>
              <w:t>.</w:t>
            </w:r>
          </w:p>
        </w:tc>
      </w:tr>
      <w:tr w:rsidR="00B80B9A" w:rsidRPr="002F020F" w14:paraId="1085BE10"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36871435" w14:textId="77777777" w:rsidR="00B80B9A" w:rsidRPr="002F020F" w:rsidRDefault="00B80B9A" w:rsidP="004361E5">
            <w:r w:rsidRPr="002F020F">
              <w:t>Main Findings</w:t>
            </w:r>
          </w:p>
        </w:tc>
        <w:tc>
          <w:tcPr>
            <w:tcW w:w="3884" w:type="pct"/>
          </w:tcPr>
          <w:p w14:paraId="771F0533" w14:textId="77777777" w:rsidR="00B80B9A" w:rsidRPr="00C305A8" w:rsidRDefault="00B80B9A" w:rsidP="00B80B9A">
            <w:pPr>
              <w:pStyle w:val="ListParagraph"/>
              <w:numPr>
                <w:ilvl w:val="0"/>
                <w:numId w:val="91"/>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Pr>
                <w:rFonts w:cstheme="minorHAnsi"/>
                <w:color w:val="000000"/>
                <w:szCs w:val="20"/>
              </w:rPr>
              <w:t xml:space="preserve">The </w:t>
            </w:r>
            <w:r w:rsidRPr="0022122D">
              <w:rPr>
                <w:rFonts w:cstheme="minorHAnsi"/>
                <w:color w:val="000000"/>
                <w:szCs w:val="20"/>
              </w:rPr>
              <w:t xml:space="preserve">interim </w:t>
            </w:r>
            <w:r>
              <w:rPr>
                <w:rFonts w:cstheme="minorHAnsi"/>
                <w:color w:val="000000"/>
                <w:szCs w:val="20"/>
              </w:rPr>
              <w:t xml:space="preserve">Bayesian </w:t>
            </w:r>
            <w:r w:rsidRPr="0022122D">
              <w:rPr>
                <w:rFonts w:cstheme="minorHAnsi"/>
                <w:color w:val="000000"/>
                <w:szCs w:val="20"/>
              </w:rPr>
              <w:t>analysis</w:t>
            </w:r>
            <w:r>
              <w:rPr>
                <w:rFonts w:cstheme="minorHAnsi"/>
                <w:color w:val="000000"/>
                <w:szCs w:val="20"/>
              </w:rPr>
              <w:t xml:space="preserve"> indicated that the </w:t>
            </w:r>
            <w:r w:rsidRPr="0022122D">
              <w:rPr>
                <w:rFonts w:cstheme="minorHAnsi"/>
                <w:color w:val="000000"/>
                <w:szCs w:val="20"/>
              </w:rPr>
              <w:t>200</w:t>
            </w:r>
            <w:r>
              <w:rPr>
                <w:rFonts w:cstheme="minorHAnsi"/>
                <w:color w:val="000000"/>
                <w:szCs w:val="20"/>
              </w:rPr>
              <w:t xml:space="preserve"> </w:t>
            </w:r>
            <w:r w:rsidRPr="0022122D">
              <w:rPr>
                <w:rFonts w:cstheme="minorHAnsi"/>
                <w:color w:val="000000"/>
                <w:szCs w:val="20"/>
              </w:rPr>
              <w:t xml:space="preserve">mg CBD </w:t>
            </w:r>
            <w:r>
              <w:rPr>
                <w:rFonts w:cstheme="minorHAnsi"/>
                <w:color w:val="000000"/>
                <w:szCs w:val="20"/>
              </w:rPr>
              <w:t xml:space="preserve">treatment was ineffective for reducing cannabis use, and this condition </w:t>
            </w:r>
            <w:r w:rsidRPr="0022122D">
              <w:rPr>
                <w:rFonts w:cstheme="minorHAnsi"/>
                <w:color w:val="000000"/>
                <w:szCs w:val="20"/>
              </w:rPr>
              <w:t xml:space="preserve">was eliminated from the </w:t>
            </w:r>
            <w:r>
              <w:rPr>
                <w:rFonts w:cstheme="minorHAnsi"/>
                <w:color w:val="000000"/>
                <w:szCs w:val="20"/>
              </w:rPr>
              <w:t>study.</w:t>
            </w:r>
          </w:p>
          <w:p w14:paraId="7C176E75" w14:textId="77777777" w:rsidR="00B80B9A" w:rsidRPr="0082549E" w:rsidRDefault="00B80B9A" w:rsidP="00B80B9A">
            <w:pPr>
              <w:pStyle w:val="ListParagraph"/>
              <w:numPr>
                <w:ilvl w:val="0"/>
                <w:numId w:val="91"/>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Pr>
                <w:rFonts w:cstheme="minorHAnsi"/>
                <w:color w:val="000000"/>
                <w:szCs w:val="20"/>
              </w:rPr>
              <w:t xml:space="preserve">The </w:t>
            </w:r>
            <w:r w:rsidRPr="0022122D">
              <w:rPr>
                <w:rFonts w:cstheme="minorHAnsi"/>
                <w:color w:val="000000"/>
                <w:szCs w:val="20"/>
              </w:rPr>
              <w:t xml:space="preserve">final </w:t>
            </w:r>
            <w:r>
              <w:rPr>
                <w:rFonts w:cstheme="minorHAnsi"/>
                <w:color w:val="000000"/>
                <w:szCs w:val="20"/>
              </w:rPr>
              <w:t xml:space="preserve">Bayesian </w:t>
            </w:r>
            <w:r w:rsidRPr="0022122D">
              <w:rPr>
                <w:rFonts w:cstheme="minorHAnsi"/>
                <w:color w:val="000000"/>
                <w:szCs w:val="20"/>
              </w:rPr>
              <w:t>analysis</w:t>
            </w:r>
            <w:r>
              <w:rPr>
                <w:rFonts w:cstheme="minorHAnsi"/>
                <w:color w:val="000000"/>
                <w:szCs w:val="20"/>
              </w:rPr>
              <w:t xml:space="preserve"> indicated that</w:t>
            </w:r>
            <w:r w:rsidRPr="0055564C">
              <w:rPr>
                <w:rFonts w:ascii="Calibri" w:hAnsi="Calibri" w:cs="Calibri"/>
                <w:color w:val="000000"/>
                <w:szCs w:val="20"/>
              </w:rPr>
              <w:t xml:space="preserve"> </w:t>
            </w:r>
            <w:r>
              <w:rPr>
                <w:rFonts w:ascii="Calibri" w:hAnsi="Calibri" w:cs="Calibri"/>
                <w:color w:val="000000"/>
                <w:szCs w:val="20"/>
              </w:rPr>
              <w:t xml:space="preserve">the </w:t>
            </w:r>
            <w:r w:rsidRPr="0055564C">
              <w:rPr>
                <w:rFonts w:ascii="Calibri" w:hAnsi="Calibri" w:cs="Calibri"/>
                <w:color w:val="000000"/>
                <w:szCs w:val="20"/>
              </w:rPr>
              <w:t>400</w:t>
            </w:r>
            <w:r>
              <w:rPr>
                <w:rFonts w:ascii="Calibri" w:hAnsi="Calibri" w:cs="Calibri"/>
                <w:color w:val="000000"/>
                <w:szCs w:val="20"/>
              </w:rPr>
              <w:t xml:space="preserve"> </w:t>
            </w:r>
            <w:r w:rsidRPr="0055564C">
              <w:rPr>
                <w:rFonts w:ascii="Calibri" w:hAnsi="Calibri" w:cs="Calibri"/>
                <w:color w:val="000000"/>
                <w:szCs w:val="20"/>
              </w:rPr>
              <w:t xml:space="preserve">mg CBD and </w:t>
            </w:r>
            <w:r>
              <w:rPr>
                <w:rFonts w:ascii="Calibri" w:hAnsi="Calibri" w:cs="Calibri"/>
                <w:color w:val="000000"/>
                <w:szCs w:val="20"/>
              </w:rPr>
              <w:t xml:space="preserve">the </w:t>
            </w:r>
            <w:r w:rsidRPr="0055564C">
              <w:rPr>
                <w:rFonts w:ascii="Calibri" w:hAnsi="Calibri" w:cs="Calibri"/>
                <w:color w:val="000000"/>
                <w:szCs w:val="20"/>
              </w:rPr>
              <w:t>800</w:t>
            </w:r>
            <w:r>
              <w:rPr>
                <w:rFonts w:ascii="Calibri" w:hAnsi="Calibri" w:cs="Calibri"/>
                <w:color w:val="000000"/>
                <w:szCs w:val="20"/>
              </w:rPr>
              <w:t xml:space="preserve"> </w:t>
            </w:r>
            <w:r w:rsidRPr="0055564C">
              <w:rPr>
                <w:rFonts w:ascii="Calibri" w:hAnsi="Calibri" w:cs="Calibri"/>
                <w:color w:val="000000"/>
                <w:szCs w:val="20"/>
              </w:rPr>
              <w:t xml:space="preserve">mg CBD </w:t>
            </w:r>
            <w:r>
              <w:rPr>
                <w:rFonts w:ascii="Calibri" w:hAnsi="Calibri" w:cs="Calibri"/>
                <w:color w:val="000000"/>
                <w:szCs w:val="20"/>
              </w:rPr>
              <w:t xml:space="preserve">conditions </w:t>
            </w:r>
            <w:r w:rsidRPr="0055564C">
              <w:rPr>
                <w:rFonts w:ascii="Calibri" w:hAnsi="Calibri" w:cs="Calibri"/>
                <w:color w:val="000000"/>
                <w:szCs w:val="20"/>
              </w:rPr>
              <w:t xml:space="preserve">exceeded </w:t>
            </w:r>
            <w:r>
              <w:rPr>
                <w:rFonts w:ascii="Calibri" w:hAnsi="Calibri" w:cs="Calibri"/>
                <w:color w:val="000000"/>
                <w:szCs w:val="20"/>
              </w:rPr>
              <w:t xml:space="preserve">the </w:t>
            </w:r>
            <w:r w:rsidRPr="0055564C">
              <w:rPr>
                <w:rFonts w:ascii="Calibri" w:hAnsi="Calibri" w:cs="Calibri"/>
                <w:color w:val="000000"/>
                <w:szCs w:val="20"/>
              </w:rPr>
              <w:t>pr</w:t>
            </w:r>
            <w:r>
              <w:rPr>
                <w:rFonts w:ascii="Calibri" w:hAnsi="Calibri" w:cs="Calibri"/>
                <w:color w:val="000000"/>
                <w:szCs w:val="20"/>
              </w:rPr>
              <w:t>ior probabilities for Most Effective Dose (MED) given the data [</w:t>
            </w:r>
            <w:r w:rsidRPr="0055564C">
              <w:rPr>
                <w:rFonts w:ascii="Calibri" w:hAnsi="Calibri" w:cs="Calibri"/>
                <w:color w:val="000000"/>
                <w:szCs w:val="20"/>
              </w:rPr>
              <w:t>Pr</w:t>
            </w:r>
            <w:r>
              <w:rPr>
                <w:rFonts w:ascii="Calibri" w:hAnsi="Calibri" w:cs="Calibri"/>
                <w:color w:val="000000"/>
                <w:szCs w:val="20"/>
              </w:rPr>
              <w:t xml:space="preserve"> (</w:t>
            </w:r>
            <w:r w:rsidRPr="00494789">
              <w:rPr>
                <w:rFonts w:ascii="Calibri" w:hAnsi="Calibri" w:cs="Calibri"/>
                <w:color w:val="000000"/>
                <w:szCs w:val="20"/>
              </w:rPr>
              <w:t>MED│Data</w:t>
            </w:r>
            <w:r>
              <w:rPr>
                <w:rFonts w:ascii="Calibri" w:hAnsi="Calibri" w:cs="Calibri"/>
                <w:color w:val="000000"/>
                <w:szCs w:val="20"/>
              </w:rPr>
              <w:t xml:space="preserve"> &gt; </w:t>
            </w:r>
            <w:r w:rsidRPr="0055564C">
              <w:rPr>
                <w:rFonts w:ascii="Calibri" w:hAnsi="Calibri" w:cs="Calibri"/>
                <w:color w:val="000000"/>
                <w:szCs w:val="20"/>
              </w:rPr>
              <w:t>0.9</w:t>
            </w:r>
            <w:r>
              <w:rPr>
                <w:rFonts w:ascii="Calibri" w:hAnsi="Calibri" w:cs="Calibri"/>
                <w:color w:val="000000"/>
                <w:szCs w:val="20"/>
              </w:rPr>
              <w:t xml:space="preserve">] on </w:t>
            </w:r>
            <w:r w:rsidRPr="0055564C">
              <w:rPr>
                <w:rFonts w:ascii="Calibri" w:hAnsi="Calibri" w:cs="Calibri"/>
                <w:color w:val="000000"/>
                <w:szCs w:val="20"/>
              </w:rPr>
              <w:t>both primary outcomes</w:t>
            </w:r>
            <w:r w:rsidRPr="00C305A8">
              <w:rPr>
                <w:rFonts w:ascii="Calibri" w:hAnsi="Calibri" w:cs="Calibri"/>
                <w:color w:val="000000"/>
                <w:szCs w:val="20"/>
              </w:rPr>
              <w:t>:</w:t>
            </w:r>
          </w:p>
          <w:p w14:paraId="29F5854D" w14:textId="77777777" w:rsidR="00B80B9A" w:rsidRPr="00494789" w:rsidRDefault="00B80B9A" w:rsidP="00B80B9A">
            <w:pPr>
              <w:pStyle w:val="ListParagraph"/>
              <w:numPr>
                <w:ilvl w:val="1"/>
                <w:numId w:val="91"/>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494789">
              <w:rPr>
                <w:rFonts w:ascii="Calibri" w:hAnsi="Calibri" w:cs="Calibri"/>
                <w:color w:val="000000"/>
                <w:szCs w:val="20"/>
              </w:rPr>
              <w:t xml:space="preserve">Cannabis use (urinary THC-COOH:creatinine): </w:t>
            </w:r>
          </w:p>
          <w:p w14:paraId="4B07AC1F" w14:textId="77777777" w:rsidR="00B80B9A" w:rsidRPr="00494789" w:rsidRDefault="00B80B9A" w:rsidP="00B80B9A">
            <w:pPr>
              <w:pStyle w:val="ListParagraph"/>
              <w:numPr>
                <w:ilvl w:val="2"/>
                <w:numId w:val="91"/>
              </w:numPr>
              <w:spacing w:after="120"/>
              <w:ind w:left="107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Pr>
                <w:rFonts w:ascii="Calibri" w:hAnsi="Calibri" w:cs="Calibri"/>
                <w:color w:val="000000"/>
                <w:szCs w:val="20"/>
              </w:rPr>
              <w:t xml:space="preserve">400 mg CBD group: </w:t>
            </w:r>
            <w:r w:rsidRPr="00494789">
              <w:rPr>
                <w:rFonts w:ascii="Calibri" w:hAnsi="Calibri" w:cs="Calibri"/>
                <w:color w:val="000000"/>
                <w:szCs w:val="20"/>
              </w:rPr>
              <w:t>Pr (</w:t>
            </w:r>
            <w:r>
              <w:rPr>
                <w:rFonts w:ascii="Calibri" w:hAnsi="Calibri" w:cs="Calibri"/>
                <w:color w:val="000000"/>
                <w:szCs w:val="20"/>
              </w:rPr>
              <w:t>M</w:t>
            </w:r>
            <w:r w:rsidRPr="00494789">
              <w:rPr>
                <w:rFonts w:ascii="Calibri" w:hAnsi="Calibri" w:cs="Calibri"/>
                <w:color w:val="000000"/>
                <w:szCs w:val="20"/>
              </w:rPr>
              <w:t>ED│Data) = 0.9995</w:t>
            </w:r>
            <w:r>
              <w:rPr>
                <w:rFonts w:ascii="Calibri" w:hAnsi="Calibri" w:cs="Calibri"/>
                <w:color w:val="000000"/>
                <w:szCs w:val="20"/>
              </w:rPr>
              <w:t>.</w:t>
            </w:r>
            <w:r w:rsidRPr="00494789">
              <w:rPr>
                <w:rFonts w:ascii="Calibri" w:hAnsi="Calibri" w:cs="Calibri"/>
                <w:color w:val="000000"/>
                <w:szCs w:val="20"/>
              </w:rPr>
              <w:t xml:space="preserve"> </w:t>
            </w:r>
          </w:p>
          <w:p w14:paraId="0062F03E" w14:textId="77777777" w:rsidR="00B80B9A" w:rsidRPr="00494789" w:rsidRDefault="00B80B9A" w:rsidP="00B80B9A">
            <w:pPr>
              <w:pStyle w:val="ListParagraph"/>
              <w:numPr>
                <w:ilvl w:val="2"/>
                <w:numId w:val="91"/>
              </w:numPr>
              <w:spacing w:after="120"/>
              <w:ind w:left="107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494789">
              <w:rPr>
                <w:rFonts w:ascii="Calibri" w:hAnsi="Calibri" w:cs="Calibri"/>
                <w:color w:val="000000"/>
                <w:szCs w:val="20"/>
              </w:rPr>
              <w:t>800 mg</w:t>
            </w:r>
            <w:r>
              <w:rPr>
                <w:rFonts w:ascii="Calibri" w:hAnsi="Calibri" w:cs="Calibri"/>
                <w:color w:val="000000"/>
                <w:szCs w:val="20"/>
              </w:rPr>
              <w:t xml:space="preserve"> CBD group: Pr (</w:t>
            </w:r>
            <w:r w:rsidRPr="00494789">
              <w:rPr>
                <w:rFonts w:ascii="Calibri" w:hAnsi="Calibri" w:cs="Calibri"/>
                <w:color w:val="000000"/>
                <w:szCs w:val="20"/>
              </w:rPr>
              <w:t xml:space="preserve">MED│Data) = 0.9965. </w:t>
            </w:r>
          </w:p>
          <w:p w14:paraId="6EA718DE" w14:textId="77777777" w:rsidR="00B80B9A" w:rsidRDefault="00B80B9A" w:rsidP="00B80B9A">
            <w:pPr>
              <w:pStyle w:val="ListParagraph"/>
              <w:numPr>
                <w:ilvl w:val="1"/>
                <w:numId w:val="91"/>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Cannabis abstinence (</w:t>
            </w:r>
            <w:r w:rsidRPr="0043101D">
              <w:rPr>
                <w:rFonts w:ascii="Calibri" w:hAnsi="Calibri" w:cs="Calibri"/>
                <w:color w:val="000000"/>
                <w:szCs w:val="20"/>
              </w:rPr>
              <w:t>days per week</w:t>
            </w:r>
            <w:r>
              <w:rPr>
                <w:rFonts w:ascii="Calibri" w:hAnsi="Calibri" w:cs="Calibri"/>
                <w:color w:val="000000"/>
                <w:szCs w:val="20"/>
              </w:rPr>
              <w:t>; self-report):</w:t>
            </w:r>
          </w:p>
          <w:p w14:paraId="1B71EC25" w14:textId="77777777" w:rsidR="00B80B9A" w:rsidRDefault="00B80B9A" w:rsidP="00B80B9A">
            <w:pPr>
              <w:pStyle w:val="ListParagraph"/>
              <w:numPr>
                <w:ilvl w:val="2"/>
                <w:numId w:val="91"/>
              </w:numPr>
              <w:spacing w:after="120"/>
              <w:ind w:left="1077"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43101D">
              <w:rPr>
                <w:rFonts w:ascii="Calibri" w:hAnsi="Calibri" w:cs="Calibri"/>
                <w:color w:val="000000"/>
                <w:szCs w:val="20"/>
              </w:rPr>
              <w:t>400</w:t>
            </w:r>
            <w:r>
              <w:rPr>
                <w:rFonts w:ascii="Calibri" w:hAnsi="Calibri" w:cs="Calibri"/>
                <w:color w:val="000000"/>
                <w:szCs w:val="20"/>
              </w:rPr>
              <w:t xml:space="preserve"> </w:t>
            </w:r>
            <w:r w:rsidRPr="0043101D">
              <w:rPr>
                <w:rFonts w:ascii="Calibri" w:hAnsi="Calibri" w:cs="Calibri"/>
                <w:color w:val="000000"/>
                <w:szCs w:val="20"/>
              </w:rPr>
              <w:t>mg</w:t>
            </w:r>
            <w:r>
              <w:rPr>
                <w:rFonts w:ascii="Calibri" w:hAnsi="Calibri" w:cs="Calibri"/>
                <w:color w:val="000000"/>
                <w:szCs w:val="20"/>
              </w:rPr>
              <w:t xml:space="preserve"> CBD group: Pr (</w:t>
            </w:r>
            <w:r w:rsidRPr="0043101D">
              <w:rPr>
                <w:rFonts w:ascii="Calibri" w:hAnsi="Calibri" w:cs="Calibri"/>
                <w:color w:val="000000"/>
                <w:szCs w:val="20"/>
              </w:rPr>
              <w:t>MED│Data) = 0.9966</w:t>
            </w:r>
            <w:r>
              <w:rPr>
                <w:rFonts w:ascii="Calibri" w:hAnsi="Calibri" w:cs="Calibri"/>
                <w:color w:val="000000"/>
                <w:szCs w:val="20"/>
              </w:rPr>
              <w:t>.</w:t>
            </w:r>
            <w:r w:rsidRPr="0043101D">
              <w:rPr>
                <w:rFonts w:ascii="Calibri" w:hAnsi="Calibri" w:cs="Calibri"/>
                <w:color w:val="000000"/>
                <w:szCs w:val="20"/>
              </w:rPr>
              <w:t xml:space="preserve"> </w:t>
            </w:r>
          </w:p>
          <w:p w14:paraId="7C7D1417" w14:textId="77777777" w:rsidR="00B80B9A" w:rsidRPr="0043101D" w:rsidRDefault="00B80B9A" w:rsidP="00B80B9A">
            <w:pPr>
              <w:pStyle w:val="ListParagraph"/>
              <w:numPr>
                <w:ilvl w:val="2"/>
                <w:numId w:val="91"/>
              </w:numPr>
              <w:spacing w:after="120"/>
              <w:ind w:left="1077"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 xml:space="preserve">800 mg CBD group: </w:t>
            </w:r>
            <w:r w:rsidRPr="0043101D">
              <w:rPr>
                <w:rFonts w:ascii="Calibri" w:hAnsi="Calibri" w:cs="Calibri"/>
                <w:color w:val="000000"/>
                <w:szCs w:val="20"/>
              </w:rPr>
              <w:t>Pr</w:t>
            </w:r>
            <w:r>
              <w:rPr>
                <w:rFonts w:ascii="Calibri" w:hAnsi="Calibri" w:cs="Calibri"/>
                <w:color w:val="000000"/>
                <w:szCs w:val="20"/>
              </w:rPr>
              <w:t xml:space="preserve"> </w:t>
            </w:r>
            <w:r w:rsidRPr="0043101D">
              <w:rPr>
                <w:rFonts w:ascii="Calibri" w:hAnsi="Calibri" w:cs="Calibri"/>
                <w:color w:val="000000"/>
                <w:szCs w:val="20"/>
              </w:rPr>
              <w:t>(MED│Data) =</w:t>
            </w:r>
            <w:r>
              <w:rPr>
                <w:rFonts w:ascii="Calibri" w:hAnsi="Calibri" w:cs="Calibri"/>
                <w:color w:val="000000"/>
                <w:szCs w:val="20"/>
              </w:rPr>
              <w:t xml:space="preserve"> </w:t>
            </w:r>
            <w:r w:rsidRPr="0043101D">
              <w:rPr>
                <w:rFonts w:ascii="Calibri" w:hAnsi="Calibri" w:cs="Calibri"/>
                <w:color w:val="000000"/>
                <w:szCs w:val="20"/>
              </w:rPr>
              <w:t xml:space="preserve">0.9247. </w:t>
            </w:r>
          </w:p>
          <w:p w14:paraId="6578AF96" w14:textId="181A3915" w:rsidR="00B80B9A" w:rsidRPr="00551222" w:rsidRDefault="00B80B9A" w:rsidP="00B80B9A">
            <w:pPr>
              <w:pStyle w:val="ListParagraph"/>
              <w:numPr>
                <w:ilvl w:val="0"/>
                <w:numId w:val="91"/>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551222">
              <w:rPr>
                <w:rFonts w:cstheme="minorHAnsi"/>
                <w:color w:val="000000"/>
                <w:szCs w:val="20"/>
              </w:rPr>
              <w:t>Compared to placebo, 400</w:t>
            </w:r>
            <w:r>
              <w:rPr>
                <w:rFonts w:cstheme="minorHAnsi"/>
                <w:color w:val="000000"/>
                <w:szCs w:val="20"/>
              </w:rPr>
              <w:t xml:space="preserve"> </w:t>
            </w:r>
            <w:r w:rsidRPr="00551222">
              <w:rPr>
                <w:rFonts w:cstheme="minorHAnsi"/>
                <w:color w:val="000000"/>
                <w:szCs w:val="20"/>
              </w:rPr>
              <w:t xml:space="preserve">mg CBD </w:t>
            </w:r>
            <w:r w:rsidRPr="00551222">
              <w:rPr>
                <w:rFonts w:ascii="Calibri" w:hAnsi="Calibri" w:cs="Calibri"/>
                <w:color w:val="000000"/>
                <w:szCs w:val="20"/>
              </w:rPr>
              <w:t>decreased urinary THC-COOH:creatinine concentrations by -94.21 ng/ml (95%</w:t>
            </w:r>
            <w:r>
              <w:rPr>
                <w:rFonts w:ascii="Calibri" w:hAnsi="Calibri" w:cs="Calibri"/>
                <w:color w:val="000000"/>
                <w:szCs w:val="20"/>
              </w:rPr>
              <w:t xml:space="preserve"> CI</w:t>
            </w:r>
            <w:r w:rsidRPr="00551222">
              <w:rPr>
                <w:rFonts w:ascii="Calibri" w:hAnsi="Calibri" w:cs="Calibri"/>
                <w:color w:val="000000"/>
                <w:szCs w:val="20"/>
              </w:rPr>
              <w:t xml:space="preserve"> = -161.83 to -35.56) and</w:t>
            </w:r>
            <w:r>
              <w:rPr>
                <w:rFonts w:ascii="Calibri" w:hAnsi="Calibri" w:cs="Calibri"/>
                <w:color w:val="000000"/>
                <w:szCs w:val="20"/>
              </w:rPr>
              <w:t xml:space="preserve"> </w:t>
            </w:r>
            <w:r w:rsidRPr="00551222">
              <w:rPr>
                <w:rFonts w:ascii="Calibri" w:hAnsi="Calibri" w:cs="Calibri"/>
                <w:color w:val="000000"/>
                <w:szCs w:val="20"/>
              </w:rPr>
              <w:t>increased cannabis</w:t>
            </w:r>
            <w:r w:rsidR="00D7706F">
              <w:rPr>
                <w:rFonts w:ascii="Calibri" w:hAnsi="Calibri" w:cs="Calibri"/>
                <w:color w:val="000000"/>
                <w:szCs w:val="20"/>
              </w:rPr>
              <w:t xml:space="preserve"> abstinence</w:t>
            </w:r>
            <w:r w:rsidRPr="00551222">
              <w:rPr>
                <w:rFonts w:ascii="Calibri" w:hAnsi="Calibri" w:cs="Calibri"/>
                <w:color w:val="000000"/>
                <w:szCs w:val="20"/>
              </w:rPr>
              <w:t xml:space="preserve"> by 0.48 days per week (95% </w:t>
            </w:r>
            <w:r>
              <w:rPr>
                <w:rFonts w:ascii="Calibri" w:hAnsi="Calibri" w:cs="Calibri"/>
                <w:color w:val="000000"/>
                <w:szCs w:val="20"/>
              </w:rPr>
              <w:t>CI</w:t>
            </w:r>
            <w:r w:rsidRPr="00551222">
              <w:rPr>
                <w:rFonts w:ascii="Calibri" w:hAnsi="Calibri" w:cs="Calibri"/>
                <w:color w:val="000000"/>
                <w:szCs w:val="20"/>
              </w:rPr>
              <w:t xml:space="preserve"> = 0.15</w:t>
            </w:r>
            <w:r w:rsidR="00715AB5">
              <w:rPr>
                <w:rFonts w:ascii="Calibri" w:hAnsi="Calibri" w:cs="Calibri"/>
                <w:color w:val="000000"/>
                <w:szCs w:val="20"/>
              </w:rPr>
              <w:t xml:space="preserve"> to</w:t>
            </w:r>
            <w:r w:rsidRPr="00551222">
              <w:rPr>
                <w:rFonts w:ascii="Calibri" w:hAnsi="Calibri" w:cs="Calibri"/>
                <w:color w:val="000000"/>
                <w:szCs w:val="20"/>
              </w:rPr>
              <w:t xml:space="preserve"> 0.82).</w:t>
            </w:r>
          </w:p>
          <w:p w14:paraId="61F509CC" w14:textId="3DC8F30C" w:rsidR="00B80B9A" w:rsidRPr="008B7413" w:rsidRDefault="00B80B9A" w:rsidP="00B80B9A">
            <w:pPr>
              <w:pStyle w:val="ListParagraph"/>
              <w:numPr>
                <w:ilvl w:val="0"/>
                <w:numId w:val="91"/>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175BA6">
              <w:rPr>
                <w:rFonts w:ascii="Calibri" w:hAnsi="Calibri" w:cs="Calibri"/>
                <w:color w:val="000000"/>
                <w:szCs w:val="20"/>
              </w:rPr>
              <w:t>Compared to placebo, 800</w:t>
            </w:r>
            <w:r>
              <w:rPr>
                <w:rFonts w:ascii="Calibri" w:hAnsi="Calibri" w:cs="Calibri"/>
                <w:color w:val="000000"/>
                <w:szCs w:val="20"/>
              </w:rPr>
              <w:t xml:space="preserve"> </w:t>
            </w:r>
            <w:r w:rsidRPr="00175BA6">
              <w:rPr>
                <w:rFonts w:ascii="Calibri" w:hAnsi="Calibri" w:cs="Calibri"/>
                <w:color w:val="000000"/>
                <w:szCs w:val="20"/>
              </w:rPr>
              <w:t xml:space="preserve">mg CBD </w:t>
            </w:r>
            <w:r w:rsidRPr="00175BA6">
              <w:rPr>
                <w:rFonts w:cstheme="minorHAnsi"/>
                <w:color w:val="000000"/>
                <w:szCs w:val="20"/>
              </w:rPr>
              <w:t xml:space="preserve">decreased </w:t>
            </w:r>
            <w:r>
              <w:rPr>
                <w:rFonts w:cstheme="minorHAnsi"/>
                <w:color w:val="000000"/>
                <w:szCs w:val="20"/>
              </w:rPr>
              <w:t xml:space="preserve">urinary </w:t>
            </w:r>
            <w:r w:rsidRPr="00175BA6">
              <w:rPr>
                <w:rFonts w:cstheme="minorHAnsi"/>
                <w:color w:val="000000"/>
                <w:szCs w:val="20"/>
              </w:rPr>
              <w:t xml:space="preserve">THC-COOH:creatinine concentrations by -72.02 ng/ml (95% </w:t>
            </w:r>
            <w:r>
              <w:rPr>
                <w:rFonts w:cstheme="minorHAnsi"/>
                <w:color w:val="000000"/>
                <w:szCs w:val="20"/>
              </w:rPr>
              <w:t>CI</w:t>
            </w:r>
            <w:r w:rsidRPr="00175BA6">
              <w:rPr>
                <w:rFonts w:cstheme="minorHAnsi"/>
                <w:color w:val="000000"/>
                <w:szCs w:val="20"/>
              </w:rPr>
              <w:t xml:space="preserve"> = -135.47 to -19.52) and</w:t>
            </w:r>
            <w:r>
              <w:rPr>
                <w:rFonts w:cstheme="minorHAnsi"/>
                <w:color w:val="000000"/>
                <w:szCs w:val="20"/>
              </w:rPr>
              <w:t xml:space="preserve"> </w:t>
            </w:r>
            <w:r w:rsidRPr="00175BA6">
              <w:rPr>
                <w:rFonts w:cstheme="minorHAnsi"/>
                <w:color w:val="000000"/>
                <w:szCs w:val="20"/>
              </w:rPr>
              <w:t xml:space="preserve">increased cannabis </w:t>
            </w:r>
            <w:r w:rsidR="00D7706F">
              <w:rPr>
                <w:rFonts w:cstheme="minorHAnsi"/>
                <w:color w:val="000000"/>
                <w:szCs w:val="20"/>
              </w:rPr>
              <w:t>abstinence b</w:t>
            </w:r>
            <w:r w:rsidRPr="00175BA6">
              <w:rPr>
                <w:rFonts w:cstheme="minorHAnsi"/>
                <w:color w:val="000000"/>
                <w:szCs w:val="20"/>
              </w:rPr>
              <w:t xml:space="preserve">y 0.27 days per week (95% </w:t>
            </w:r>
            <w:r>
              <w:rPr>
                <w:rFonts w:cstheme="minorHAnsi"/>
                <w:color w:val="000000"/>
                <w:szCs w:val="20"/>
              </w:rPr>
              <w:t xml:space="preserve">CI </w:t>
            </w:r>
            <w:r w:rsidRPr="00175BA6">
              <w:rPr>
                <w:rFonts w:cstheme="minorHAnsi"/>
                <w:color w:val="000000"/>
                <w:szCs w:val="20"/>
              </w:rPr>
              <w:t>= -0.09</w:t>
            </w:r>
            <w:r>
              <w:rPr>
                <w:rFonts w:cstheme="minorHAnsi"/>
                <w:color w:val="000000"/>
                <w:szCs w:val="20"/>
              </w:rPr>
              <w:t xml:space="preserve"> to</w:t>
            </w:r>
            <w:r w:rsidRPr="00175BA6">
              <w:rPr>
                <w:rFonts w:cstheme="minorHAnsi"/>
                <w:color w:val="000000"/>
                <w:szCs w:val="20"/>
              </w:rPr>
              <w:t xml:space="preserve"> 0.64).</w:t>
            </w:r>
          </w:p>
        </w:tc>
      </w:tr>
      <w:tr w:rsidR="00B80B9A" w:rsidRPr="002F020F" w14:paraId="77231A52"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5D93550" w14:textId="77777777" w:rsidR="00B80B9A" w:rsidRPr="002F020F" w:rsidRDefault="00B80B9A" w:rsidP="004361E5">
            <w:r w:rsidRPr="002F020F">
              <w:t>Safety and Adverse Events</w:t>
            </w:r>
          </w:p>
        </w:tc>
        <w:tc>
          <w:tcPr>
            <w:tcW w:w="3884" w:type="pct"/>
          </w:tcPr>
          <w:p w14:paraId="28DF4589" w14:textId="77777777" w:rsidR="00B80B9A" w:rsidRPr="008B7413" w:rsidRDefault="00B80B9A" w:rsidP="00B80B9A">
            <w:pPr>
              <w:pStyle w:val="ListParagraph"/>
              <w:numPr>
                <w:ilvl w:val="0"/>
                <w:numId w:val="81"/>
              </w:numPr>
              <w:spacing w:after="120"/>
              <w:ind w:left="36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2122D">
              <w:rPr>
                <w:rFonts w:cstheme="minorHAnsi"/>
                <w:color w:val="000000"/>
                <w:szCs w:val="20"/>
              </w:rPr>
              <w:t>CBD was well tolerated with no severe adverse events</w:t>
            </w:r>
            <w:r>
              <w:rPr>
                <w:rFonts w:cstheme="minorHAnsi"/>
                <w:color w:val="000000"/>
                <w:szCs w:val="20"/>
              </w:rPr>
              <w:t>.</w:t>
            </w:r>
          </w:p>
          <w:p w14:paraId="187B5BD5" w14:textId="77777777" w:rsidR="00B80B9A" w:rsidRPr="00CE70E1" w:rsidRDefault="00B80B9A" w:rsidP="00B80B9A">
            <w:pPr>
              <w:pStyle w:val="ListParagraph"/>
              <w:numPr>
                <w:ilvl w:val="0"/>
                <w:numId w:val="81"/>
              </w:numPr>
              <w:spacing w:after="120"/>
              <w:ind w:left="36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CE70E1">
              <w:rPr>
                <w:rFonts w:ascii="Calibri" w:hAnsi="Calibri" w:cs="Calibri"/>
                <w:color w:val="000000"/>
                <w:szCs w:val="20"/>
              </w:rPr>
              <w:t>Mild adverse events (does not interfere with the participant’s daily routine and does not require intervention; causes slight discomfort): 65 in placebo group; 42 in 200 mg group; 96 in the 400 mg group; 78 in 800 mg group. The number of mild adverse events did not differ between placebo and:</w:t>
            </w:r>
          </w:p>
          <w:p w14:paraId="4F7EC3A8" w14:textId="77777777" w:rsidR="00B80B9A" w:rsidRPr="00E51B8B" w:rsidRDefault="00B80B9A" w:rsidP="00B80B9A">
            <w:pPr>
              <w:pStyle w:val="ListParagraph"/>
              <w:numPr>
                <w:ilvl w:val="1"/>
                <w:numId w:val="81"/>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E51B8B">
              <w:rPr>
                <w:rFonts w:ascii="Calibri" w:hAnsi="Calibri" w:cs="Calibri"/>
                <w:color w:val="000000"/>
                <w:szCs w:val="20"/>
              </w:rPr>
              <w:t>200</w:t>
            </w:r>
            <w:r>
              <w:rPr>
                <w:rFonts w:ascii="Calibri" w:hAnsi="Calibri" w:cs="Calibri"/>
                <w:color w:val="000000"/>
                <w:szCs w:val="20"/>
              </w:rPr>
              <w:t xml:space="preserve"> </w:t>
            </w:r>
            <w:r w:rsidRPr="00E51B8B">
              <w:rPr>
                <w:rFonts w:ascii="Calibri" w:hAnsi="Calibri" w:cs="Calibri"/>
                <w:color w:val="000000"/>
                <w:szCs w:val="20"/>
              </w:rPr>
              <w:t>mg CBD (R</w:t>
            </w:r>
            <w:r>
              <w:rPr>
                <w:rFonts w:ascii="Calibri" w:hAnsi="Calibri" w:cs="Calibri"/>
                <w:color w:val="000000"/>
                <w:szCs w:val="20"/>
              </w:rPr>
              <w:t xml:space="preserve">R </w:t>
            </w:r>
            <w:r w:rsidRPr="00E51B8B">
              <w:rPr>
                <w:rFonts w:ascii="Calibri" w:hAnsi="Calibri" w:cs="Calibri"/>
                <w:color w:val="000000"/>
                <w:szCs w:val="20"/>
              </w:rPr>
              <w:t>=</w:t>
            </w:r>
            <w:r>
              <w:rPr>
                <w:rFonts w:ascii="Calibri" w:hAnsi="Calibri" w:cs="Calibri"/>
                <w:color w:val="000000"/>
                <w:szCs w:val="20"/>
              </w:rPr>
              <w:t xml:space="preserve"> </w:t>
            </w:r>
            <w:r w:rsidRPr="00E51B8B">
              <w:rPr>
                <w:rFonts w:ascii="Calibri" w:hAnsi="Calibri" w:cs="Calibri"/>
                <w:color w:val="000000"/>
                <w:szCs w:val="20"/>
              </w:rPr>
              <w:t>1.24</w:t>
            </w:r>
            <w:r>
              <w:rPr>
                <w:rFonts w:ascii="Calibri" w:hAnsi="Calibri" w:cs="Calibri"/>
                <w:color w:val="000000"/>
                <w:szCs w:val="20"/>
              </w:rPr>
              <w:t>;</w:t>
            </w:r>
            <w:r w:rsidRPr="00E51B8B">
              <w:rPr>
                <w:rFonts w:ascii="Calibri" w:hAnsi="Calibri" w:cs="Calibri"/>
                <w:color w:val="000000"/>
                <w:szCs w:val="20"/>
              </w:rPr>
              <w:t xml:space="preserve"> 95% </w:t>
            </w:r>
            <w:r>
              <w:rPr>
                <w:rFonts w:ascii="Calibri" w:hAnsi="Calibri" w:cs="Calibri"/>
                <w:color w:val="000000"/>
                <w:szCs w:val="20"/>
              </w:rPr>
              <w:t>C</w:t>
            </w:r>
            <w:r w:rsidRPr="00E51B8B">
              <w:rPr>
                <w:rFonts w:ascii="Calibri" w:hAnsi="Calibri" w:cs="Calibri"/>
                <w:color w:val="000000"/>
                <w:szCs w:val="20"/>
              </w:rPr>
              <w:t>I</w:t>
            </w:r>
            <w:r>
              <w:rPr>
                <w:rFonts w:ascii="Calibri" w:hAnsi="Calibri" w:cs="Calibri"/>
                <w:color w:val="000000"/>
                <w:szCs w:val="20"/>
              </w:rPr>
              <w:t xml:space="preserve"> </w:t>
            </w:r>
            <w:r w:rsidRPr="00E51B8B">
              <w:rPr>
                <w:rFonts w:ascii="Calibri" w:hAnsi="Calibri" w:cs="Calibri"/>
                <w:color w:val="000000"/>
                <w:szCs w:val="20"/>
              </w:rPr>
              <w:t>=</w:t>
            </w:r>
            <w:r>
              <w:rPr>
                <w:rFonts w:ascii="Calibri" w:hAnsi="Calibri" w:cs="Calibri"/>
                <w:color w:val="000000"/>
                <w:szCs w:val="20"/>
              </w:rPr>
              <w:t xml:space="preserve"> </w:t>
            </w:r>
            <w:r w:rsidRPr="00E51B8B">
              <w:rPr>
                <w:rFonts w:ascii="Calibri" w:hAnsi="Calibri" w:cs="Calibri"/>
                <w:color w:val="000000"/>
                <w:szCs w:val="20"/>
              </w:rPr>
              <w:t>0.73</w:t>
            </w:r>
            <w:r>
              <w:rPr>
                <w:rFonts w:ascii="Calibri" w:hAnsi="Calibri" w:cs="Calibri"/>
                <w:color w:val="000000"/>
                <w:szCs w:val="20"/>
              </w:rPr>
              <w:t xml:space="preserve"> to</w:t>
            </w:r>
            <w:r w:rsidRPr="00E51B8B">
              <w:rPr>
                <w:rFonts w:ascii="Calibri" w:hAnsi="Calibri" w:cs="Calibri"/>
                <w:color w:val="000000"/>
                <w:szCs w:val="20"/>
              </w:rPr>
              <w:t xml:space="preserve"> 2.09)</w:t>
            </w:r>
            <w:r>
              <w:rPr>
                <w:rFonts w:ascii="Calibri" w:hAnsi="Calibri" w:cs="Calibri"/>
                <w:color w:val="000000"/>
                <w:szCs w:val="20"/>
              </w:rPr>
              <w:t>.</w:t>
            </w:r>
            <w:r w:rsidRPr="00E51B8B">
              <w:rPr>
                <w:rFonts w:ascii="Calibri" w:hAnsi="Calibri" w:cs="Calibri"/>
                <w:color w:val="000000"/>
                <w:szCs w:val="20"/>
              </w:rPr>
              <w:t xml:space="preserve"> </w:t>
            </w:r>
          </w:p>
          <w:p w14:paraId="4D24F699" w14:textId="77777777" w:rsidR="00B80B9A" w:rsidRPr="00E51B8B" w:rsidRDefault="00B80B9A" w:rsidP="00B80B9A">
            <w:pPr>
              <w:pStyle w:val="ListParagraph"/>
              <w:numPr>
                <w:ilvl w:val="1"/>
                <w:numId w:val="81"/>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E51B8B">
              <w:rPr>
                <w:rFonts w:ascii="Calibri" w:hAnsi="Calibri" w:cs="Calibri"/>
                <w:color w:val="000000"/>
                <w:szCs w:val="20"/>
              </w:rPr>
              <w:t>400</w:t>
            </w:r>
            <w:r>
              <w:rPr>
                <w:rFonts w:ascii="Calibri" w:hAnsi="Calibri" w:cs="Calibri"/>
                <w:color w:val="000000"/>
                <w:szCs w:val="20"/>
              </w:rPr>
              <w:t xml:space="preserve"> </w:t>
            </w:r>
            <w:r w:rsidRPr="00E51B8B">
              <w:rPr>
                <w:rFonts w:ascii="Calibri" w:hAnsi="Calibri" w:cs="Calibri"/>
                <w:color w:val="000000"/>
                <w:szCs w:val="20"/>
              </w:rPr>
              <w:t>mg CBD (RR</w:t>
            </w:r>
            <w:r>
              <w:rPr>
                <w:rFonts w:ascii="Calibri" w:hAnsi="Calibri" w:cs="Calibri"/>
                <w:color w:val="000000"/>
                <w:szCs w:val="20"/>
              </w:rPr>
              <w:t xml:space="preserve"> </w:t>
            </w:r>
            <w:r w:rsidRPr="00E51B8B">
              <w:rPr>
                <w:rFonts w:ascii="Calibri" w:hAnsi="Calibri" w:cs="Calibri"/>
                <w:color w:val="000000"/>
                <w:szCs w:val="20"/>
              </w:rPr>
              <w:t>=</w:t>
            </w:r>
            <w:r>
              <w:rPr>
                <w:rFonts w:ascii="Calibri" w:hAnsi="Calibri" w:cs="Calibri"/>
                <w:color w:val="000000"/>
                <w:szCs w:val="20"/>
              </w:rPr>
              <w:t xml:space="preserve"> </w:t>
            </w:r>
            <w:r w:rsidRPr="00E51B8B">
              <w:rPr>
                <w:rFonts w:ascii="Calibri" w:hAnsi="Calibri" w:cs="Calibri"/>
                <w:color w:val="000000"/>
                <w:szCs w:val="20"/>
              </w:rPr>
              <w:t>1.39</w:t>
            </w:r>
            <w:r>
              <w:rPr>
                <w:rFonts w:ascii="Calibri" w:hAnsi="Calibri" w:cs="Calibri"/>
                <w:color w:val="000000"/>
                <w:szCs w:val="20"/>
              </w:rPr>
              <w:t>;</w:t>
            </w:r>
            <w:r w:rsidRPr="00E51B8B">
              <w:rPr>
                <w:rFonts w:ascii="Calibri" w:hAnsi="Calibri" w:cs="Calibri"/>
                <w:color w:val="000000"/>
                <w:szCs w:val="20"/>
              </w:rPr>
              <w:t xml:space="preserve"> 95% </w:t>
            </w:r>
            <w:r>
              <w:rPr>
                <w:rFonts w:ascii="Calibri" w:hAnsi="Calibri" w:cs="Calibri"/>
                <w:color w:val="000000"/>
                <w:szCs w:val="20"/>
              </w:rPr>
              <w:t xml:space="preserve">CI </w:t>
            </w:r>
            <w:r w:rsidRPr="00E51B8B">
              <w:rPr>
                <w:rFonts w:ascii="Calibri" w:hAnsi="Calibri" w:cs="Calibri"/>
                <w:color w:val="000000"/>
                <w:szCs w:val="20"/>
              </w:rPr>
              <w:t>=</w:t>
            </w:r>
            <w:r>
              <w:rPr>
                <w:rFonts w:ascii="Calibri" w:hAnsi="Calibri" w:cs="Calibri"/>
                <w:color w:val="000000"/>
                <w:szCs w:val="20"/>
              </w:rPr>
              <w:t xml:space="preserve"> </w:t>
            </w:r>
            <w:r w:rsidRPr="00E51B8B">
              <w:rPr>
                <w:rFonts w:ascii="Calibri" w:hAnsi="Calibri" w:cs="Calibri"/>
                <w:color w:val="000000"/>
                <w:szCs w:val="20"/>
              </w:rPr>
              <w:t>0.91</w:t>
            </w:r>
            <w:r>
              <w:rPr>
                <w:rFonts w:ascii="Calibri" w:hAnsi="Calibri" w:cs="Calibri"/>
                <w:color w:val="000000"/>
                <w:szCs w:val="20"/>
              </w:rPr>
              <w:t xml:space="preserve"> to</w:t>
            </w:r>
            <w:r w:rsidRPr="00E51B8B">
              <w:rPr>
                <w:rFonts w:ascii="Calibri" w:hAnsi="Calibri" w:cs="Calibri"/>
                <w:color w:val="000000"/>
                <w:szCs w:val="20"/>
              </w:rPr>
              <w:t xml:space="preserve"> 2.14)</w:t>
            </w:r>
            <w:r>
              <w:rPr>
                <w:rFonts w:ascii="Calibri" w:hAnsi="Calibri" w:cs="Calibri"/>
                <w:color w:val="000000"/>
                <w:szCs w:val="20"/>
              </w:rPr>
              <w:t>.</w:t>
            </w:r>
            <w:r w:rsidRPr="00E51B8B">
              <w:rPr>
                <w:rFonts w:ascii="Calibri" w:hAnsi="Calibri" w:cs="Calibri"/>
                <w:color w:val="000000"/>
                <w:szCs w:val="20"/>
              </w:rPr>
              <w:t xml:space="preserve"> </w:t>
            </w:r>
          </w:p>
          <w:p w14:paraId="1E151B02" w14:textId="77777777" w:rsidR="00B80B9A" w:rsidRPr="00391922" w:rsidRDefault="00B80B9A" w:rsidP="00B80B9A">
            <w:pPr>
              <w:pStyle w:val="ListParagraph"/>
              <w:numPr>
                <w:ilvl w:val="1"/>
                <w:numId w:val="81"/>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E51B8B">
              <w:rPr>
                <w:rFonts w:ascii="Calibri" w:hAnsi="Calibri" w:cs="Calibri"/>
                <w:color w:val="000000"/>
                <w:szCs w:val="20"/>
              </w:rPr>
              <w:t>800</w:t>
            </w:r>
            <w:r>
              <w:rPr>
                <w:rFonts w:ascii="Calibri" w:hAnsi="Calibri" w:cs="Calibri"/>
                <w:color w:val="000000"/>
                <w:szCs w:val="20"/>
              </w:rPr>
              <w:t xml:space="preserve"> </w:t>
            </w:r>
            <w:r w:rsidRPr="00E51B8B">
              <w:rPr>
                <w:rFonts w:ascii="Calibri" w:hAnsi="Calibri" w:cs="Calibri"/>
                <w:color w:val="000000"/>
                <w:szCs w:val="20"/>
              </w:rPr>
              <w:t>mg CBD (R</w:t>
            </w:r>
            <w:r>
              <w:rPr>
                <w:rFonts w:ascii="Calibri" w:hAnsi="Calibri" w:cs="Calibri"/>
                <w:color w:val="000000"/>
                <w:szCs w:val="20"/>
              </w:rPr>
              <w:t xml:space="preserve">R </w:t>
            </w:r>
            <w:r w:rsidRPr="00E51B8B">
              <w:rPr>
                <w:rFonts w:ascii="Calibri" w:hAnsi="Calibri" w:cs="Calibri"/>
                <w:color w:val="000000"/>
                <w:szCs w:val="20"/>
              </w:rPr>
              <w:t>=</w:t>
            </w:r>
            <w:r>
              <w:rPr>
                <w:rFonts w:ascii="Calibri" w:hAnsi="Calibri" w:cs="Calibri"/>
                <w:color w:val="000000"/>
                <w:szCs w:val="20"/>
              </w:rPr>
              <w:t xml:space="preserve"> </w:t>
            </w:r>
            <w:r w:rsidRPr="00E51B8B">
              <w:rPr>
                <w:rFonts w:ascii="Calibri" w:hAnsi="Calibri" w:cs="Calibri"/>
                <w:color w:val="000000"/>
                <w:szCs w:val="20"/>
              </w:rPr>
              <w:t>1.19</w:t>
            </w:r>
            <w:r>
              <w:rPr>
                <w:rFonts w:ascii="Calibri" w:hAnsi="Calibri" w:cs="Calibri"/>
                <w:color w:val="000000"/>
                <w:szCs w:val="20"/>
              </w:rPr>
              <w:t>;</w:t>
            </w:r>
            <w:r w:rsidRPr="00E51B8B">
              <w:rPr>
                <w:rFonts w:ascii="Calibri" w:hAnsi="Calibri" w:cs="Calibri"/>
                <w:color w:val="000000"/>
                <w:szCs w:val="20"/>
              </w:rPr>
              <w:t xml:space="preserve"> 95% </w:t>
            </w:r>
            <w:r>
              <w:rPr>
                <w:rFonts w:ascii="Calibri" w:hAnsi="Calibri" w:cs="Calibri"/>
                <w:color w:val="000000"/>
                <w:szCs w:val="20"/>
              </w:rPr>
              <w:t xml:space="preserve">CI </w:t>
            </w:r>
            <w:r w:rsidRPr="00E51B8B">
              <w:rPr>
                <w:rFonts w:ascii="Calibri" w:hAnsi="Calibri" w:cs="Calibri"/>
                <w:color w:val="000000"/>
                <w:szCs w:val="20"/>
              </w:rPr>
              <w:t>=</w:t>
            </w:r>
            <w:r>
              <w:rPr>
                <w:rFonts w:ascii="Calibri" w:hAnsi="Calibri" w:cs="Calibri"/>
                <w:color w:val="000000"/>
                <w:szCs w:val="20"/>
              </w:rPr>
              <w:t xml:space="preserve"> </w:t>
            </w:r>
            <w:r w:rsidRPr="00E51B8B">
              <w:rPr>
                <w:rFonts w:ascii="Calibri" w:hAnsi="Calibri" w:cs="Calibri"/>
                <w:color w:val="000000"/>
                <w:szCs w:val="20"/>
              </w:rPr>
              <w:t>0.77</w:t>
            </w:r>
            <w:r>
              <w:rPr>
                <w:rFonts w:ascii="Calibri" w:hAnsi="Calibri" w:cs="Calibri"/>
                <w:color w:val="000000"/>
                <w:szCs w:val="20"/>
              </w:rPr>
              <w:t xml:space="preserve"> to</w:t>
            </w:r>
            <w:r w:rsidRPr="00E51B8B">
              <w:rPr>
                <w:rFonts w:ascii="Calibri" w:hAnsi="Calibri" w:cs="Calibri"/>
                <w:color w:val="000000"/>
                <w:szCs w:val="20"/>
              </w:rPr>
              <w:t xml:space="preserve"> 1.86). </w:t>
            </w:r>
          </w:p>
          <w:p w14:paraId="2AB9E3E2" w14:textId="77777777" w:rsidR="00B80B9A" w:rsidRPr="00CE70E1" w:rsidRDefault="00B80B9A" w:rsidP="00B80B9A">
            <w:pPr>
              <w:pStyle w:val="ListParagraph"/>
              <w:numPr>
                <w:ilvl w:val="0"/>
                <w:numId w:val="81"/>
              </w:numPr>
              <w:spacing w:after="120"/>
              <w:ind w:left="36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CE70E1">
              <w:rPr>
                <w:rFonts w:ascii="Calibri" w:hAnsi="Calibri" w:cs="Calibri"/>
                <w:color w:val="000000"/>
                <w:szCs w:val="20"/>
              </w:rPr>
              <w:t>Moderate adverse events (interferes with some aspects of daily routine, or requires intervention, but is not damaging to health; causes moderate discomfort): 9 in placebo group; 4 in 200 mg group; 8 in 400 mg group; 8 in 800 mg group. The number of moderate adverse events did not differ between placebo and:</w:t>
            </w:r>
          </w:p>
          <w:p w14:paraId="38682BDF" w14:textId="77777777" w:rsidR="00B80B9A" w:rsidRPr="00E51B8B" w:rsidRDefault="00B80B9A" w:rsidP="00B80B9A">
            <w:pPr>
              <w:pStyle w:val="ListParagraph"/>
              <w:numPr>
                <w:ilvl w:val="1"/>
                <w:numId w:val="81"/>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E51B8B">
              <w:rPr>
                <w:rFonts w:ascii="Calibri" w:hAnsi="Calibri" w:cs="Calibri"/>
                <w:color w:val="000000"/>
                <w:szCs w:val="20"/>
              </w:rPr>
              <w:t>200</w:t>
            </w:r>
            <w:r>
              <w:rPr>
                <w:rFonts w:ascii="Calibri" w:hAnsi="Calibri" w:cs="Calibri"/>
                <w:color w:val="000000"/>
                <w:szCs w:val="20"/>
              </w:rPr>
              <w:t xml:space="preserve"> </w:t>
            </w:r>
            <w:r w:rsidRPr="00E51B8B">
              <w:rPr>
                <w:rFonts w:ascii="Calibri" w:hAnsi="Calibri" w:cs="Calibri"/>
                <w:color w:val="000000"/>
                <w:szCs w:val="20"/>
              </w:rPr>
              <w:t>mg CBD (R</w:t>
            </w:r>
            <w:r>
              <w:rPr>
                <w:rFonts w:ascii="Calibri" w:hAnsi="Calibri" w:cs="Calibri"/>
                <w:color w:val="000000"/>
                <w:szCs w:val="20"/>
              </w:rPr>
              <w:t xml:space="preserve">R </w:t>
            </w:r>
            <w:r w:rsidRPr="00E51B8B">
              <w:rPr>
                <w:rFonts w:ascii="Calibri" w:hAnsi="Calibri" w:cs="Calibri"/>
                <w:color w:val="000000"/>
                <w:szCs w:val="20"/>
              </w:rPr>
              <w:t>=</w:t>
            </w:r>
            <w:r>
              <w:rPr>
                <w:rFonts w:ascii="Calibri" w:hAnsi="Calibri" w:cs="Calibri"/>
                <w:color w:val="000000"/>
                <w:szCs w:val="20"/>
              </w:rPr>
              <w:t xml:space="preserve"> </w:t>
            </w:r>
            <w:r w:rsidRPr="00E51B8B">
              <w:rPr>
                <w:rFonts w:ascii="Calibri" w:hAnsi="Calibri" w:cs="Calibri"/>
                <w:color w:val="000000"/>
                <w:szCs w:val="20"/>
              </w:rPr>
              <w:t>0.85</w:t>
            </w:r>
            <w:r>
              <w:rPr>
                <w:rFonts w:ascii="Calibri" w:hAnsi="Calibri" w:cs="Calibri"/>
                <w:color w:val="000000"/>
                <w:szCs w:val="20"/>
              </w:rPr>
              <w:t>;</w:t>
            </w:r>
            <w:r w:rsidRPr="00E51B8B">
              <w:rPr>
                <w:rFonts w:ascii="Calibri" w:hAnsi="Calibri" w:cs="Calibri"/>
                <w:color w:val="000000"/>
                <w:szCs w:val="20"/>
              </w:rPr>
              <w:t xml:space="preserve"> 95% </w:t>
            </w:r>
            <w:r>
              <w:rPr>
                <w:rFonts w:ascii="Calibri" w:hAnsi="Calibri" w:cs="Calibri"/>
                <w:color w:val="000000"/>
                <w:szCs w:val="20"/>
              </w:rPr>
              <w:t xml:space="preserve">CI </w:t>
            </w:r>
            <w:r w:rsidRPr="00E51B8B">
              <w:rPr>
                <w:rFonts w:ascii="Calibri" w:hAnsi="Calibri" w:cs="Calibri"/>
                <w:color w:val="000000"/>
                <w:szCs w:val="20"/>
              </w:rPr>
              <w:t>=</w:t>
            </w:r>
            <w:r>
              <w:rPr>
                <w:rFonts w:ascii="Calibri" w:hAnsi="Calibri" w:cs="Calibri"/>
                <w:color w:val="000000"/>
                <w:szCs w:val="20"/>
              </w:rPr>
              <w:t xml:space="preserve"> </w:t>
            </w:r>
            <w:r w:rsidRPr="00E51B8B">
              <w:rPr>
                <w:rFonts w:ascii="Calibri" w:hAnsi="Calibri" w:cs="Calibri"/>
                <w:color w:val="000000"/>
                <w:szCs w:val="20"/>
              </w:rPr>
              <w:t>0.26</w:t>
            </w:r>
            <w:r>
              <w:rPr>
                <w:rFonts w:ascii="Calibri" w:hAnsi="Calibri" w:cs="Calibri"/>
                <w:color w:val="000000"/>
                <w:szCs w:val="20"/>
              </w:rPr>
              <w:t xml:space="preserve"> to</w:t>
            </w:r>
            <w:r w:rsidRPr="00E51B8B">
              <w:rPr>
                <w:rFonts w:ascii="Calibri" w:hAnsi="Calibri" w:cs="Calibri"/>
                <w:color w:val="000000"/>
                <w:szCs w:val="20"/>
              </w:rPr>
              <w:t xml:space="preserve"> 2.58)</w:t>
            </w:r>
            <w:r>
              <w:rPr>
                <w:rFonts w:ascii="Calibri" w:hAnsi="Calibri" w:cs="Calibri"/>
                <w:color w:val="000000"/>
                <w:szCs w:val="20"/>
              </w:rPr>
              <w:t>.</w:t>
            </w:r>
          </w:p>
          <w:p w14:paraId="0F67CA87" w14:textId="77777777" w:rsidR="00B80B9A" w:rsidRPr="00E51B8B" w:rsidRDefault="00B80B9A" w:rsidP="00B80B9A">
            <w:pPr>
              <w:pStyle w:val="ListParagraph"/>
              <w:numPr>
                <w:ilvl w:val="1"/>
                <w:numId w:val="81"/>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E51B8B">
              <w:rPr>
                <w:rFonts w:ascii="Calibri" w:hAnsi="Calibri" w:cs="Calibri"/>
                <w:color w:val="000000"/>
                <w:szCs w:val="20"/>
              </w:rPr>
              <w:t>400</w:t>
            </w:r>
            <w:r>
              <w:rPr>
                <w:rFonts w:ascii="Calibri" w:hAnsi="Calibri" w:cs="Calibri"/>
                <w:color w:val="000000"/>
                <w:szCs w:val="20"/>
              </w:rPr>
              <w:t xml:space="preserve"> </w:t>
            </w:r>
            <w:r w:rsidRPr="00E51B8B">
              <w:rPr>
                <w:rFonts w:ascii="Calibri" w:hAnsi="Calibri" w:cs="Calibri"/>
                <w:color w:val="000000"/>
                <w:szCs w:val="20"/>
              </w:rPr>
              <w:t>mg CBD (R</w:t>
            </w:r>
            <w:r>
              <w:rPr>
                <w:rFonts w:ascii="Calibri" w:hAnsi="Calibri" w:cs="Calibri"/>
                <w:color w:val="000000"/>
                <w:szCs w:val="20"/>
              </w:rPr>
              <w:t xml:space="preserve">R </w:t>
            </w:r>
            <w:r w:rsidRPr="00E51B8B">
              <w:rPr>
                <w:rFonts w:ascii="Calibri" w:hAnsi="Calibri" w:cs="Calibri"/>
                <w:color w:val="000000"/>
                <w:szCs w:val="20"/>
              </w:rPr>
              <w:t>=</w:t>
            </w:r>
            <w:r>
              <w:rPr>
                <w:rFonts w:ascii="Calibri" w:hAnsi="Calibri" w:cs="Calibri"/>
                <w:color w:val="000000"/>
                <w:szCs w:val="20"/>
              </w:rPr>
              <w:t xml:space="preserve"> </w:t>
            </w:r>
            <w:r w:rsidRPr="00E51B8B">
              <w:rPr>
                <w:rFonts w:ascii="Calibri" w:hAnsi="Calibri" w:cs="Calibri"/>
                <w:color w:val="000000"/>
                <w:szCs w:val="20"/>
              </w:rPr>
              <w:t>0.84</w:t>
            </w:r>
            <w:r>
              <w:rPr>
                <w:rFonts w:ascii="Calibri" w:hAnsi="Calibri" w:cs="Calibri"/>
                <w:color w:val="000000"/>
                <w:szCs w:val="20"/>
              </w:rPr>
              <w:t>;</w:t>
            </w:r>
            <w:r w:rsidRPr="00E51B8B">
              <w:rPr>
                <w:rFonts w:ascii="Calibri" w:hAnsi="Calibri" w:cs="Calibri"/>
                <w:color w:val="000000"/>
                <w:szCs w:val="20"/>
              </w:rPr>
              <w:t xml:space="preserve"> 95% </w:t>
            </w:r>
            <w:r>
              <w:rPr>
                <w:rFonts w:ascii="Calibri" w:hAnsi="Calibri" w:cs="Calibri"/>
                <w:color w:val="000000"/>
                <w:szCs w:val="20"/>
              </w:rPr>
              <w:t xml:space="preserve">CI </w:t>
            </w:r>
            <w:r w:rsidRPr="00E51B8B">
              <w:rPr>
                <w:rFonts w:ascii="Calibri" w:hAnsi="Calibri" w:cs="Calibri"/>
                <w:color w:val="000000"/>
                <w:szCs w:val="20"/>
              </w:rPr>
              <w:t>=</w:t>
            </w:r>
            <w:r>
              <w:rPr>
                <w:rFonts w:ascii="Calibri" w:hAnsi="Calibri" w:cs="Calibri"/>
                <w:color w:val="000000"/>
                <w:szCs w:val="20"/>
              </w:rPr>
              <w:t xml:space="preserve"> </w:t>
            </w:r>
            <w:r w:rsidRPr="00E51B8B">
              <w:rPr>
                <w:rFonts w:ascii="Calibri" w:hAnsi="Calibri" w:cs="Calibri"/>
                <w:color w:val="000000"/>
                <w:szCs w:val="20"/>
              </w:rPr>
              <w:t>0.35</w:t>
            </w:r>
            <w:r>
              <w:rPr>
                <w:rFonts w:ascii="Calibri" w:hAnsi="Calibri" w:cs="Calibri"/>
                <w:color w:val="000000"/>
                <w:szCs w:val="20"/>
              </w:rPr>
              <w:t xml:space="preserve"> to</w:t>
            </w:r>
            <w:r w:rsidRPr="00E51B8B">
              <w:rPr>
                <w:rFonts w:ascii="Calibri" w:hAnsi="Calibri" w:cs="Calibri"/>
                <w:color w:val="000000"/>
                <w:szCs w:val="20"/>
              </w:rPr>
              <w:t xml:space="preserve"> 2.24)</w:t>
            </w:r>
            <w:r>
              <w:rPr>
                <w:rFonts w:ascii="Calibri" w:hAnsi="Calibri" w:cs="Calibri"/>
                <w:color w:val="000000"/>
                <w:szCs w:val="20"/>
              </w:rPr>
              <w:t>.</w:t>
            </w:r>
            <w:r w:rsidRPr="00E51B8B">
              <w:rPr>
                <w:rFonts w:ascii="Calibri" w:hAnsi="Calibri" w:cs="Calibri"/>
                <w:color w:val="000000"/>
                <w:szCs w:val="20"/>
              </w:rPr>
              <w:t xml:space="preserve"> </w:t>
            </w:r>
          </w:p>
          <w:p w14:paraId="1BD15F95" w14:textId="77777777" w:rsidR="00B80B9A" w:rsidRPr="002F5ED7" w:rsidRDefault="00B80B9A" w:rsidP="00B80B9A">
            <w:pPr>
              <w:pStyle w:val="ListParagraph"/>
              <w:numPr>
                <w:ilvl w:val="1"/>
                <w:numId w:val="81"/>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E51B8B">
              <w:rPr>
                <w:rFonts w:ascii="Calibri" w:hAnsi="Calibri" w:cs="Calibri"/>
                <w:color w:val="000000"/>
                <w:szCs w:val="20"/>
              </w:rPr>
              <w:t>800</w:t>
            </w:r>
            <w:r>
              <w:rPr>
                <w:rFonts w:ascii="Calibri" w:hAnsi="Calibri" w:cs="Calibri"/>
                <w:color w:val="000000"/>
                <w:szCs w:val="20"/>
              </w:rPr>
              <w:t xml:space="preserve"> </w:t>
            </w:r>
            <w:r w:rsidRPr="00E51B8B">
              <w:rPr>
                <w:rFonts w:ascii="Calibri" w:hAnsi="Calibri" w:cs="Calibri"/>
                <w:color w:val="000000"/>
                <w:szCs w:val="20"/>
              </w:rPr>
              <w:t>mg CBD (R</w:t>
            </w:r>
            <w:r>
              <w:rPr>
                <w:rFonts w:ascii="Calibri" w:hAnsi="Calibri" w:cs="Calibri"/>
                <w:color w:val="000000"/>
                <w:szCs w:val="20"/>
              </w:rPr>
              <w:t xml:space="preserve">R </w:t>
            </w:r>
            <w:r w:rsidRPr="00E51B8B">
              <w:rPr>
                <w:rFonts w:ascii="Calibri" w:hAnsi="Calibri" w:cs="Calibri"/>
                <w:color w:val="000000"/>
                <w:szCs w:val="20"/>
              </w:rPr>
              <w:t>=</w:t>
            </w:r>
            <w:r>
              <w:rPr>
                <w:rFonts w:ascii="Calibri" w:hAnsi="Calibri" w:cs="Calibri"/>
                <w:color w:val="000000"/>
                <w:szCs w:val="20"/>
              </w:rPr>
              <w:t xml:space="preserve"> </w:t>
            </w:r>
            <w:r w:rsidRPr="00E51B8B">
              <w:rPr>
                <w:rFonts w:ascii="Calibri" w:hAnsi="Calibri" w:cs="Calibri"/>
                <w:color w:val="000000"/>
                <w:szCs w:val="20"/>
              </w:rPr>
              <w:t>0.89</w:t>
            </w:r>
            <w:r>
              <w:rPr>
                <w:rFonts w:ascii="Calibri" w:hAnsi="Calibri" w:cs="Calibri"/>
                <w:color w:val="000000"/>
                <w:szCs w:val="20"/>
              </w:rPr>
              <w:t>;</w:t>
            </w:r>
            <w:r w:rsidRPr="00E51B8B">
              <w:rPr>
                <w:rFonts w:ascii="Calibri" w:hAnsi="Calibri" w:cs="Calibri"/>
                <w:color w:val="000000"/>
                <w:szCs w:val="20"/>
              </w:rPr>
              <w:t xml:space="preserve"> 95% </w:t>
            </w:r>
            <w:r>
              <w:rPr>
                <w:rFonts w:ascii="Calibri" w:hAnsi="Calibri" w:cs="Calibri"/>
                <w:color w:val="000000"/>
                <w:szCs w:val="20"/>
              </w:rPr>
              <w:t xml:space="preserve">CI </w:t>
            </w:r>
            <w:r w:rsidRPr="00E51B8B">
              <w:rPr>
                <w:rFonts w:ascii="Calibri" w:hAnsi="Calibri" w:cs="Calibri"/>
                <w:color w:val="000000"/>
                <w:szCs w:val="20"/>
              </w:rPr>
              <w:t>=</w:t>
            </w:r>
            <w:r>
              <w:rPr>
                <w:rFonts w:ascii="Calibri" w:hAnsi="Calibri" w:cs="Calibri"/>
                <w:color w:val="000000"/>
                <w:szCs w:val="20"/>
              </w:rPr>
              <w:t xml:space="preserve"> </w:t>
            </w:r>
            <w:r w:rsidRPr="00E51B8B">
              <w:rPr>
                <w:rFonts w:ascii="Calibri" w:hAnsi="Calibri" w:cs="Calibri"/>
                <w:color w:val="000000"/>
                <w:szCs w:val="20"/>
              </w:rPr>
              <w:t>0.40</w:t>
            </w:r>
            <w:r>
              <w:rPr>
                <w:rFonts w:ascii="Calibri" w:hAnsi="Calibri" w:cs="Calibri"/>
                <w:color w:val="000000"/>
                <w:szCs w:val="20"/>
              </w:rPr>
              <w:t xml:space="preserve"> to</w:t>
            </w:r>
            <w:r w:rsidRPr="00E51B8B">
              <w:rPr>
                <w:rFonts w:ascii="Calibri" w:hAnsi="Calibri" w:cs="Calibri"/>
                <w:color w:val="000000"/>
                <w:szCs w:val="20"/>
              </w:rPr>
              <w:t xml:space="preserve"> 2.45)</w:t>
            </w:r>
            <w:r>
              <w:rPr>
                <w:rFonts w:ascii="Calibri" w:hAnsi="Calibri" w:cs="Calibri"/>
                <w:color w:val="000000"/>
                <w:szCs w:val="20"/>
              </w:rPr>
              <w:t>.</w:t>
            </w:r>
          </w:p>
          <w:p w14:paraId="4A4C95FE" w14:textId="77777777" w:rsidR="00B80B9A" w:rsidRPr="00D51B98" w:rsidRDefault="00B80B9A" w:rsidP="00B80B9A">
            <w:pPr>
              <w:pStyle w:val="ListParagraph"/>
              <w:numPr>
                <w:ilvl w:val="0"/>
                <w:numId w:val="81"/>
              </w:numPr>
              <w:spacing w:after="120"/>
              <w:ind w:left="36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D51B98">
              <w:rPr>
                <w:rFonts w:ascii="Calibri" w:hAnsi="Calibri" w:cs="Calibri"/>
                <w:color w:val="000000"/>
                <w:szCs w:val="20"/>
              </w:rPr>
              <w:t>Severe adverse events (results in alteration, discomfort or disability which is clearly damaging to health): None recorded across all groups.</w:t>
            </w:r>
          </w:p>
        </w:tc>
      </w:tr>
    </w:tbl>
    <w:p w14:paraId="18B5AEF5" w14:textId="77777777" w:rsidR="00B80B9A" w:rsidRDefault="00B80B9A" w:rsidP="00B80B9A"/>
    <w:p w14:paraId="0D05A787" w14:textId="528A0159" w:rsidR="00B80B9A" w:rsidRPr="00F9372F" w:rsidRDefault="00B80B9A" w:rsidP="00B80B9A">
      <w:pPr>
        <w:pStyle w:val="Heading2"/>
        <w:numPr>
          <w:ilvl w:val="0"/>
          <w:numId w:val="28"/>
        </w:numPr>
      </w:pPr>
      <w:bookmarkStart w:id="324" w:name="_Toc165018246"/>
      <w:r>
        <w:t xml:space="preserve">Natural </w:t>
      </w:r>
      <w:r w:rsidRPr="00F9372F">
        <w:t>Cannabi</w:t>
      </w:r>
      <w:r w:rsidR="000E38E5">
        <w:t>s Extract</w:t>
      </w:r>
      <w:r w:rsidRPr="00F9372F">
        <w:t xml:space="preserve"> </w:t>
      </w:r>
      <w:r>
        <w:t xml:space="preserve">(THC&amp;CBD) </w:t>
      </w:r>
      <w:r w:rsidRPr="00F9372F">
        <w:t>for Cannabis Use Disorder (CUD): Combined intervention</w:t>
      </w:r>
      <w:bookmarkEnd w:id="324"/>
    </w:p>
    <w:tbl>
      <w:tblPr>
        <w:tblStyle w:val="GridTable5Dark-Accent5"/>
        <w:tblW w:w="5000" w:type="pct"/>
        <w:tblLook w:val="04A0" w:firstRow="1" w:lastRow="0" w:firstColumn="1" w:lastColumn="0" w:noHBand="0" w:noVBand="1"/>
      </w:tblPr>
      <w:tblGrid>
        <w:gridCol w:w="2012"/>
        <w:gridCol w:w="7004"/>
      </w:tblGrid>
      <w:tr w:rsidR="00B80B9A" w:rsidRPr="002F020F" w14:paraId="3C0FE910" w14:textId="77777777" w:rsidTr="004F2F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2CF89433" w14:textId="77777777" w:rsidR="00B80B9A" w:rsidRPr="002F020F" w:rsidRDefault="00B80B9A" w:rsidP="004361E5">
            <w:r w:rsidRPr="002F020F">
              <w:t>Citation</w:t>
            </w:r>
          </w:p>
        </w:tc>
        <w:tc>
          <w:tcPr>
            <w:tcW w:w="3884" w:type="pct"/>
          </w:tcPr>
          <w:p w14:paraId="575A3E2B" w14:textId="77777777" w:rsidR="00B80B9A" w:rsidRPr="00084B5B" w:rsidRDefault="00B80B9A" w:rsidP="004361E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rPr>
            </w:pPr>
            <w:r w:rsidRPr="00084B5B">
              <w:rPr>
                <w:rFonts w:cstheme="minorHAnsi"/>
                <w:szCs w:val="20"/>
              </w:rPr>
              <w:t>Lintzeris et al. (2019)</w:t>
            </w:r>
          </w:p>
        </w:tc>
      </w:tr>
      <w:tr w:rsidR="00B80B9A" w:rsidRPr="002F020F" w14:paraId="194932C7"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496CE4CD" w14:textId="77777777" w:rsidR="00B80B9A" w:rsidRPr="002F020F" w:rsidRDefault="00B80B9A" w:rsidP="004361E5">
            <w:r w:rsidRPr="002F020F">
              <w:t>Study Design</w:t>
            </w:r>
          </w:p>
        </w:tc>
        <w:tc>
          <w:tcPr>
            <w:tcW w:w="3884" w:type="pct"/>
          </w:tcPr>
          <w:p w14:paraId="71926C14" w14:textId="77777777" w:rsidR="00B80B9A" w:rsidRPr="002F020F" w:rsidRDefault="00B80B9A" w:rsidP="00B80B9A">
            <w:pPr>
              <w:pStyle w:val="ListParagraph"/>
              <w:numPr>
                <w:ilvl w:val="0"/>
                <w:numId w:val="9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192E5D">
              <w:rPr>
                <w:rFonts w:cstheme="minorHAnsi"/>
                <w:szCs w:val="20"/>
              </w:rPr>
              <w:t xml:space="preserve">Double-blind, randomised, </w:t>
            </w:r>
            <w:r>
              <w:rPr>
                <w:rFonts w:cstheme="minorHAnsi"/>
                <w:szCs w:val="20"/>
              </w:rPr>
              <w:t>placebo-</w:t>
            </w:r>
            <w:r w:rsidRPr="00192E5D">
              <w:rPr>
                <w:rFonts w:cstheme="minorHAnsi"/>
                <w:szCs w:val="20"/>
              </w:rPr>
              <w:t>controlled</w:t>
            </w:r>
            <w:r>
              <w:rPr>
                <w:rFonts w:cstheme="minorHAnsi"/>
                <w:szCs w:val="20"/>
              </w:rPr>
              <w:t>,</w:t>
            </w:r>
            <w:r w:rsidRPr="00192E5D">
              <w:rPr>
                <w:rFonts w:cstheme="minorHAnsi"/>
                <w:szCs w:val="20"/>
              </w:rPr>
              <w:t xml:space="preserve"> </w:t>
            </w:r>
            <w:r>
              <w:rPr>
                <w:rFonts w:cstheme="minorHAnsi"/>
                <w:szCs w:val="20"/>
              </w:rPr>
              <w:t>trial.</w:t>
            </w:r>
          </w:p>
        </w:tc>
      </w:tr>
      <w:tr w:rsidR="00B80B9A" w:rsidRPr="002F020F" w14:paraId="1AE8F1D9"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282DCB58" w14:textId="77777777" w:rsidR="00B80B9A" w:rsidRPr="002F020F" w:rsidRDefault="00B80B9A" w:rsidP="004361E5">
            <w:r w:rsidRPr="002F020F">
              <w:t>Sample Size</w:t>
            </w:r>
          </w:p>
        </w:tc>
        <w:tc>
          <w:tcPr>
            <w:tcW w:w="3884" w:type="pct"/>
          </w:tcPr>
          <w:p w14:paraId="7FDEBAA5" w14:textId="77777777" w:rsidR="00B80B9A"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Pr>
                <w:szCs w:val="20"/>
              </w:rPr>
              <w:t>60 participants (per-protocol sample).</w:t>
            </w:r>
          </w:p>
          <w:p w14:paraId="1EAB3751" w14:textId="77777777" w:rsidR="00B80B9A"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Pr>
                <w:szCs w:val="20"/>
              </w:rPr>
              <w:t>137 participants enrolled.</w:t>
            </w:r>
          </w:p>
          <w:p w14:paraId="2975DD24" w14:textId="77777777" w:rsidR="00B80B9A"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Pr>
                <w:szCs w:val="20"/>
              </w:rPr>
              <w:t>Nabiximols group: 64 participants randomised and 34 participants excluded for various reasons prior to the end of the 12-week trial protocol.</w:t>
            </w:r>
          </w:p>
          <w:p w14:paraId="29B18931" w14:textId="77777777" w:rsidR="00B80B9A" w:rsidRPr="004E747B"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Pr>
                <w:szCs w:val="20"/>
              </w:rPr>
              <w:lastRenderedPageBreak/>
              <w:t>Placebo group: 73 participants randomised and 43 participants excluded for various reasons prior to the end of the 12-week trial protocol.</w:t>
            </w:r>
          </w:p>
        </w:tc>
      </w:tr>
      <w:tr w:rsidR="00B80B9A" w:rsidRPr="002F020F" w14:paraId="4BDEA14C"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592CB86" w14:textId="77777777" w:rsidR="00B80B9A" w:rsidRPr="0094024F" w:rsidRDefault="00B80B9A" w:rsidP="004361E5">
            <w:pPr>
              <w:rPr>
                <w:b w:val="0"/>
                <w:bCs w:val="0"/>
              </w:rPr>
            </w:pPr>
            <w:r w:rsidRPr="002F020F">
              <w:lastRenderedPageBreak/>
              <w:t>Population</w:t>
            </w:r>
          </w:p>
        </w:tc>
        <w:tc>
          <w:tcPr>
            <w:tcW w:w="3884" w:type="pct"/>
          </w:tcPr>
          <w:p w14:paraId="1B96CEA4" w14:textId="77777777" w:rsidR="00B80B9A" w:rsidRPr="00D61DEA"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61DEA">
              <w:rPr>
                <w:rFonts w:cstheme="minorHAnsi"/>
                <w:color w:val="000000"/>
                <w:szCs w:val="20"/>
              </w:rPr>
              <w:t>Australia</w:t>
            </w:r>
            <w:r>
              <w:rPr>
                <w:rFonts w:cstheme="minorHAnsi"/>
                <w:color w:val="000000"/>
                <w:szCs w:val="20"/>
              </w:rPr>
              <w:t>.</w:t>
            </w:r>
          </w:p>
          <w:p w14:paraId="03821FE8" w14:textId="77777777" w:rsidR="00B80B9A"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C</w:t>
            </w:r>
            <w:r w:rsidRPr="00D61DEA">
              <w:rPr>
                <w:rFonts w:cstheme="minorHAnsi"/>
                <w:color w:val="000000"/>
                <w:szCs w:val="20"/>
              </w:rPr>
              <w:t>annabis use disorder (ICD-10</w:t>
            </w:r>
            <w:r>
              <w:rPr>
                <w:rFonts w:cstheme="minorHAnsi"/>
                <w:color w:val="000000"/>
                <w:szCs w:val="20"/>
              </w:rPr>
              <w:t xml:space="preserve"> criteria</w:t>
            </w:r>
            <w:r w:rsidRPr="00D61DEA">
              <w:rPr>
                <w:rFonts w:cstheme="minorHAnsi"/>
                <w:color w:val="000000"/>
                <w:szCs w:val="20"/>
              </w:rPr>
              <w:t>)</w:t>
            </w:r>
            <w:r>
              <w:rPr>
                <w:rFonts w:cstheme="minorHAnsi"/>
                <w:color w:val="000000"/>
                <w:szCs w:val="20"/>
              </w:rPr>
              <w:t>.</w:t>
            </w:r>
          </w:p>
          <w:p w14:paraId="320EAED8" w14:textId="77777777" w:rsidR="00B80B9A" w:rsidRPr="00D61DEA"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Treatment seeking.</w:t>
            </w:r>
          </w:p>
          <w:p w14:paraId="78566AB5" w14:textId="77777777" w:rsidR="00B80B9A" w:rsidRPr="00D61DEA"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61DEA">
              <w:rPr>
                <w:rFonts w:cstheme="minorHAnsi"/>
                <w:color w:val="000000"/>
                <w:szCs w:val="20"/>
              </w:rPr>
              <w:t xml:space="preserve">I </w:t>
            </w:r>
            <w:r>
              <w:rPr>
                <w:rFonts w:cstheme="minorHAnsi"/>
                <w:color w:val="000000"/>
                <w:szCs w:val="20"/>
              </w:rPr>
              <w:t>(</w:t>
            </w:r>
            <w:r w:rsidRPr="00D61DEA">
              <w:rPr>
                <w:rFonts w:cstheme="minorHAnsi"/>
                <w:color w:val="000000"/>
                <w:szCs w:val="20"/>
              </w:rPr>
              <w:t>nabiximols</w:t>
            </w:r>
            <w:r>
              <w:rPr>
                <w:rFonts w:cstheme="minorHAnsi"/>
                <w:color w:val="000000"/>
                <w:szCs w:val="20"/>
              </w:rPr>
              <w:t>)</w:t>
            </w:r>
            <w:r w:rsidRPr="00D61DEA">
              <w:rPr>
                <w:rFonts w:cstheme="minorHAnsi"/>
                <w:color w:val="000000"/>
                <w:szCs w:val="20"/>
              </w:rPr>
              <w:t xml:space="preserve">: </w:t>
            </w:r>
            <w:r>
              <w:rPr>
                <w:rFonts w:cstheme="minorHAnsi"/>
                <w:color w:val="000000"/>
                <w:szCs w:val="20"/>
              </w:rPr>
              <w:t xml:space="preserve">M = </w:t>
            </w:r>
            <w:r w:rsidRPr="00D61DEA">
              <w:rPr>
                <w:rFonts w:cstheme="minorHAnsi"/>
                <w:color w:val="000000"/>
                <w:szCs w:val="20"/>
              </w:rPr>
              <w:t>36.2 years (</w:t>
            </w:r>
            <w:r>
              <w:rPr>
                <w:rFonts w:cstheme="minorHAnsi"/>
                <w:color w:val="000000"/>
                <w:szCs w:val="20"/>
              </w:rPr>
              <w:t xml:space="preserve">SD = </w:t>
            </w:r>
            <w:r w:rsidRPr="00D61DEA">
              <w:rPr>
                <w:rFonts w:cstheme="minorHAnsi"/>
                <w:color w:val="000000"/>
                <w:szCs w:val="20"/>
              </w:rPr>
              <w:t>11.5); 74% male</w:t>
            </w:r>
            <w:r>
              <w:rPr>
                <w:rFonts w:cstheme="minorHAnsi"/>
                <w:color w:val="000000"/>
                <w:szCs w:val="20"/>
              </w:rPr>
              <w:t>.</w:t>
            </w:r>
          </w:p>
          <w:p w14:paraId="2648A495" w14:textId="77777777" w:rsidR="00B80B9A" w:rsidRPr="002F020F"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pPr>
            <w:r w:rsidRPr="00803C50">
              <w:rPr>
                <w:rFonts w:cstheme="minorHAnsi"/>
                <w:color w:val="000000"/>
                <w:szCs w:val="20"/>
              </w:rPr>
              <w:t xml:space="preserve">C </w:t>
            </w:r>
            <w:r>
              <w:rPr>
                <w:rFonts w:cstheme="minorHAnsi"/>
                <w:color w:val="000000"/>
                <w:szCs w:val="20"/>
              </w:rPr>
              <w:t>(</w:t>
            </w:r>
            <w:r w:rsidRPr="00803C50">
              <w:rPr>
                <w:rFonts w:cstheme="minorHAnsi"/>
                <w:color w:val="000000"/>
                <w:szCs w:val="20"/>
              </w:rPr>
              <w:t>placebo</w:t>
            </w:r>
            <w:r>
              <w:rPr>
                <w:rFonts w:cstheme="minorHAnsi"/>
                <w:color w:val="000000"/>
                <w:szCs w:val="20"/>
              </w:rPr>
              <w:t>)</w:t>
            </w:r>
            <w:r w:rsidRPr="00803C50">
              <w:rPr>
                <w:rFonts w:cstheme="minorHAnsi"/>
                <w:color w:val="000000"/>
                <w:szCs w:val="20"/>
              </w:rPr>
              <w:t xml:space="preserve">: </w:t>
            </w:r>
            <w:r>
              <w:rPr>
                <w:rFonts w:cstheme="minorHAnsi"/>
                <w:color w:val="000000"/>
                <w:szCs w:val="20"/>
              </w:rPr>
              <w:t xml:space="preserve">M = </w:t>
            </w:r>
            <w:r w:rsidRPr="00803C50">
              <w:rPr>
                <w:rFonts w:cstheme="minorHAnsi"/>
                <w:color w:val="000000"/>
                <w:szCs w:val="20"/>
              </w:rPr>
              <w:t>33.8 years (</w:t>
            </w:r>
            <w:r>
              <w:rPr>
                <w:rFonts w:cstheme="minorHAnsi"/>
                <w:color w:val="000000"/>
                <w:szCs w:val="20"/>
              </w:rPr>
              <w:t xml:space="preserve">SD = </w:t>
            </w:r>
            <w:r w:rsidRPr="00803C50">
              <w:rPr>
                <w:rFonts w:cstheme="minorHAnsi"/>
                <w:color w:val="000000"/>
                <w:szCs w:val="20"/>
              </w:rPr>
              <w:t>10.3): 79% male</w:t>
            </w:r>
            <w:r>
              <w:rPr>
                <w:rFonts w:cstheme="minorHAnsi"/>
                <w:color w:val="000000"/>
                <w:szCs w:val="20"/>
              </w:rPr>
              <w:t>.</w:t>
            </w:r>
          </w:p>
        </w:tc>
      </w:tr>
      <w:tr w:rsidR="00B80B9A" w:rsidRPr="002F020F" w14:paraId="2E5F1C47"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36DED127" w14:textId="77777777" w:rsidR="00B80B9A" w:rsidRPr="002F020F" w:rsidRDefault="00B80B9A" w:rsidP="004361E5">
            <w:pPr>
              <w:rPr>
                <w:b w:val="0"/>
                <w:bCs w:val="0"/>
              </w:rPr>
            </w:pPr>
            <w:r w:rsidRPr="002F020F">
              <w:t xml:space="preserve">Intervention/s (I) and </w:t>
            </w:r>
          </w:p>
          <w:p w14:paraId="1D0A9844" w14:textId="77777777" w:rsidR="00B80B9A" w:rsidRPr="002F020F" w:rsidRDefault="00B80B9A" w:rsidP="004361E5">
            <w:r w:rsidRPr="002F020F">
              <w:t xml:space="preserve">Comparator/s (C) </w:t>
            </w:r>
          </w:p>
        </w:tc>
        <w:tc>
          <w:tcPr>
            <w:tcW w:w="3884" w:type="pct"/>
          </w:tcPr>
          <w:p w14:paraId="3A802D0A" w14:textId="77777777" w:rsidR="00B80B9A" w:rsidRDefault="00B80B9A" w:rsidP="00B80B9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B02934">
              <w:rPr>
                <w:rFonts w:cstheme="minorHAnsi"/>
                <w:color w:val="000000"/>
                <w:szCs w:val="20"/>
              </w:rPr>
              <w:t xml:space="preserve">All participants </w:t>
            </w:r>
            <w:r>
              <w:rPr>
                <w:rFonts w:cstheme="minorHAnsi"/>
                <w:color w:val="000000"/>
                <w:szCs w:val="20"/>
              </w:rPr>
              <w:t xml:space="preserve">were offered </w:t>
            </w:r>
            <w:r w:rsidRPr="00B02934">
              <w:rPr>
                <w:rFonts w:cstheme="minorHAnsi"/>
                <w:color w:val="000000"/>
                <w:szCs w:val="20"/>
              </w:rPr>
              <w:t>six sessions of individual (CBT-based) counselling</w:t>
            </w:r>
            <w:r>
              <w:rPr>
                <w:rFonts w:cstheme="minorHAnsi"/>
                <w:color w:val="000000"/>
                <w:szCs w:val="20"/>
              </w:rPr>
              <w:t>,</w:t>
            </w:r>
            <w:r w:rsidRPr="00B02934">
              <w:rPr>
                <w:rFonts w:cstheme="minorHAnsi"/>
                <w:color w:val="000000"/>
                <w:szCs w:val="20"/>
              </w:rPr>
              <w:t xml:space="preserve"> and weekly clinical reviews to titrate </w:t>
            </w:r>
            <w:r>
              <w:rPr>
                <w:rFonts w:cstheme="minorHAnsi"/>
                <w:color w:val="000000"/>
                <w:szCs w:val="20"/>
              </w:rPr>
              <w:t xml:space="preserve">the </w:t>
            </w:r>
            <w:r w:rsidRPr="00B02934">
              <w:rPr>
                <w:rFonts w:cstheme="minorHAnsi"/>
                <w:color w:val="000000"/>
                <w:szCs w:val="20"/>
              </w:rPr>
              <w:t>dose</w:t>
            </w:r>
            <w:r>
              <w:rPr>
                <w:rFonts w:cstheme="minorHAnsi"/>
                <w:color w:val="000000"/>
                <w:szCs w:val="20"/>
              </w:rPr>
              <w:t xml:space="preserve"> (</w:t>
            </w:r>
            <w:r w:rsidRPr="00B02934">
              <w:rPr>
                <w:rFonts w:cstheme="minorHAnsi"/>
                <w:color w:val="000000"/>
                <w:szCs w:val="20"/>
              </w:rPr>
              <w:t xml:space="preserve">and optimise </w:t>
            </w:r>
            <w:r>
              <w:rPr>
                <w:rFonts w:cstheme="minorHAnsi"/>
                <w:color w:val="000000"/>
                <w:szCs w:val="20"/>
              </w:rPr>
              <w:t xml:space="preserve">the </w:t>
            </w:r>
            <w:r w:rsidRPr="00B02934">
              <w:rPr>
                <w:rFonts w:cstheme="minorHAnsi"/>
                <w:color w:val="000000"/>
                <w:szCs w:val="20"/>
              </w:rPr>
              <w:t>effect</w:t>
            </w:r>
            <w:r>
              <w:rPr>
                <w:rFonts w:cstheme="minorHAnsi"/>
                <w:color w:val="000000"/>
                <w:szCs w:val="20"/>
              </w:rPr>
              <w:t>) of their assigned medication</w:t>
            </w:r>
            <w:r w:rsidRPr="00B02934">
              <w:rPr>
                <w:rFonts w:cstheme="minorHAnsi"/>
                <w:color w:val="000000"/>
                <w:szCs w:val="20"/>
              </w:rPr>
              <w:t>.</w:t>
            </w:r>
          </w:p>
          <w:p w14:paraId="624CA548" w14:textId="77777777" w:rsidR="00B80B9A" w:rsidRPr="00B02934" w:rsidRDefault="00B80B9A" w:rsidP="00B80B9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Pr>
                <w:rFonts w:cstheme="minorHAnsi"/>
                <w:color w:val="000000"/>
                <w:szCs w:val="20"/>
              </w:rPr>
              <w:t>All participants received an oromucosal spray.</w:t>
            </w:r>
          </w:p>
          <w:p w14:paraId="316DB464" w14:textId="628E3763" w:rsidR="00B80B9A" w:rsidRPr="006323DC" w:rsidRDefault="00B80B9A" w:rsidP="00B80B9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6323DC">
              <w:rPr>
                <w:rFonts w:cstheme="minorHAnsi"/>
                <w:color w:val="000000"/>
                <w:szCs w:val="20"/>
              </w:rPr>
              <w:t>I (n = 6</w:t>
            </w:r>
            <w:r>
              <w:rPr>
                <w:rFonts w:cstheme="minorHAnsi"/>
                <w:color w:val="000000"/>
                <w:szCs w:val="20"/>
              </w:rPr>
              <w:t>4</w:t>
            </w:r>
            <w:r w:rsidRPr="006323DC">
              <w:rPr>
                <w:rFonts w:cstheme="minorHAnsi"/>
                <w:color w:val="000000"/>
                <w:szCs w:val="20"/>
              </w:rPr>
              <w:t>) nabiximols</w:t>
            </w:r>
            <w:r>
              <w:rPr>
                <w:rFonts w:cstheme="minorHAnsi"/>
                <w:color w:val="000000"/>
                <w:szCs w:val="20"/>
              </w:rPr>
              <w:t xml:space="preserve"> </w:t>
            </w:r>
            <w:r w:rsidRPr="005A21F8">
              <w:rPr>
                <w:rFonts w:cstheme="minorHAnsi"/>
                <w:color w:val="000000"/>
                <w:szCs w:val="20"/>
              </w:rPr>
              <w:t xml:space="preserve">(natural cannabis </w:t>
            </w:r>
            <w:r>
              <w:rPr>
                <w:rFonts w:cstheme="minorHAnsi"/>
                <w:color w:val="000000"/>
                <w:szCs w:val="20"/>
              </w:rPr>
              <w:t>extract: THC&amp;CBD</w:t>
            </w:r>
            <w:r w:rsidRPr="005A21F8">
              <w:rPr>
                <w:rFonts w:cstheme="minorHAnsi"/>
                <w:color w:val="000000"/>
                <w:szCs w:val="20"/>
              </w:rPr>
              <w:t>)</w:t>
            </w:r>
            <w:r w:rsidRPr="006323DC">
              <w:rPr>
                <w:rFonts w:cstheme="minorHAnsi"/>
                <w:color w:val="000000"/>
                <w:szCs w:val="20"/>
              </w:rPr>
              <w:t>; max</w:t>
            </w:r>
            <w:r>
              <w:rPr>
                <w:rFonts w:cstheme="minorHAnsi"/>
                <w:color w:val="000000"/>
                <w:szCs w:val="20"/>
              </w:rPr>
              <w:t>imum of</w:t>
            </w:r>
            <w:r w:rsidRPr="006323DC">
              <w:rPr>
                <w:rFonts w:cstheme="minorHAnsi"/>
                <w:color w:val="000000"/>
                <w:szCs w:val="20"/>
              </w:rPr>
              <w:t xml:space="preserve"> 32 sprays (86.4mg of THC and 80mg of CBD) per day in 4 divided doses.</w:t>
            </w:r>
          </w:p>
          <w:p w14:paraId="58AE361F" w14:textId="77777777" w:rsidR="00B80B9A" w:rsidRPr="002F020F" w:rsidRDefault="00B80B9A" w:rsidP="00B80B9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pPr>
            <w:r w:rsidRPr="00803C50">
              <w:rPr>
                <w:rFonts w:cstheme="minorHAnsi"/>
                <w:color w:val="000000"/>
                <w:szCs w:val="20"/>
              </w:rPr>
              <w:t xml:space="preserve">C (n = </w:t>
            </w:r>
            <w:r>
              <w:rPr>
                <w:rFonts w:cstheme="minorHAnsi"/>
                <w:color w:val="000000"/>
                <w:szCs w:val="20"/>
              </w:rPr>
              <w:t>73</w:t>
            </w:r>
            <w:r w:rsidRPr="00803C50">
              <w:rPr>
                <w:rFonts w:cstheme="minorHAnsi"/>
                <w:color w:val="000000"/>
                <w:szCs w:val="20"/>
              </w:rPr>
              <w:t>) placebo (matched carrier and flavouring)</w:t>
            </w:r>
            <w:r>
              <w:rPr>
                <w:rFonts w:cstheme="minorHAnsi"/>
                <w:color w:val="000000"/>
                <w:szCs w:val="20"/>
              </w:rPr>
              <w:t>.</w:t>
            </w:r>
          </w:p>
        </w:tc>
      </w:tr>
      <w:tr w:rsidR="00B80B9A" w:rsidRPr="002F020F" w14:paraId="06A8EA20"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1CCA18B" w14:textId="77777777" w:rsidR="00B80B9A" w:rsidRPr="002F020F" w:rsidRDefault="00B80B9A" w:rsidP="004361E5">
            <w:r w:rsidRPr="002F020F">
              <w:t>Outcome Measure/s</w:t>
            </w:r>
          </w:p>
        </w:tc>
        <w:tc>
          <w:tcPr>
            <w:tcW w:w="3884" w:type="pct"/>
          </w:tcPr>
          <w:p w14:paraId="725E0B7D" w14:textId="77777777" w:rsidR="00B80B9A" w:rsidRPr="00BB0A0B" w:rsidRDefault="00B80B9A" w:rsidP="00B80B9A">
            <w:pPr>
              <w:pStyle w:val="ListParagraph"/>
              <w:numPr>
                <w:ilvl w:val="0"/>
                <w:numId w:val="122"/>
              </w:numPr>
              <w:spacing w:after="120"/>
              <w:ind w:left="357" w:hanging="357"/>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BB0A0B">
              <w:rPr>
                <w:rFonts w:cstheme="minorHAnsi"/>
                <w:bCs/>
                <w:color w:val="000000"/>
                <w:szCs w:val="20"/>
              </w:rPr>
              <w:t>Primary:</w:t>
            </w:r>
          </w:p>
          <w:p w14:paraId="1CEBAAE1" w14:textId="77777777" w:rsidR="00B80B9A" w:rsidRPr="00682782" w:rsidRDefault="00B80B9A" w:rsidP="00B80B9A">
            <w:pPr>
              <w:pStyle w:val="ListParagraph"/>
              <w:numPr>
                <w:ilvl w:val="1"/>
                <w:numId w:val="122"/>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682782">
              <w:rPr>
                <w:rFonts w:cstheme="minorHAnsi"/>
                <w:color w:val="000000"/>
                <w:szCs w:val="20"/>
              </w:rPr>
              <w:t xml:space="preserve">Total days of </w:t>
            </w:r>
            <w:r>
              <w:rPr>
                <w:rFonts w:cstheme="minorHAnsi"/>
                <w:color w:val="000000"/>
                <w:szCs w:val="20"/>
              </w:rPr>
              <w:t xml:space="preserve">self-reported </w:t>
            </w:r>
            <w:r w:rsidRPr="00682782">
              <w:rPr>
                <w:rFonts w:cstheme="minorHAnsi"/>
                <w:color w:val="000000"/>
                <w:szCs w:val="20"/>
              </w:rPr>
              <w:t xml:space="preserve">illicit cannabis use (week 1 to 12; maximum 84 days): number of days of cannabis use in the preceding 28 days using Timeline Followback </w:t>
            </w:r>
            <w:r>
              <w:rPr>
                <w:rFonts w:cstheme="minorHAnsi"/>
                <w:color w:val="000000"/>
                <w:szCs w:val="20"/>
              </w:rPr>
              <w:t xml:space="preserve">(TLFB) </w:t>
            </w:r>
            <w:r w:rsidRPr="00682782">
              <w:rPr>
                <w:rFonts w:cstheme="minorHAnsi"/>
                <w:color w:val="000000"/>
                <w:szCs w:val="20"/>
              </w:rPr>
              <w:t>method</w:t>
            </w:r>
            <w:r>
              <w:rPr>
                <w:rFonts w:cstheme="minorHAnsi"/>
                <w:color w:val="000000"/>
                <w:szCs w:val="20"/>
              </w:rPr>
              <w:t xml:space="preserve"> (week 0, 4, 8, 12)</w:t>
            </w:r>
            <w:r w:rsidRPr="00682782">
              <w:rPr>
                <w:rFonts w:cstheme="minorHAnsi"/>
                <w:color w:val="000000"/>
                <w:szCs w:val="20"/>
              </w:rPr>
              <w:t>.</w:t>
            </w:r>
          </w:p>
          <w:p w14:paraId="180745F1" w14:textId="77777777" w:rsidR="00B80B9A" w:rsidRPr="00BB0A0B" w:rsidRDefault="00B80B9A" w:rsidP="00B80B9A">
            <w:pPr>
              <w:pStyle w:val="ListParagraph"/>
              <w:numPr>
                <w:ilvl w:val="0"/>
                <w:numId w:val="122"/>
              </w:numPr>
              <w:spacing w:after="120"/>
              <w:ind w:left="357" w:hanging="357"/>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BB0A0B">
              <w:rPr>
                <w:rFonts w:cstheme="minorHAnsi"/>
                <w:bCs/>
                <w:color w:val="000000"/>
                <w:szCs w:val="20"/>
              </w:rPr>
              <w:t>Secondary:</w:t>
            </w:r>
          </w:p>
          <w:p w14:paraId="6A12FDF9" w14:textId="77777777" w:rsidR="00B80B9A" w:rsidRDefault="00B80B9A" w:rsidP="00B80B9A">
            <w:pPr>
              <w:pStyle w:val="ListParagraph"/>
              <w:numPr>
                <w:ilvl w:val="1"/>
                <w:numId w:val="122"/>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794E60">
              <w:rPr>
                <w:rFonts w:cstheme="minorHAnsi"/>
                <w:color w:val="000000"/>
                <w:szCs w:val="20"/>
              </w:rPr>
              <w:t>Treatment retention (</w:t>
            </w:r>
            <w:r>
              <w:rPr>
                <w:rFonts w:cstheme="minorHAnsi"/>
                <w:color w:val="000000"/>
                <w:szCs w:val="20"/>
              </w:rPr>
              <w:t>participants who completed the 12-week treatment protocol</w:t>
            </w:r>
            <w:r w:rsidRPr="00794E60">
              <w:rPr>
                <w:rFonts w:cstheme="minorHAnsi"/>
                <w:color w:val="000000"/>
                <w:szCs w:val="20"/>
              </w:rPr>
              <w:t>)</w:t>
            </w:r>
            <w:r>
              <w:rPr>
                <w:rFonts w:cstheme="minorHAnsi"/>
                <w:color w:val="000000"/>
                <w:szCs w:val="20"/>
              </w:rPr>
              <w:t>.</w:t>
            </w:r>
          </w:p>
          <w:p w14:paraId="75A627F9" w14:textId="77777777" w:rsidR="00B80B9A" w:rsidRDefault="00B80B9A" w:rsidP="00B80B9A">
            <w:pPr>
              <w:pStyle w:val="ListParagraph"/>
              <w:numPr>
                <w:ilvl w:val="1"/>
                <w:numId w:val="122"/>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7746A">
              <w:rPr>
                <w:rFonts w:cstheme="minorHAnsi"/>
                <w:color w:val="000000"/>
                <w:szCs w:val="20"/>
              </w:rPr>
              <w:t>Cannabis Problems Questionnaire (CPQ)</w:t>
            </w:r>
            <w:r>
              <w:rPr>
                <w:rFonts w:cstheme="minorHAnsi"/>
                <w:color w:val="000000"/>
                <w:szCs w:val="20"/>
              </w:rPr>
              <w:t>.</w:t>
            </w:r>
          </w:p>
          <w:p w14:paraId="02587897" w14:textId="77777777" w:rsidR="00B80B9A" w:rsidRDefault="00B80B9A" w:rsidP="00B80B9A">
            <w:pPr>
              <w:pStyle w:val="ListParagraph"/>
              <w:numPr>
                <w:ilvl w:val="1"/>
                <w:numId w:val="122"/>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7746A">
              <w:rPr>
                <w:rFonts w:cstheme="minorHAnsi"/>
                <w:color w:val="000000"/>
                <w:szCs w:val="20"/>
              </w:rPr>
              <w:t>Cannabis Withdrawal Scale (CWS)</w:t>
            </w:r>
            <w:r>
              <w:rPr>
                <w:rFonts w:cstheme="minorHAnsi"/>
                <w:color w:val="000000"/>
                <w:szCs w:val="20"/>
              </w:rPr>
              <w:t>.</w:t>
            </w:r>
          </w:p>
          <w:p w14:paraId="1716F985" w14:textId="77777777" w:rsidR="00B80B9A" w:rsidRDefault="00B80B9A" w:rsidP="00B80B9A">
            <w:pPr>
              <w:pStyle w:val="ListParagraph"/>
              <w:numPr>
                <w:ilvl w:val="1"/>
                <w:numId w:val="122"/>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7746A">
              <w:rPr>
                <w:rFonts w:cstheme="minorHAnsi"/>
                <w:color w:val="000000"/>
                <w:szCs w:val="20"/>
              </w:rPr>
              <w:t>Marijuana Craving Questionnaire (MCQ)</w:t>
            </w:r>
            <w:r>
              <w:rPr>
                <w:rFonts w:cstheme="minorHAnsi"/>
                <w:color w:val="000000"/>
                <w:szCs w:val="20"/>
              </w:rPr>
              <w:t>.</w:t>
            </w:r>
          </w:p>
          <w:p w14:paraId="676F33CA" w14:textId="77777777" w:rsidR="00B80B9A" w:rsidRDefault="00B80B9A" w:rsidP="00B80B9A">
            <w:pPr>
              <w:pStyle w:val="ListParagraph"/>
              <w:numPr>
                <w:ilvl w:val="1"/>
                <w:numId w:val="122"/>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7746A">
              <w:rPr>
                <w:rFonts w:cstheme="minorHAnsi"/>
                <w:color w:val="000000"/>
                <w:szCs w:val="20"/>
              </w:rPr>
              <w:t>Fagerström Test for Nicotine Dependence (FTND)</w:t>
            </w:r>
            <w:r>
              <w:rPr>
                <w:rFonts w:cstheme="minorHAnsi"/>
                <w:color w:val="000000"/>
                <w:szCs w:val="20"/>
              </w:rPr>
              <w:t>.</w:t>
            </w:r>
          </w:p>
          <w:p w14:paraId="3022C060" w14:textId="77777777" w:rsidR="00B80B9A" w:rsidRDefault="00B80B9A" w:rsidP="00B80B9A">
            <w:pPr>
              <w:pStyle w:val="ListParagraph"/>
              <w:numPr>
                <w:ilvl w:val="1"/>
                <w:numId w:val="122"/>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7746A">
              <w:rPr>
                <w:rFonts w:cstheme="minorHAnsi"/>
                <w:color w:val="000000"/>
                <w:szCs w:val="20"/>
              </w:rPr>
              <w:t>Alcohol Use Disorders Identification Test (AUDIT)</w:t>
            </w:r>
            <w:r>
              <w:rPr>
                <w:rFonts w:cstheme="minorHAnsi"/>
                <w:color w:val="000000"/>
                <w:szCs w:val="20"/>
              </w:rPr>
              <w:t>.</w:t>
            </w:r>
          </w:p>
          <w:p w14:paraId="403ADD3F" w14:textId="77777777" w:rsidR="00B80B9A" w:rsidRDefault="00B80B9A" w:rsidP="00B80B9A">
            <w:pPr>
              <w:pStyle w:val="ListParagraph"/>
              <w:numPr>
                <w:ilvl w:val="1"/>
                <w:numId w:val="122"/>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7746A">
              <w:rPr>
                <w:rFonts w:cstheme="minorHAnsi"/>
                <w:color w:val="000000"/>
                <w:szCs w:val="20"/>
              </w:rPr>
              <w:t>Short Form Survey</w:t>
            </w:r>
            <w:r>
              <w:rPr>
                <w:rFonts w:cstheme="minorHAnsi"/>
                <w:color w:val="000000"/>
                <w:szCs w:val="20"/>
              </w:rPr>
              <w:t>, 36-item</w:t>
            </w:r>
            <w:r w:rsidRPr="00E7746A">
              <w:rPr>
                <w:rFonts w:cstheme="minorHAnsi"/>
                <w:color w:val="000000"/>
                <w:szCs w:val="20"/>
              </w:rPr>
              <w:t xml:space="preserve"> (SF-36)</w:t>
            </w:r>
            <w:r>
              <w:rPr>
                <w:rFonts w:cstheme="minorHAnsi"/>
                <w:color w:val="000000"/>
                <w:szCs w:val="20"/>
              </w:rPr>
              <w:t>.</w:t>
            </w:r>
          </w:p>
          <w:p w14:paraId="2D468078" w14:textId="77777777" w:rsidR="00B80B9A" w:rsidRPr="00794E60" w:rsidRDefault="00B80B9A" w:rsidP="00B80B9A">
            <w:pPr>
              <w:pStyle w:val="ListParagraph"/>
              <w:numPr>
                <w:ilvl w:val="1"/>
                <w:numId w:val="122"/>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7746A">
              <w:rPr>
                <w:rFonts w:cstheme="minorHAnsi"/>
                <w:color w:val="000000"/>
                <w:szCs w:val="20"/>
              </w:rPr>
              <w:t>Opioid Treatment Index (OTI</w:t>
            </w:r>
            <w:r>
              <w:rPr>
                <w:rFonts w:cstheme="minorHAnsi"/>
                <w:color w:val="000000"/>
                <w:szCs w:val="20"/>
              </w:rPr>
              <w:t>); crime subscale.</w:t>
            </w:r>
          </w:p>
          <w:p w14:paraId="04BB597C" w14:textId="77777777" w:rsidR="00B80B9A" w:rsidRPr="00B924E3" w:rsidRDefault="00B80B9A" w:rsidP="00B80B9A">
            <w:pPr>
              <w:pStyle w:val="ListParagraph"/>
              <w:numPr>
                <w:ilvl w:val="1"/>
                <w:numId w:val="122"/>
              </w:numPr>
              <w:spacing w:after="120"/>
              <w:ind w:left="714" w:hanging="357"/>
              <w:cnfStyle w:val="000000100000" w:firstRow="0" w:lastRow="0" w:firstColumn="0" w:lastColumn="0" w:oddVBand="0" w:evenVBand="0" w:oddHBand="1" w:evenHBand="0" w:firstRowFirstColumn="0" w:firstRowLastColumn="0" w:lastRowFirstColumn="0" w:lastRowLastColumn="0"/>
            </w:pPr>
            <w:r w:rsidRPr="00E02183">
              <w:rPr>
                <w:rFonts w:cstheme="minorHAnsi"/>
                <w:color w:val="000000"/>
                <w:szCs w:val="20"/>
              </w:rPr>
              <w:t>Adverse events</w:t>
            </w:r>
            <w:r>
              <w:rPr>
                <w:rFonts w:cstheme="minorHAnsi"/>
                <w:color w:val="000000"/>
                <w:szCs w:val="20"/>
              </w:rPr>
              <w:t xml:space="preserve"> (evaluated by a study medical officer)</w:t>
            </w:r>
            <w:r w:rsidRPr="00E02183">
              <w:rPr>
                <w:rFonts w:cstheme="minorHAnsi"/>
                <w:color w:val="000000"/>
                <w:szCs w:val="20"/>
              </w:rPr>
              <w:t>.</w:t>
            </w:r>
          </w:p>
          <w:p w14:paraId="22648E04" w14:textId="77777777" w:rsidR="00B80B9A" w:rsidRPr="002F020F" w:rsidRDefault="00B80B9A" w:rsidP="00B80B9A">
            <w:pPr>
              <w:pStyle w:val="ListParagraph"/>
              <w:numPr>
                <w:ilvl w:val="1"/>
                <w:numId w:val="122"/>
              </w:numPr>
              <w:spacing w:after="120"/>
              <w:ind w:left="714" w:hanging="357"/>
              <w:cnfStyle w:val="000000100000" w:firstRow="0" w:lastRow="0" w:firstColumn="0" w:lastColumn="0" w:oddVBand="0" w:evenVBand="0" w:oddHBand="1" w:evenHBand="0" w:firstRowFirstColumn="0" w:firstRowLastColumn="0" w:lastRowFirstColumn="0" w:lastRowLastColumn="0"/>
            </w:pPr>
            <w:r>
              <w:t>Opioid-Related Behaviours In Treatment (ORBIT) scale.</w:t>
            </w:r>
          </w:p>
        </w:tc>
      </w:tr>
      <w:tr w:rsidR="00B80B9A" w:rsidRPr="002F020F" w14:paraId="2494186E"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192A89B8" w14:textId="77777777" w:rsidR="00B80B9A" w:rsidRPr="002F020F" w:rsidRDefault="00B80B9A" w:rsidP="004361E5">
            <w:r w:rsidRPr="002F020F">
              <w:t>General</w:t>
            </w:r>
          </w:p>
        </w:tc>
        <w:tc>
          <w:tcPr>
            <w:tcW w:w="3884" w:type="pct"/>
          </w:tcPr>
          <w:p w14:paraId="0FF2253F" w14:textId="77777777" w:rsidR="00B80B9A" w:rsidRPr="002A2027"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A2027">
              <w:rPr>
                <w:rFonts w:ascii="Calibri" w:hAnsi="Calibri" w:cs="Calibri"/>
                <w:color w:val="000000"/>
                <w:szCs w:val="20"/>
              </w:rPr>
              <w:t xml:space="preserve">All participants met ICD-10 criteria for a cannabis use disorder, with similar a baseline severity across the study conditions. </w:t>
            </w:r>
          </w:p>
          <w:p w14:paraId="578BADB7" w14:textId="77777777" w:rsidR="00B80B9A" w:rsidRPr="002A2027" w:rsidRDefault="00B80B9A" w:rsidP="00B80B9A">
            <w:pPr>
              <w:numPr>
                <w:ilvl w:val="0"/>
                <w:numId w:val="88"/>
              </w:numPr>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A2027">
              <w:rPr>
                <w:rFonts w:ascii="Calibri" w:hAnsi="Calibri" w:cs="Calibri"/>
                <w:color w:val="000000"/>
                <w:szCs w:val="20"/>
              </w:rPr>
              <w:t xml:space="preserve">Period study was conducted: February 2016 to June 2017. </w:t>
            </w:r>
          </w:p>
        </w:tc>
      </w:tr>
      <w:tr w:rsidR="00B80B9A" w:rsidRPr="002F020F" w14:paraId="79E1A931"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079EA5B" w14:textId="77777777" w:rsidR="00B80B9A" w:rsidRPr="002F020F" w:rsidRDefault="00B80B9A" w:rsidP="004361E5">
            <w:r w:rsidRPr="002F020F">
              <w:t>Inclusion Criteria</w:t>
            </w:r>
          </w:p>
        </w:tc>
        <w:tc>
          <w:tcPr>
            <w:tcW w:w="3884" w:type="pct"/>
          </w:tcPr>
          <w:p w14:paraId="4020A051" w14:textId="77777777" w:rsidR="00B80B9A" w:rsidRPr="0014633E" w:rsidRDefault="00B80B9A" w:rsidP="00B80B9A">
            <w:pPr>
              <w:pStyle w:val="ListParagraph"/>
              <w:numPr>
                <w:ilvl w:val="0"/>
                <w:numId w:val="24"/>
              </w:numPr>
              <w:spacing w:after="120"/>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14633E">
              <w:rPr>
                <w:rFonts w:cstheme="minorHAnsi"/>
                <w:color w:val="000000"/>
                <w:szCs w:val="20"/>
              </w:rPr>
              <w:t>Age range 18 to 65 years.</w:t>
            </w:r>
          </w:p>
          <w:p w14:paraId="3EB3158C" w14:textId="77777777" w:rsidR="00B80B9A" w:rsidRPr="0014633E" w:rsidRDefault="00B80B9A" w:rsidP="00B80B9A">
            <w:pPr>
              <w:pStyle w:val="ListParagraph"/>
              <w:numPr>
                <w:ilvl w:val="0"/>
                <w:numId w:val="24"/>
              </w:numPr>
              <w:spacing w:after="120"/>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14633E">
              <w:rPr>
                <w:rFonts w:cstheme="minorHAnsi"/>
                <w:color w:val="000000"/>
                <w:szCs w:val="20"/>
              </w:rPr>
              <w:t xml:space="preserve">ICD-10 </w:t>
            </w:r>
            <w:r>
              <w:rPr>
                <w:rFonts w:cstheme="minorHAnsi"/>
                <w:color w:val="000000"/>
                <w:szCs w:val="20"/>
              </w:rPr>
              <w:t xml:space="preserve">criteria for </w:t>
            </w:r>
            <w:r w:rsidRPr="0014633E">
              <w:rPr>
                <w:rFonts w:cstheme="minorHAnsi"/>
                <w:color w:val="000000"/>
                <w:szCs w:val="20"/>
              </w:rPr>
              <w:t>cannabis dependence.</w:t>
            </w:r>
          </w:p>
          <w:p w14:paraId="774E78B1" w14:textId="77777777" w:rsidR="00B80B9A" w:rsidRDefault="00B80B9A" w:rsidP="00B80B9A">
            <w:pPr>
              <w:pStyle w:val="ListParagraph"/>
              <w:numPr>
                <w:ilvl w:val="0"/>
                <w:numId w:val="24"/>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 xml:space="preserve">Unable to cease cannabis use in previous quit attempts. </w:t>
            </w:r>
          </w:p>
          <w:p w14:paraId="18792087" w14:textId="77777777" w:rsidR="00B80B9A" w:rsidRPr="0015104F" w:rsidRDefault="00B80B9A" w:rsidP="00B80B9A">
            <w:pPr>
              <w:pStyle w:val="ListParagraph"/>
              <w:numPr>
                <w:ilvl w:val="0"/>
                <w:numId w:val="24"/>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Able to provide i</w:t>
            </w:r>
            <w:r w:rsidRPr="00237FCA">
              <w:rPr>
                <w:rFonts w:cstheme="minorHAnsi"/>
                <w:color w:val="000000"/>
                <w:szCs w:val="20"/>
              </w:rPr>
              <w:t>nformed consent</w:t>
            </w:r>
            <w:r>
              <w:rPr>
                <w:rFonts w:cstheme="minorHAnsi"/>
                <w:color w:val="000000"/>
                <w:szCs w:val="20"/>
              </w:rPr>
              <w:t xml:space="preserve"> and agree to </w:t>
            </w:r>
            <w:r w:rsidRPr="00237FCA">
              <w:rPr>
                <w:rFonts w:cstheme="minorHAnsi"/>
                <w:color w:val="000000"/>
                <w:szCs w:val="20"/>
              </w:rPr>
              <w:t>study procedures (including not driving</w:t>
            </w:r>
            <w:r>
              <w:rPr>
                <w:rFonts w:cstheme="minorHAnsi"/>
                <w:color w:val="000000"/>
                <w:szCs w:val="20"/>
              </w:rPr>
              <w:t xml:space="preserve"> and using reliable contraception</w:t>
            </w:r>
            <w:r w:rsidRPr="00237FCA">
              <w:rPr>
                <w:rFonts w:cstheme="minorHAnsi"/>
                <w:color w:val="000000"/>
                <w:szCs w:val="20"/>
              </w:rPr>
              <w:t>).</w:t>
            </w:r>
          </w:p>
        </w:tc>
      </w:tr>
      <w:tr w:rsidR="00B80B9A" w:rsidRPr="002F020F" w14:paraId="5157150A"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6124A7F2" w14:textId="77777777" w:rsidR="00B80B9A" w:rsidRPr="002F020F" w:rsidRDefault="00B80B9A" w:rsidP="004361E5">
            <w:r w:rsidRPr="002F020F">
              <w:t>Exclusion Criteria</w:t>
            </w:r>
          </w:p>
        </w:tc>
        <w:tc>
          <w:tcPr>
            <w:tcW w:w="3884" w:type="pct"/>
          </w:tcPr>
          <w:p w14:paraId="564BE586" w14:textId="77777777" w:rsidR="00B80B9A" w:rsidRPr="00F93DF0" w:rsidRDefault="00B80B9A" w:rsidP="00B80B9A">
            <w:pPr>
              <w:pStyle w:val="ListParagraph"/>
              <w:numPr>
                <w:ilvl w:val="0"/>
                <w:numId w:val="91"/>
              </w:numPr>
              <w:spacing w:after="120"/>
              <w:cnfStyle w:val="000000000000" w:firstRow="0" w:lastRow="0" w:firstColumn="0" w:lastColumn="0" w:oddVBand="0" w:evenVBand="0" w:oddHBand="0" w:evenHBand="0" w:firstRowFirstColumn="0" w:firstRowLastColumn="0" w:lastRowFirstColumn="0" w:lastRowLastColumn="0"/>
              <w:rPr>
                <w:rFonts w:cstheme="minorHAnsi"/>
                <w:bCs/>
                <w:color w:val="000000"/>
                <w:szCs w:val="20"/>
              </w:rPr>
            </w:pPr>
            <w:r>
              <w:rPr>
                <w:rFonts w:cstheme="minorHAnsi"/>
                <w:bCs/>
                <w:color w:val="000000"/>
                <w:szCs w:val="20"/>
              </w:rPr>
              <w:t xml:space="preserve">Court-mandated </w:t>
            </w:r>
            <w:r w:rsidRPr="00F93DF0">
              <w:rPr>
                <w:rFonts w:cstheme="minorHAnsi"/>
                <w:bCs/>
                <w:color w:val="000000"/>
                <w:szCs w:val="20"/>
              </w:rPr>
              <w:t>addiction treatment</w:t>
            </w:r>
            <w:r>
              <w:rPr>
                <w:rFonts w:cstheme="minorHAnsi"/>
                <w:bCs/>
                <w:color w:val="000000"/>
                <w:szCs w:val="20"/>
              </w:rPr>
              <w:t>.</w:t>
            </w:r>
            <w:r w:rsidRPr="00F93DF0">
              <w:rPr>
                <w:rFonts w:cstheme="minorHAnsi"/>
                <w:bCs/>
                <w:color w:val="000000"/>
                <w:szCs w:val="20"/>
              </w:rPr>
              <w:t xml:space="preserve"> </w:t>
            </w:r>
          </w:p>
          <w:p w14:paraId="38B13420" w14:textId="77777777" w:rsidR="00B80B9A" w:rsidRPr="00F93DF0" w:rsidRDefault="00B80B9A" w:rsidP="00B80B9A">
            <w:pPr>
              <w:pStyle w:val="ListParagraph"/>
              <w:numPr>
                <w:ilvl w:val="0"/>
                <w:numId w:val="91"/>
              </w:numPr>
              <w:spacing w:after="120"/>
              <w:cnfStyle w:val="000000000000" w:firstRow="0" w:lastRow="0" w:firstColumn="0" w:lastColumn="0" w:oddVBand="0" w:evenVBand="0" w:oddHBand="0" w:evenHBand="0" w:firstRowFirstColumn="0" w:firstRowLastColumn="0" w:lastRowFirstColumn="0" w:lastRowLastColumn="0"/>
              <w:rPr>
                <w:rFonts w:cstheme="minorHAnsi"/>
                <w:bCs/>
                <w:color w:val="000000"/>
                <w:szCs w:val="20"/>
              </w:rPr>
            </w:pPr>
            <w:r>
              <w:rPr>
                <w:rFonts w:cstheme="minorHAnsi"/>
                <w:bCs/>
                <w:color w:val="000000"/>
                <w:szCs w:val="20"/>
              </w:rPr>
              <w:t>Another s</w:t>
            </w:r>
            <w:r w:rsidRPr="00F93DF0">
              <w:rPr>
                <w:rFonts w:cstheme="minorHAnsi"/>
                <w:bCs/>
                <w:color w:val="000000"/>
                <w:szCs w:val="20"/>
              </w:rPr>
              <w:t xml:space="preserve">ubstance use disorder </w:t>
            </w:r>
            <w:r>
              <w:rPr>
                <w:rFonts w:cstheme="minorHAnsi"/>
                <w:bCs/>
                <w:color w:val="000000"/>
                <w:szCs w:val="20"/>
              </w:rPr>
              <w:t>(</w:t>
            </w:r>
            <w:r w:rsidRPr="00F93DF0">
              <w:rPr>
                <w:rFonts w:cstheme="minorHAnsi"/>
                <w:bCs/>
                <w:color w:val="000000"/>
                <w:szCs w:val="20"/>
              </w:rPr>
              <w:t>other than nicotine or caffeine</w:t>
            </w:r>
            <w:r>
              <w:rPr>
                <w:rFonts w:cstheme="minorHAnsi"/>
                <w:bCs/>
                <w:color w:val="000000"/>
                <w:szCs w:val="20"/>
              </w:rPr>
              <w:t>).</w:t>
            </w:r>
          </w:p>
          <w:p w14:paraId="01297F6E" w14:textId="77777777" w:rsidR="00B80B9A" w:rsidRPr="00F93DF0" w:rsidRDefault="00B80B9A" w:rsidP="00B80B9A">
            <w:pPr>
              <w:pStyle w:val="ListParagraph"/>
              <w:numPr>
                <w:ilvl w:val="0"/>
                <w:numId w:val="91"/>
              </w:numPr>
              <w:spacing w:after="120"/>
              <w:cnfStyle w:val="000000000000" w:firstRow="0" w:lastRow="0" w:firstColumn="0" w:lastColumn="0" w:oddVBand="0" w:evenVBand="0" w:oddHBand="0" w:evenHBand="0" w:firstRowFirstColumn="0" w:firstRowLastColumn="0" w:lastRowFirstColumn="0" w:lastRowLastColumn="0"/>
              <w:rPr>
                <w:rFonts w:cstheme="minorHAnsi"/>
                <w:bCs/>
                <w:color w:val="000000"/>
                <w:szCs w:val="20"/>
              </w:rPr>
            </w:pPr>
            <w:r>
              <w:rPr>
                <w:rFonts w:cstheme="minorHAnsi"/>
                <w:bCs/>
                <w:color w:val="000000"/>
                <w:szCs w:val="20"/>
              </w:rPr>
              <w:t>S</w:t>
            </w:r>
            <w:r w:rsidRPr="00F93DF0">
              <w:rPr>
                <w:rFonts w:cstheme="minorHAnsi"/>
                <w:bCs/>
                <w:color w:val="000000"/>
                <w:szCs w:val="20"/>
              </w:rPr>
              <w:t>evere medical or psychiatric disorder</w:t>
            </w:r>
            <w:r>
              <w:rPr>
                <w:rFonts w:cstheme="minorHAnsi"/>
                <w:bCs/>
                <w:color w:val="000000"/>
                <w:szCs w:val="20"/>
              </w:rPr>
              <w:t xml:space="preserve"> (</w:t>
            </w:r>
            <w:r w:rsidRPr="00F93DF0">
              <w:rPr>
                <w:rFonts w:cstheme="minorHAnsi"/>
                <w:bCs/>
                <w:color w:val="000000"/>
                <w:szCs w:val="20"/>
              </w:rPr>
              <w:t xml:space="preserve">including </w:t>
            </w:r>
            <w:r>
              <w:rPr>
                <w:rFonts w:cstheme="minorHAnsi"/>
                <w:bCs/>
                <w:color w:val="000000"/>
                <w:szCs w:val="20"/>
              </w:rPr>
              <w:t xml:space="preserve">a </w:t>
            </w:r>
            <w:r w:rsidRPr="00F93DF0">
              <w:rPr>
                <w:rFonts w:cstheme="minorHAnsi"/>
                <w:bCs/>
                <w:color w:val="000000"/>
                <w:szCs w:val="20"/>
              </w:rPr>
              <w:t>history of epilepsy or psychosis</w:t>
            </w:r>
            <w:r>
              <w:rPr>
                <w:rFonts w:cstheme="minorHAnsi"/>
                <w:bCs/>
                <w:color w:val="000000"/>
                <w:szCs w:val="20"/>
              </w:rPr>
              <w:t>).</w:t>
            </w:r>
            <w:r w:rsidRPr="00F93DF0">
              <w:rPr>
                <w:rFonts w:cstheme="minorHAnsi"/>
                <w:bCs/>
                <w:color w:val="000000"/>
                <w:szCs w:val="20"/>
              </w:rPr>
              <w:t xml:space="preserve"> </w:t>
            </w:r>
          </w:p>
          <w:p w14:paraId="300A3D3C" w14:textId="77777777" w:rsidR="00B80B9A" w:rsidRDefault="00B80B9A" w:rsidP="00B80B9A">
            <w:pPr>
              <w:pStyle w:val="ListParagraph"/>
              <w:numPr>
                <w:ilvl w:val="0"/>
                <w:numId w:val="91"/>
              </w:numPr>
              <w:spacing w:after="120"/>
              <w:cnfStyle w:val="000000000000" w:firstRow="0" w:lastRow="0" w:firstColumn="0" w:lastColumn="0" w:oddVBand="0" w:evenVBand="0" w:oddHBand="0" w:evenHBand="0" w:firstRowFirstColumn="0" w:firstRowLastColumn="0" w:lastRowFirstColumn="0" w:lastRowLastColumn="0"/>
              <w:rPr>
                <w:rFonts w:cstheme="minorHAnsi"/>
                <w:bCs/>
                <w:color w:val="000000"/>
                <w:szCs w:val="20"/>
              </w:rPr>
            </w:pPr>
            <w:r>
              <w:rPr>
                <w:rFonts w:cstheme="minorHAnsi"/>
                <w:bCs/>
                <w:color w:val="000000"/>
                <w:szCs w:val="20"/>
              </w:rPr>
              <w:t>T</w:t>
            </w:r>
            <w:r w:rsidRPr="00F93DF0">
              <w:rPr>
                <w:rFonts w:cstheme="minorHAnsi"/>
                <w:bCs/>
                <w:color w:val="000000"/>
                <w:szCs w:val="20"/>
              </w:rPr>
              <w:t>reatment for cannabis dependence in</w:t>
            </w:r>
            <w:r>
              <w:rPr>
                <w:rFonts w:cstheme="minorHAnsi"/>
                <w:bCs/>
                <w:color w:val="000000"/>
                <w:szCs w:val="20"/>
              </w:rPr>
              <w:t xml:space="preserve"> the</w:t>
            </w:r>
            <w:r w:rsidRPr="00F93DF0">
              <w:rPr>
                <w:rFonts w:cstheme="minorHAnsi"/>
                <w:bCs/>
                <w:color w:val="000000"/>
                <w:szCs w:val="20"/>
              </w:rPr>
              <w:t xml:space="preserve"> past month.</w:t>
            </w:r>
          </w:p>
          <w:p w14:paraId="13DBE8F6" w14:textId="77777777" w:rsidR="00B80B9A" w:rsidRPr="00F93DF0" w:rsidRDefault="00B80B9A" w:rsidP="00B80B9A">
            <w:pPr>
              <w:pStyle w:val="ListParagraph"/>
              <w:numPr>
                <w:ilvl w:val="0"/>
                <w:numId w:val="91"/>
              </w:numPr>
              <w:spacing w:after="120"/>
              <w:cnfStyle w:val="000000000000" w:firstRow="0" w:lastRow="0" w:firstColumn="0" w:lastColumn="0" w:oddVBand="0" w:evenVBand="0" w:oddHBand="0" w:evenHBand="0" w:firstRowFirstColumn="0" w:firstRowLastColumn="0" w:lastRowFirstColumn="0" w:lastRowLastColumn="0"/>
              <w:rPr>
                <w:rFonts w:cstheme="minorHAnsi"/>
                <w:bCs/>
                <w:color w:val="000000"/>
                <w:szCs w:val="20"/>
              </w:rPr>
            </w:pPr>
            <w:r>
              <w:rPr>
                <w:rFonts w:cstheme="minorHAnsi"/>
                <w:bCs/>
                <w:color w:val="000000"/>
                <w:szCs w:val="20"/>
              </w:rPr>
              <w:t>P</w:t>
            </w:r>
            <w:r w:rsidRPr="00F93DF0">
              <w:rPr>
                <w:rFonts w:cstheme="minorHAnsi"/>
                <w:bCs/>
                <w:color w:val="000000"/>
                <w:szCs w:val="20"/>
              </w:rPr>
              <w:t>regnant or lactating women</w:t>
            </w:r>
            <w:r>
              <w:rPr>
                <w:rFonts w:cstheme="minorHAnsi"/>
                <w:bCs/>
                <w:color w:val="000000"/>
                <w:szCs w:val="20"/>
              </w:rPr>
              <w:t>,</w:t>
            </w:r>
            <w:r w:rsidRPr="00F93DF0">
              <w:rPr>
                <w:rFonts w:cstheme="minorHAnsi"/>
                <w:bCs/>
                <w:color w:val="000000"/>
                <w:szCs w:val="20"/>
              </w:rPr>
              <w:t xml:space="preserve"> or those planning pregnancy</w:t>
            </w:r>
            <w:r>
              <w:rPr>
                <w:rFonts w:cstheme="minorHAnsi"/>
                <w:bCs/>
                <w:color w:val="000000"/>
                <w:szCs w:val="20"/>
              </w:rPr>
              <w:t>.</w:t>
            </w:r>
          </w:p>
          <w:p w14:paraId="7684F341" w14:textId="77777777" w:rsidR="00B80B9A" w:rsidRPr="00F93DF0" w:rsidRDefault="00B80B9A" w:rsidP="00B80B9A">
            <w:pPr>
              <w:pStyle w:val="ListParagraph"/>
              <w:numPr>
                <w:ilvl w:val="0"/>
                <w:numId w:val="91"/>
              </w:numPr>
              <w:spacing w:after="120"/>
              <w:cnfStyle w:val="000000000000" w:firstRow="0" w:lastRow="0" w:firstColumn="0" w:lastColumn="0" w:oddVBand="0" w:evenVBand="0" w:oddHBand="0" w:evenHBand="0" w:firstRowFirstColumn="0" w:firstRowLastColumn="0" w:lastRowFirstColumn="0" w:lastRowLastColumn="0"/>
              <w:rPr>
                <w:rFonts w:cstheme="minorHAnsi"/>
                <w:bCs/>
                <w:color w:val="000000"/>
                <w:szCs w:val="20"/>
              </w:rPr>
            </w:pPr>
            <w:r>
              <w:rPr>
                <w:rFonts w:cstheme="minorHAnsi"/>
                <w:bCs/>
                <w:color w:val="000000"/>
                <w:szCs w:val="20"/>
              </w:rPr>
              <w:t xml:space="preserve">Unable </w:t>
            </w:r>
            <w:r w:rsidRPr="00F93DF0">
              <w:rPr>
                <w:rFonts w:cstheme="minorHAnsi"/>
                <w:bCs/>
                <w:color w:val="000000"/>
                <w:szCs w:val="20"/>
              </w:rPr>
              <w:t>to safely store medication</w:t>
            </w:r>
            <w:r>
              <w:rPr>
                <w:rFonts w:cstheme="minorHAnsi"/>
                <w:bCs/>
                <w:color w:val="000000"/>
                <w:szCs w:val="20"/>
              </w:rPr>
              <w:t>.</w:t>
            </w:r>
          </w:p>
          <w:p w14:paraId="6574EA8D" w14:textId="77777777" w:rsidR="00B80B9A" w:rsidRPr="007B1782" w:rsidRDefault="00B80B9A" w:rsidP="00B80B9A">
            <w:pPr>
              <w:pStyle w:val="ListParagraph"/>
              <w:numPr>
                <w:ilvl w:val="0"/>
                <w:numId w:val="91"/>
              </w:numPr>
              <w:spacing w:after="120"/>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bCs/>
                <w:color w:val="000000"/>
                <w:szCs w:val="20"/>
              </w:rPr>
            </w:pPr>
            <w:r>
              <w:rPr>
                <w:rFonts w:cstheme="minorHAnsi"/>
                <w:bCs/>
                <w:color w:val="000000"/>
                <w:szCs w:val="20"/>
              </w:rPr>
              <w:t>N</w:t>
            </w:r>
            <w:r w:rsidRPr="00F93DF0">
              <w:rPr>
                <w:rFonts w:cstheme="minorHAnsi"/>
                <w:bCs/>
                <w:color w:val="000000"/>
                <w:szCs w:val="20"/>
              </w:rPr>
              <w:t>ot available for follow-up</w:t>
            </w:r>
            <w:r>
              <w:rPr>
                <w:rFonts w:cstheme="minorHAnsi"/>
                <w:bCs/>
                <w:color w:val="000000"/>
                <w:szCs w:val="20"/>
              </w:rPr>
              <w:t>.</w:t>
            </w:r>
          </w:p>
        </w:tc>
      </w:tr>
      <w:tr w:rsidR="00B80B9A" w:rsidRPr="002F020F" w14:paraId="1D6F9EE1"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4CEF71A" w14:textId="77777777" w:rsidR="00B80B9A" w:rsidRPr="002F020F" w:rsidRDefault="00B80B9A" w:rsidP="004361E5">
            <w:r w:rsidRPr="002F020F">
              <w:t>Assessment Time-</w:t>
            </w:r>
            <w:r>
              <w:t>P</w:t>
            </w:r>
            <w:r w:rsidRPr="002F020F">
              <w:t>oint/s</w:t>
            </w:r>
          </w:p>
        </w:tc>
        <w:tc>
          <w:tcPr>
            <w:tcW w:w="3884" w:type="pct"/>
          </w:tcPr>
          <w:p w14:paraId="62EA6B72" w14:textId="77777777" w:rsidR="00B80B9A" w:rsidRPr="0015104F" w:rsidRDefault="00B80B9A" w:rsidP="00B80B9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15104F">
              <w:rPr>
                <w:rFonts w:cstheme="minorHAnsi"/>
                <w:color w:val="000000"/>
                <w:szCs w:val="20"/>
              </w:rPr>
              <w:t>Baseline (week 0)</w:t>
            </w:r>
            <w:r>
              <w:rPr>
                <w:rFonts w:cstheme="minorHAnsi"/>
                <w:color w:val="000000"/>
                <w:szCs w:val="20"/>
              </w:rPr>
              <w:t>.</w:t>
            </w:r>
          </w:p>
          <w:p w14:paraId="5628EDCC" w14:textId="77777777" w:rsidR="00B80B9A" w:rsidRPr="0015104F" w:rsidRDefault="00B80B9A" w:rsidP="00B80B9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15104F">
              <w:rPr>
                <w:rFonts w:cstheme="minorHAnsi"/>
                <w:color w:val="000000"/>
                <w:szCs w:val="20"/>
              </w:rPr>
              <w:t>During intervention (week 4 and 8)</w:t>
            </w:r>
            <w:r>
              <w:rPr>
                <w:rFonts w:cstheme="minorHAnsi"/>
                <w:color w:val="000000"/>
                <w:szCs w:val="20"/>
              </w:rPr>
              <w:t>.</w:t>
            </w:r>
          </w:p>
          <w:p w14:paraId="7B378ED6" w14:textId="77777777" w:rsidR="00B80B9A" w:rsidRPr="002F020F" w:rsidRDefault="00B80B9A" w:rsidP="00B80B9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pPr>
            <w:r w:rsidRPr="001E5310">
              <w:rPr>
                <w:rFonts w:cstheme="minorHAnsi"/>
                <w:color w:val="000000"/>
                <w:szCs w:val="20"/>
              </w:rPr>
              <w:t>Post-intervention (week 12)</w:t>
            </w:r>
            <w:r>
              <w:rPr>
                <w:rFonts w:cstheme="minorHAnsi"/>
                <w:color w:val="000000"/>
                <w:szCs w:val="20"/>
              </w:rPr>
              <w:t>.</w:t>
            </w:r>
          </w:p>
        </w:tc>
      </w:tr>
      <w:tr w:rsidR="00B80B9A" w:rsidRPr="002F020F" w14:paraId="26172BEA"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5E2EF062" w14:textId="77777777" w:rsidR="00B80B9A" w:rsidRPr="002F020F" w:rsidRDefault="00B80B9A" w:rsidP="004361E5">
            <w:r w:rsidRPr="002F020F">
              <w:lastRenderedPageBreak/>
              <w:t>Main Findings</w:t>
            </w:r>
          </w:p>
        </w:tc>
        <w:tc>
          <w:tcPr>
            <w:tcW w:w="3884" w:type="pct"/>
          </w:tcPr>
          <w:p w14:paraId="49C8C6DA" w14:textId="30430294" w:rsidR="00B80B9A" w:rsidRPr="00FF1287" w:rsidRDefault="006175D2"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t>In a</w:t>
            </w:r>
            <w:r w:rsidRPr="000F6018">
              <w:t xml:space="preserve"> modified intention-to-treat </w:t>
            </w:r>
            <w:r>
              <w:t xml:space="preserve">(ITT) </w:t>
            </w:r>
            <w:r w:rsidRPr="000F6018">
              <w:t>analysis (</w:t>
            </w:r>
            <w:r>
              <w:t xml:space="preserve">defined as </w:t>
            </w:r>
            <w:r w:rsidRPr="000F6018">
              <w:t xml:space="preserve">participants who attended all four </w:t>
            </w:r>
            <w:r>
              <w:t>assessment time-points across the 84-day trial;</w:t>
            </w:r>
            <w:r w:rsidRPr="000F6018">
              <w:t xml:space="preserve"> </w:t>
            </w:r>
            <w:r>
              <w:t>p</w:t>
            </w:r>
            <w:r w:rsidRPr="000F6018">
              <w:t xml:space="preserve">lacebo: </w:t>
            </w:r>
            <w:r w:rsidRPr="004D70C3">
              <w:rPr>
                <w:i/>
                <w:iCs/>
              </w:rPr>
              <w:t>n</w:t>
            </w:r>
            <w:r w:rsidRPr="000F6018">
              <w:t xml:space="preserve"> = 36; </w:t>
            </w:r>
            <w:r>
              <w:t>n</w:t>
            </w:r>
            <w:r w:rsidRPr="000F6018">
              <w:t xml:space="preserve">abiximols: </w:t>
            </w:r>
            <w:r w:rsidRPr="004D70C3">
              <w:rPr>
                <w:i/>
                <w:iCs/>
              </w:rPr>
              <w:t>n</w:t>
            </w:r>
            <w:r w:rsidRPr="000F6018">
              <w:t xml:space="preserve"> = 31)</w:t>
            </w:r>
            <w:r w:rsidR="00B80B9A" w:rsidRPr="00FF1287">
              <w:rPr>
                <w:rFonts w:ascii="Calibri" w:hAnsi="Calibri" w:cs="Calibri"/>
                <w:color w:val="000000"/>
                <w:szCs w:val="20"/>
              </w:rPr>
              <w:t xml:space="preserve">, the placebo group reported significantly more days using cannabis (mean = 53.1 days; SD = 33.0 days) than the nabiximols group (mean = 35.0 days; SD = 32.4 days); the estimated difference, adjusted for baseline cannabis use, was 18.6 days (95% CI = 3.5 to 33.7 days; p = </w:t>
            </w:r>
            <w:r w:rsidR="00AE2E35">
              <w:rPr>
                <w:rFonts w:ascii="Calibri" w:hAnsi="Calibri" w:cs="Calibri"/>
                <w:color w:val="000000"/>
                <w:szCs w:val="20"/>
              </w:rPr>
              <w:t>0</w:t>
            </w:r>
            <w:r w:rsidR="00B80B9A" w:rsidRPr="00FF1287">
              <w:rPr>
                <w:rFonts w:ascii="Calibri" w:hAnsi="Calibri" w:cs="Calibri"/>
                <w:color w:val="000000"/>
                <w:szCs w:val="20"/>
              </w:rPr>
              <w:t>.02). With multilevel multiple-imputation, the estimated difference was 10.6 days (95% CI</w:t>
            </w:r>
            <w:r w:rsidR="00B80B9A">
              <w:rPr>
                <w:rFonts w:ascii="Calibri" w:hAnsi="Calibri" w:cs="Calibri"/>
                <w:color w:val="000000"/>
                <w:szCs w:val="20"/>
              </w:rPr>
              <w:t xml:space="preserve"> = </w:t>
            </w:r>
            <w:r w:rsidR="00B80B9A" w:rsidRPr="00FF1287">
              <w:rPr>
                <w:rFonts w:ascii="Calibri" w:hAnsi="Calibri" w:cs="Calibri"/>
                <w:color w:val="000000"/>
                <w:szCs w:val="20"/>
              </w:rPr>
              <w:t>1.0</w:t>
            </w:r>
            <w:r w:rsidR="00B80B9A">
              <w:rPr>
                <w:rFonts w:ascii="Calibri" w:hAnsi="Calibri" w:cs="Calibri"/>
                <w:color w:val="000000"/>
                <w:szCs w:val="20"/>
              </w:rPr>
              <w:t xml:space="preserve"> to </w:t>
            </w:r>
            <w:r w:rsidR="00B80B9A" w:rsidRPr="00FF1287">
              <w:rPr>
                <w:rFonts w:ascii="Calibri" w:hAnsi="Calibri" w:cs="Calibri"/>
                <w:color w:val="000000"/>
                <w:szCs w:val="20"/>
              </w:rPr>
              <w:t xml:space="preserve">20.2 days; </w:t>
            </w:r>
            <w:r w:rsidR="00B80B9A">
              <w:rPr>
                <w:rFonts w:ascii="Calibri" w:hAnsi="Calibri" w:cs="Calibri"/>
                <w:color w:val="000000"/>
                <w:szCs w:val="20"/>
              </w:rPr>
              <w:t>p</w:t>
            </w:r>
            <w:r w:rsidR="00B80B9A" w:rsidRPr="00FF1287">
              <w:rPr>
                <w:rFonts w:ascii="Calibri" w:hAnsi="Calibri" w:cs="Calibri"/>
                <w:color w:val="000000"/>
                <w:szCs w:val="20"/>
              </w:rPr>
              <w:t xml:space="preserve"> = </w:t>
            </w:r>
            <w:r w:rsidR="00B80B9A">
              <w:rPr>
                <w:rFonts w:ascii="Calibri" w:hAnsi="Calibri" w:cs="Calibri"/>
                <w:color w:val="000000"/>
                <w:szCs w:val="20"/>
              </w:rPr>
              <w:t>0</w:t>
            </w:r>
            <w:r w:rsidR="00B80B9A" w:rsidRPr="00FF1287">
              <w:rPr>
                <w:rFonts w:ascii="Calibri" w:hAnsi="Calibri" w:cs="Calibri"/>
                <w:color w:val="000000"/>
                <w:szCs w:val="20"/>
              </w:rPr>
              <w:t>.04)</w:t>
            </w:r>
            <w:r w:rsidR="00B80B9A">
              <w:rPr>
                <w:rFonts w:ascii="Calibri" w:hAnsi="Calibri" w:cs="Calibri"/>
                <w:color w:val="000000"/>
                <w:szCs w:val="20"/>
              </w:rPr>
              <w:t>. I</w:t>
            </w:r>
            <w:r w:rsidR="00B80B9A" w:rsidRPr="00FF1287">
              <w:rPr>
                <w:rFonts w:ascii="Calibri" w:hAnsi="Calibri" w:cs="Calibri"/>
                <w:color w:val="000000"/>
                <w:szCs w:val="20"/>
              </w:rPr>
              <w:t>n the per-protocol analysis, the estimated difference was 20.3 days (95% CI</w:t>
            </w:r>
            <w:r w:rsidR="00B80B9A">
              <w:rPr>
                <w:rFonts w:ascii="Calibri" w:hAnsi="Calibri" w:cs="Calibri"/>
                <w:color w:val="000000"/>
                <w:szCs w:val="20"/>
              </w:rPr>
              <w:t xml:space="preserve"> = </w:t>
            </w:r>
            <w:r w:rsidR="00B80B9A" w:rsidRPr="00FF1287">
              <w:rPr>
                <w:rFonts w:ascii="Calibri" w:hAnsi="Calibri" w:cs="Calibri"/>
                <w:color w:val="000000"/>
                <w:szCs w:val="20"/>
              </w:rPr>
              <w:t>3.2</w:t>
            </w:r>
            <w:r w:rsidR="00B80B9A">
              <w:rPr>
                <w:rFonts w:ascii="Calibri" w:hAnsi="Calibri" w:cs="Calibri"/>
                <w:color w:val="000000"/>
                <w:szCs w:val="20"/>
              </w:rPr>
              <w:t xml:space="preserve"> to </w:t>
            </w:r>
            <w:r w:rsidR="00B80B9A" w:rsidRPr="00FF1287">
              <w:rPr>
                <w:rFonts w:ascii="Calibri" w:hAnsi="Calibri" w:cs="Calibri"/>
                <w:color w:val="000000"/>
                <w:szCs w:val="20"/>
              </w:rPr>
              <w:t xml:space="preserve">37.4 days; </w:t>
            </w:r>
            <w:r w:rsidR="00B80B9A">
              <w:rPr>
                <w:rFonts w:ascii="Calibri" w:hAnsi="Calibri" w:cs="Calibri"/>
                <w:color w:val="000000"/>
                <w:szCs w:val="20"/>
              </w:rPr>
              <w:t>p</w:t>
            </w:r>
            <w:r w:rsidR="00B80B9A" w:rsidRPr="00FF1287">
              <w:rPr>
                <w:rFonts w:ascii="Calibri" w:hAnsi="Calibri" w:cs="Calibri"/>
                <w:color w:val="000000"/>
                <w:szCs w:val="20"/>
              </w:rPr>
              <w:t xml:space="preserve"> = </w:t>
            </w:r>
            <w:r w:rsidR="00B80B9A">
              <w:rPr>
                <w:rFonts w:ascii="Calibri" w:hAnsi="Calibri" w:cs="Calibri"/>
                <w:color w:val="000000"/>
                <w:szCs w:val="20"/>
              </w:rPr>
              <w:t>0</w:t>
            </w:r>
            <w:r w:rsidR="00B80B9A" w:rsidRPr="00FF1287">
              <w:rPr>
                <w:rFonts w:ascii="Calibri" w:hAnsi="Calibri" w:cs="Calibri"/>
                <w:color w:val="000000"/>
                <w:szCs w:val="20"/>
              </w:rPr>
              <w:t>.02)</w:t>
            </w:r>
            <w:r w:rsidR="00B80B9A">
              <w:rPr>
                <w:rFonts w:ascii="Calibri" w:hAnsi="Calibri" w:cs="Calibri"/>
                <w:color w:val="000000"/>
                <w:szCs w:val="20"/>
              </w:rPr>
              <w:t>.</w:t>
            </w:r>
          </w:p>
          <w:p w14:paraId="36817E93" w14:textId="77777777" w:rsidR="00B80B9A"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FF1287">
              <w:rPr>
                <w:rFonts w:ascii="Calibri" w:hAnsi="Calibri" w:cs="Calibri"/>
                <w:color w:val="000000"/>
                <w:szCs w:val="20"/>
              </w:rPr>
              <w:t>No significant between-group difference in treatment retention was observed (nabiximols group: 49.2%; placebo group: 44.8%; p-value not reported).</w:t>
            </w:r>
          </w:p>
          <w:p w14:paraId="20E19E07" w14:textId="77777777" w:rsidR="00B80B9A" w:rsidRPr="00FF1287"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FF1287">
              <w:rPr>
                <w:rFonts w:ascii="Calibri" w:hAnsi="Calibri" w:cs="Calibri"/>
                <w:color w:val="000000"/>
                <w:szCs w:val="20"/>
              </w:rPr>
              <w:t xml:space="preserve">No significant </w:t>
            </w:r>
            <w:r>
              <w:rPr>
                <w:rFonts w:ascii="Calibri" w:hAnsi="Calibri" w:cs="Calibri"/>
                <w:color w:val="000000"/>
                <w:szCs w:val="20"/>
              </w:rPr>
              <w:t xml:space="preserve">between-group </w:t>
            </w:r>
            <w:r w:rsidRPr="00FF1287">
              <w:rPr>
                <w:rFonts w:ascii="Calibri" w:hAnsi="Calibri" w:cs="Calibri"/>
                <w:color w:val="000000"/>
                <w:szCs w:val="20"/>
              </w:rPr>
              <w:t>difference in abstinence rates (i.e., one or more 4-week periods of abstinence over the 12-week trial) was observed in the nabiximols group (26.5%) compared to the placebo group (18.2%; p = 0.31).</w:t>
            </w:r>
            <w:r w:rsidRPr="00FF1287">
              <w:rPr>
                <w:rFonts w:ascii="Calibri" w:hAnsi="Calibri" w:cs="Calibri"/>
                <w:color w:val="000000"/>
                <w:szCs w:val="20"/>
                <w:highlight w:val="yellow"/>
              </w:rPr>
              <w:t xml:space="preserve"> </w:t>
            </w:r>
          </w:p>
          <w:p w14:paraId="0A78371B" w14:textId="77777777" w:rsidR="00B80B9A" w:rsidRPr="00FF1287"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FF1287">
              <w:rPr>
                <w:rFonts w:ascii="Calibri" w:hAnsi="Calibri" w:cs="Calibri"/>
                <w:color w:val="000000"/>
                <w:szCs w:val="20"/>
              </w:rPr>
              <w:t>No significant between-group difference in cannabis-related problems (p = 0.91), cannabis withdrawal (p = 0.60), or cannabis craving (p = 0.56)</w:t>
            </w:r>
            <w:r>
              <w:rPr>
                <w:rFonts w:ascii="Calibri" w:hAnsi="Calibri" w:cs="Calibri"/>
                <w:color w:val="000000"/>
                <w:szCs w:val="20"/>
              </w:rPr>
              <w:t>,</w:t>
            </w:r>
            <w:r w:rsidRPr="00FF1287">
              <w:rPr>
                <w:rFonts w:ascii="Calibri" w:hAnsi="Calibri" w:cs="Calibri"/>
                <w:color w:val="000000"/>
                <w:szCs w:val="20"/>
              </w:rPr>
              <w:t xml:space="preserve"> was observed.</w:t>
            </w:r>
          </w:p>
          <w:p w14:paraId="40E6C201" w14:textId="77777777" w:rsidR="00B80B9A" w:rsidRPr="00FF1287"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FF1287">
              <w:rPr>
                <w:rFonts w:ascii="Calibri" w:hAnsi="Calibri" w:cs="Calibri"/>
                <w:color w:val="000000"/>
                <w:szCs w:val="20"/>
              </w:rPr>
              <w:t xml:space="preserve">No significant between-group difference in nicotine use (p = 0.85), or alcohol use (p = 0.28), was observed. </w:t>
            </w:r>
          </w:p>
          <w:p w14:paraId="6FAD66DE" w14:textId="77777777" w:rsidR="00B80B9A" w:rsidRPr="0009431B"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09431B">
              <w:rPr>
                <w:rFonts w:ascii="Calibri" w:hAnsi="Calibri" w:cs="Calibri"/>
                <w:color w:val="000000"/>
                <w:szCs w:val="20"/>
              </w:rPr>
              <w:t>Significant improvements in various dimensions of health-related quality of life (as measured by the SF-36) were observed for both groups over time (e.g., energy; emotional wellbeing; social; pain). However, there were no significant between-group differences observed.</w:t>
            </w:r>
          </w:p>
          <w:p w14:paraId="6A504FED" w14:textId="77777777" w:rsidR="00B80B9A" w:rsidRPr="0014633E" w:rsidRDefault="00B80B9A" w:rsidP="00B80B9A">
            <w:pPr>
              <w:numPr>
                <w:ilvl w:val="0"/>
                <w:numId w:val="91"/>
              </w:numPr>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EC10DE">
              <w:rPr>
                <w:rFonts w:ascii="Calibri" w:hAnsi="Calibri" w:cs="Calibri"/>
                <w:color w:val="000000"/>
                <w:szCs w:val="20"/>
              </w:rPr>
              <w:t xml:space="preserve">The proportion of participants who correctly guessed their allocation to study condition was significantly lower in the placebo (n = 27/55; 49.1%) group than in the nabiximols (n = 42/51; 82.4%) group (odds ratio = 0.21; 95% CI = 0.08 to 0.50; p = </w:t>
            </w:r>
            <w:r>
              <w:rPr>
                <w:rFonts w:ascii="Calibri" w:hAnsi="Calibri" w:cs="Calibri"/>
                <w:color w:val="000000"/>
                <w:szCs w:val="20"/>
              </w:rPr>
              <w:t>0</w:t>
            </w:r>
            <w:r w:rsidRPr="00EC10DE">
              <w:rPr>
                <w:rFonts w:ascii="Calibri" w:hAnsi="Calibri" w:cs="Calibri"/>
                <w:color w:val="000000"/>
                <w:szCs w:val="20"/>
              </w:rPr>
              <w:t>.001).</w:t>
            </w:r>
          </w:p>
        </w:tc>
      </w:tr>
      <w:tr w:rsidR="00B80B9A" w:rsidRPr="002F020F" w14:paraId="43B7C729"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1FC6A4D" w14:textId="77777777" w:rsidR="00B80B9A" w:rsidRPr="002F020F" w:rsidRDefault="00B80B9A" w:rsidP="004361E5">
            <w:r w:rsidRPr="002F020F">
              <w:t>Safety and Adverse Events</w:t>
            </w:r>
          </w:p>
        </w:tc>
        <w:tc>
          <w:tcPr>
            <w:tcW w:w="3884" w:type="pct"/>
          </w:tcPr>
          <w:p w14:paraId="2B86F1F4" w14:textId="77777777" w:rsidR="00B80B9A" w:rsidRDefault="00B80B9A" w:rsidP="00B80B9A">
            <w:pPr>
              <w:numPr>
                <w:ilvl w:val="0"/>
                <w:numId w:val="92"/>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F1287">
              <w:rPr>
                <w:rFonts w:ascii="Calibri" w:hAnsi="Calibri" w:cs="Calibri"/>
                <w:color w:val="000000"/>
                <w:szCs w:val="20"/>
              </w:rPr>
              <w:t>Study medications were generally well tolerated with no significant between-group differences in adverse events.</w:t>
            </w:r>
          </w:p>
          <w:p w14:paraId="7220769D" w14:textId="55D61813" w:rsidR="00A85924" w:rsidRDefault="00B80B9A" w:rsidP="00B80B9A">
            <w:pPr>
              <w:numPr>
                <w:ilvl w:val="0"/>
                <w:numId w:val="92"/>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F1287">
              <w:rPr>
                <w:rFonts w:ascii="Calibri" w:hAnsi="Calibri" w:cs="Calibri"/>
                <w:color w:val="000000"/>
                <w:szCs w:val="20"/>
              </w:rPr>
              <w:t xml:space="preserve">32 participants reported an adverse event: 17 of 67 </w:t>
            </w:r>
            <w:r w:rsidR="00FC4F81">
              <w:rPr>
                <w:rFonts w:ascii="Calibri" w:hAnsi="Calibri" w:cs="Calibri"/>
                <w:color w:val="000000"/>
                <w:szCs w:val="20"/>
              </w:rPr>
              <w:t xml:space="preserve">(25.4%) </w:t>
            </w:r>
            <w:r w:rsidRPr="00FF1287">
              <w:rPr>
                <w:rFonts w:ascii="Calibri" w:hAnsi="Calibri" w:cs="Calibri"/>
                <w:color w:val="000000"/>
                <w:szCs w:val="20"/>
              </w:rPr>
              <w:t>participants in the placebo group</w:t>
            </w:r>
            <w:r w:rsidR="00FC4F81">
              <w:rPr>
                <w:rFonts w:ascii="Calibri" w:hAnsi="Calibri" w:cs="Calibri"/>
                <w:color w:val="000000"/>
                <w:szCs w:val="20"/>
              </w:rPr>
              <w:t>,</w:t>
            </w:r>
            <w:r w:rsidRPr="00FF1287">
              <w:rPr>
                <w:rFonts w:ascii="Calibri" w:hAnsi="Calibri" w:cs="Calibri"/>
                <w:color w:val="000000"/>
                <w:szCs w:val="20"/>
              </w:rPr>
              <w:t xml:space="preserve"> and 15 of 61 </w:t>
            </w:r>
            <w:r w:rsidR="00FC4F81">
              <w:rPr>
                <w:rFonts w:ascii="Calibri" w:hAnsi="Calibri" w:cs="Calibri"/>
                <w:color w:val="000000"/>
                <w:szCs w:val="20"/>
              </w:rPr>
              <w:t>(</w:t>
            </w:r>
            <w:r w:rsidR="00A85924">
              <w:rPr>
                <w:rFonts w:ascii="Calibri" w:hAnsi="Calibri" w:cs="Calibri"/>
                <w:color w:val="000000"/>
                <w:szCs w:val="20"/>
              </w:rPr>
              <w:t xml:space="preserve">24.6%) </w:t>
            </w:r>
            <w:r w:rsidRPr="00FF1287">
              <w:rPr>
                <w:rFonts w:ascii="Calibri" w:hAnsi="Calibri" w:cs="Calibri"/>
                <w:color w:val="000000"/>
                <w:szCs w:val="20"/>
              </w:rPr>
              <w:t>participants in the nabiximols group</w:t>
            </w:r>
            <w:r w:rsidR="00F24185">
              <w:rPr>
                <w:rFonts w:ascii="Calibri" w:hAnsi="Calibri" w:cs="Calibri"/>
                <w:color w:val="000000"/>
                <w:szCs w:val="20"/>
              </w:rPr>
              <w:t>.</w:t>
            </w:r>
          </w:p>
          <w:p w14:paraId="72FCD948" w14:textId="29EE49AB" w:rsidR="00B80B9A" w:rsidRDefault="00B80B9A" w:rsidP="00B80B9A">
            <w:pPr>
              <w:numPr>
                <w:ilvl w:val="0"/>
                <w:numId w:val="92"/>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F1287">
              <w:rPr>
                <w:rFonts w:ascii="Calibri" w:hAnsi="Calibri" w:cs="Calibri"/>
                <w:color w:val="000000"/>
                <w:szCs w:val="20"/>
              </w:rPr>
              <w:t>14 participants reported two or more adverse events.</w:t>
            </w:r>
          </w:p>
          <w:p w14:paraId="69288F79" w14:textId="4DB9C4DE" w:rsidR="00B80B9A" w:rsidRPr="00FF1287" w:rsidRDefault="00B80B9A" w:rsidP="00B80B9A">
            <w:pPr>
              <w:numPr>
                <w:ilvl w:val="0"/>
                <w:numId w:val="92"/>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F1287">
              <w:rPr>
                <w:rFonts w:ascii="Calibri" w:hAnsi="Calibri" w:cs="Calibri"/>
                <w:color w:val="000000"/>
                <w:szCs w:val="20"/>
              </w:rPr>
              <w:t>Headache was the only adverse event reported by more than 5% of participants (</w:t>
            </w:r>
            <w:r w:rsidR="003A6267">
              <w:rPr>
                <w:rFonts w:ascii="Calibri" w:hAnsi="Calibri" w:cs="Calibri"/>
                <w:color w:val="000000"/>
                <w:szCs w:val="20"/>
              </w:rPr>
              <w:t xml:space="preserve">n = </w:t>
            </w:r>
            <w:r w:rsidRPr="00FF1287">
              <w:rPr>
                <w:rFonts w:ascii="Calibri" w:hAnsi="Calibri" w:cs="Calibri"/>
                <w:color w:val="000000"/>
                <w:szCs w:val="20"/>
              </w:rPr>
              <w:t>7/128; 5.5%</w:t>
            </w:r>
            <w:r w:rsidR="001477EC">
              <w:rPr>
                <w:rFonts w:ascii="Calibri" w:hAnsi="Calibri" w:cs="Calibri"/>
                <w:color w:val="000000"/>
                <w:szCs w:val="20"/>
              </w:rPr>
              <w:t>)</w:t>
            </w:r>
            <w:r w:rsidRPr="00FF1287">
              <w:rPr>
                <w:rFonts w:ascii="Calibri" w:hAnsi="Calibri" w:cs="Calibri"/>
                <w:color w:val="000000"/>
                <w:szCs w:val="20"/>
              </w:rPr>
              <w:t xml:space="preserve">: 2 of 67 </w:t>
            </w:r>
            <w:r w:rsidR="00005C98">
              <w:rPr>
                <w:rFonts w:ascii="Calibri" w:hAnsi="Calibri" w:cs="Calibri"/>
                <w:color w:val="000000"/>
                <w:szCs w:val="20"/>
              </w:rPr>
              <w:t>(3</w:t>
            </w:r>
            <w:r w:rsidR="007D22BC">
              <w:rPr>
                <w:rFonts w:ascii="Calibri" w:hAnsi="Calibri" w:cs="Calibri"/>
                <w:color w:val="000000"/>
                <w:szCs w:val="20"/>
              </w:rPr>
              <w:t>.0</w:t>
            </w:r>
            <w:r w:rsidR="00005C98">
              <w:rPr>
                <w:rFonts w:ascii="Calibri" w:hAnsi="Calibri" w:cs="Calibri"/>
                <w:color w:val="000000"/>
                <w:szCs w:val="20"/>
              </w:rPr>
              <w:t xml:space="preserve">%) </w:t>
            </w:r>
            <w:r w:rsidRPr="00FF1287">
              <w:rPr>
                <w:rFonts w:ascii="Calibri" w:hAnsi="Calibri" w:cs="Calibri"/>
                <w:color w:val="000000"/>
                <w:szCs w:val="20"/>
              </w:rPr>
              <w:t>participants in the placebo group</w:t>
            </w:r>
            <w:r w:rsidR="007D22BC">
              <w:rPr>
                <w:rFonts w:ascii="Calibri" w:hAnsi="Calibri" w:cs="Calibri"/>
                <w:color w:val="000000"/>
                <w:szCs w:val="20"/>
              </w:rPr>
              <w:t>,</w:t>
            </w:r>
            <w:r w:rsidR="003A6267">
              <w:rPr>
                <w:rFonts w:ascii="Calibri" w:hAnsi="Calibri" w:cs="Calibri"/>
                <w:color w:val="000000"/>
                <w:szCs w:val="20"/>
              </w:rPr>
              <w:t xml:space="preserve"> </w:t>
            </w:r>
            <w:r w:rsidRPr="00FF1287">
              <w:rPr>
                <w:rFonts w:ascii="Calibri" w:hAnsi="Calibri" w:cs="Calibri"/>
                <w:color w:val="000000"/>
                <w:szCs w:val="20"/>
              </w:rPr>
              <w:t xml:space="preserve">and 5 of 61 </w:t>
            </w:r>
            <w:r w:rsidR="00005C98">
              <w:rPr>
                <w:rFonts w:ascii="Calibri" w:hAnsi="Calibri" w:cs="Calibri"/>
                <w:color w:val="000000"/>
                <w:szCs w:val="20"/>
              </w:rPr>
              <w:t>(8</w:t>
            </w:r>
            <w:r w:rsidR="007D22BC">
              <w:rPr>
                <w:rFonts w:ascii="Calibri" w:hAnsi="Calibri" w:cs="Calibri"/>
                <w:color w:val="000000"/>
                <w:szCs w:val="20"/>
              </w:rPr>
              <w:t>.2</w:t>
            </w:r>
            <w:r w:rsidR="00005C98">
              <w:rPr>
                <w:rFonts w:ascii="Calibri" w:hAnsi="Calibri" w:cs="Calibri"/>
                <w:color w:val="000000"/>
                <w:szCs w:val="20"/>
              </w:rPr>
              <w:t xml:space="preserve">%) </w:t>
            </w:r>
            <w:r w:rsidRPr="00FF1287">
              <w:rPr>
                <w:rFonts w:ascii="Calibri" w:hAnsi="Calibri" w:cs="Calibri"/>
                <w:color w:val="000000"/>
                <w:szCs w:val="20"/>
              </w:rPr>
              <w:t>participants in the nabiximols group.</w:t>
            </w:r>
          </w:p>
          <w:p w14:paraId="5414F996" w14:textId="77777777" w:rsidR="00B80B9A" w:rsidRPr="00AF56FF" w:rsidRDefault="00B80B9A" w:rsidP="00B80B9A">
            <w:pPr>
              <w:numPr>
                <w:ilvl w:val="0"/>
                <w:numId w:val="92"/>
              </w:numPr>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1E5310">
              <w:rPr>
                <w:rFonts w:ascii="Calibri" w:hAnsi="Calibri" w:cs="Calibri"/>
                <w:color w:val="000000"/>
                <w:szCs w:val="20"/>
              </w:rPr>
              <w:t xml:space="preserve">One serious </w:t>
            </w:r>
            <w:r>
              <w:rPr>
                <w:rFonts w:ascii="Calibri" w:hAnsi="Calibri" w:cs="Calibri"/>
                <w:color w:val="000000"/>
                <w:szCs w:val="20"/>
              </w:rPr>
              <w:t>adverse event</w:t>
            </w:r>
            <w:r w:rsidRPr="001E5310">
              <w:rPr>
                <w:rFonts w:ascii="Calibri" w:hAnsi="Calibri" w:cs="Calibri"/>
                <w:color w:val="000000"/>
                <w:szCs w:val="20"/>
              </w:rPr>
              <w:t xml:space="preserve"> was reported by a participant in the placebo group who was hospitali</w:t>
            </w:r>
            <w:r>
              <w:rPr>
                <w:rFonts w:ascii="Calibri" w:hAnsi="Calibri" w:cs="Calibri"/>
                <w:color w:val="000000"/>
                <w:szCs w:val="20"/>
              </w:rPr>
              <w:t>s</w:t>
            </w:r>
            <w:r w:rsidRPr="001E5310">
              <w:rPr>
                <w:rFonts w:ascii="Calibri" w:hAnsi="Calibri" w:cs="Calibri"/>
                <w:color w:val="000000"/>
                <w:szCs w:val="20"/>
              </w:rPr>
              <w:t xml:space="preserve">ed for suicidal ideation in the first week </w:t>
            </w:r>
            <w:r>
              <w:rPr>
                <w:rFonts w:ascii="Calibri" w:hAnsi="Calibri" w:cs="Calibri"/>
                <w:color w:val="000000"/>
                <w:szCs w:val="20"/>
              </w:rPr>
              <w:t>of</w:t>
            </w:r>
            <w:r w:rsidRPr="001E5310">
              <w:rPr>
                <w:rFonts w:ascii="Calibri" w:hAnsi="Calibri" w:cs="Calibri"/>
                <w:color w:val="000000"/>
                <w:szCs w:val="20"/>
              </w:rPr>
              <w:t xml:space="preserve"> the study and subsequently discontinued treatment.</w:t>
            </w:r>
          </w:p>
        </w:tc>
      </w:tr>
    </w:tbl>
    <w:p w14:paraId="7C60374C" w14:textId="77777777" w:rsidR="00B80B9A" w:rsidRDefault="00B80B9A" w:rsidP="00B80B9A"/>
    <w:p w14:paraId="123662C9" w14:textId="1FAF23C2" w:rsidR="00B80B9A" w:rsidRDefault="00B80B9A" w:rsidP="00B80B9A">
      <w:pPr>
        <w:pStyle w:val="Heading2"/>
        <w:numPr>
          <w:ilvl w:val="0"/>
          <w:numId w:val="70"/>
        </w:numPr>
      </w:pPr>
      <w:bookmarkStart w:id="325" w:name="_Toc165018247"/>
      <w:r>
        <w:t>Natural C</w:t>
      </w:r>
      <w:r w:rsidRPr="000F0FB7">
        <w:t>annabi</w:t>
      </w:r>
      <w:r w:rsidR="000E38E5">
        <w:t>s Extract</w:t>
      </w:r>
      <w:r>
        <w:t xml:space="preserve"> (THC&amp;CBD)</w:t>
      </w:r>
      <w:r w:rsidRPr="000F0FB7">
        <w:t xml:space="preserve"> for Cannabis Use Disord</w:t>
      </w:r>
      <w:r>
        <w:t>er (CUD): Combined intervention</w:t>
      </w:r>
      <w:bookmarkEnd w:id="325"/>
    </w:p>
    <w:tbl>
      <w:tblPr>
        <w:tblStyle w:val="GridTable5Dark-Accent5"/>
        <w:tblW w:w="5000" w:type="pct"/>
        <w:tblLook w:val="04A0" w:firstRow="1" w:lastRow="0" w:firstColumn="1" w:lastColumn="0" w:noHBand="0" w:noVBand="1"/>
      </w:tblPr>
      <w:tblGrid>
        <w:gridCol w:w="2012"/>
        <w:gridCol w:w="7004"/>
      </w:tblGrid>
      <w:tr w:rsidR="00B80B9A" w:rsidRPr="002F020F" w14:paraId="3F8C3069" w14:textId="77777777" w:rsidTr="004F2F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4B787C61" w14:textId="77777777" w:rsidR="00B80B9A" w:rsidRPr="002F020F" w:rsidRDefault="00B80B9A" w:rsidP="004361E5">
            <w:r w:rsidRPr="002F020F">
              <w:t>Citation</w:t>
            </w:r>
          </w:p>
        </w:tc>
        <w:tc>
          <w:tcPr>
            <w:tcW w:w="3884" w:type="pct"/>
          </w:tcPr>
          <w:p w14:paraId="68487A64" w14:textId="77777777" w:rsidR="00B80B9A" w:rsidRPr="006B2472" w:rsidRDefault="00B80B9A" w:rsidP="004361E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rPr>
            </w:pPr>
            <w:r w:rsidRPr="006B2472">
              <w:rPr>
                <w:rFonts w:cstheme="minorHAnsi"/>
                <w:szCs w:val="20"/>
              </w:rPr>
              <w:t>Trigo et al. (2018)</w:t>
            </w:r>
          </w:p>
        </w:tc>
      </w:tr>
      <w:tr w:rsidR="00B80B9A" w:rsidRPr="002F020F" w14:paraId="1D8712C0"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0029FD12" w14:textId="77777777" w:rsidR="00B80B9A" w:rsidRPr="002F020F" w:rsidRDefault="00B80B9A" w:rsidP="004361E5">
            <w:pPr>
              <w:contextualSpacing/>
            </w:pPr>
            <w:r w:rsidRPr="002F020F">
              <w:t>Study Design</w:t>
            </w:r>
          </w:p>
        </w:tc>
        <w:tc>
          <w:tcPr>
            <w:tcW w:w="3884" w:type="pct"/>
          </w:tcPr>
          <w:p w14:paraId="65DE559B" w14:textId="77777777" w:rsidR="00B80B9A" w:rsidRPr="005D13F4" w:rsidRDefault="00B80B9A" w:rsidP="00B80B9A">
            <w:pPr>
              <w:pStyle w:val="ListParagraph"/>
              <w:numPr>
                <w:ilvl w:val="0"/>
                <w:numId w:val="9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C01953">
              <w:rPr>
                <w:rFonts w:cstheme="minorHAnsi"/>
                <w:szCs w:val="20"/>
              </w:rPr>
              <w:t xml:space="preserve">Double-blind, randomised, </w:t>
            </w:r>
            <w:r>
              <w:rPr>
                <w:rFonts w:cstheme="minorHAnsi"/>
                <w:szCs w:val="20"/>
              </w:rPr>
              <w:t>placebo-</w:t>
            </w:r>
            <w:r w:rsidRPr="00C01953">
              <w:rPr>
                <w:rFonts w:cstheme="minorHAnsi"/>
                <w:szCs w:val="20"/>
              </w:rPr>
              <w:t>controlled</w:t>
            </w:r>
            <w:r>
              <w:rPr>
                <w:rFonts w:cstheme="minorHAnsi"/>
                <w:szCs w:val="20"/>
              </w:rPr>
              <w:t>,</w:t>
            </w:r>
            <w:r w:rsidRPr="00C01953">
              <w:rPr>
                <w:rFonts w:cstheme="minorHAnsi"/>
                <w:szCs w:val="20"/>
              </w:rPr>
              <w:t xml:space="preserve"> trial</w:t>
            </w:r>
            <w:r>
              <w:rPr>
                <w:rFonts w:cstheme="minorHAnsi"/>
                <w:szCs w:val="20"/>
              </w:rPr>
              <w:t>.</w:t>
            </w:r>
          </w:p>
        </w:tc>
      </w:tr>
      <w:tr w:rsidR="00B80B9A" w:rsidRPr="002F020F" w14:paraId="7DEDCDC4"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61E6FFC7" w14:textId="77777777" w:rsidR="00B80B9A" w:rsidRPr="002F020F" w:rsidRDefault="00B80B9A" w:rsidP="004361E5">
            <w:pPr>
              <w:contextualSpacing/>
            </w:pPr>
            <w:r w:rsidRPr="002F020F">
              <w:t>Sample Size</w:t>
            </w:r>
          </w:p>
        </w:tc>
        <w:tc>
          <w:tcPr>
            <w:tcW w:w="3884" w:type="pct"/>
          </w:tcPr>
          <w:p w14:paraId="75EF5FB0" w14:textId="77777777" w:rsidR="00B80B9A"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Pr>
                <w:szCs w:val="20"/>
              </w:rPr>
              <w:t>27 participants (per-protocol sample).</w:t>
            </w:r>
          </w:p>
          <w:p w14:paraId="7B36E070" w14:textId="55290532" w:rsidR="00B80B9A"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Pr>
                <w:szCs w:val="20"/>
              </w:rPr>
              <w:t>50 participants enrolled; 10 participants withdrew prior to the first dosing session; randomised in blocks of 10.</w:t>
            </w:r>
            <w:r w:rsidR="00D711CE">
              <w:rPr>
                <w:szCs w:val="20"/>
              </w:rPr>
              <w:t xml:space="preserve"> </w:t>
            </w:r>
          </w:p>
          <w:p w14:paraId="034D327C" w14:textId="77777777" w:rsidR="00B80B9A" w:rsidRPr="0023155A" w:rsidRDefault="00B80B9A" w:rsidP="00B80B9A">
            <w:pPr>
              <w:pStyle w:val="ListParagraph"/>
              <w:numPr>
                <w:ilvl w:val="0"/>
                <w:numId w:val="93"/>
              </w:numPr>
              <w:spacing w:after="120"/>
              <w:cnfStyle w:val="000000000000" w:firstRow="0" w:lastRow="0" w:firstColumn="0" w:lastColumn="0" w:oddVBand="0" w:evenVBand="0" w:oddHBand="0" w:evenHBand="0" w:firstRowFirstColumn="0" w:firstRowLastColumn="0" w:lastRowFirstColumn="0" w:lastRowLastColumn="0"/>
              <w:rPr>
                <w:szCs w:val="20"/>
              </w:rPr>
            </w:pPr>
            <w:r w:rsidRPr="0023155A">
              <w:rPr>
                <w:szCs w:val="20"/>
              </w:rPr>
              <w:t xml:space="preserve">Nabiximols group: 7 </w:t>
            </w:r>
            <w:r>
              <w:rPr>
                <w:szCs w:val="20"/>
              </w:rPr>
              <w:t xml:space="preserve">of the 20 </w:t>
            </w:r>
            <w:r w:rsidRPr="0023155A">
              <w:rPr>
                <w:szCs w:val="20"/>
              </w:rPr>
              <w:t xml:space="preserve">participants </w:t>
            </w:r>
            <w:r>
              <w:rPr>
                <w:szCs w:val="20"/>
              </w:rPr>
              <w:t>did not complete the</w:t>
            </w:r>
            <w:r w:rsidRPr="0023155A">
              <w:rPr>
                <w:szCs w:val="20"/>
              </w:rPr>
              <w:t xml:space="preserve"> 12-week trial protocol.</w:t>
            </w:r>
          </w:p>
          <w:p w14:paraId="43967405" w14:textId="77777777" w:rsidR="00B80B9A" w:rsidRPr="004E747B" w:rsidRDefault="00B80B9A" w:rsidP="00B80B9A">
            <w:pPr>
              <w:pStyle w:val="ListParagraph"/>
              <w:numPr>
                <w:ilvl w:val="0"/>
                <w:numId w:val="93"/>
              </w:numPr>
              <w:spacing w:after="120"/>
              <w:cnfStyle w:val="000000000000" w:firstRow="0" w:lastRow="0" w:firstColumn="0" w:lastColumn="0" w:oddVBand="0" w:evenVBand="0" w:oddHBand="0" w:evenHBand="0" w:firstRowFirstColumn="0" w:firstRowLastColumn="0" w:lastRowFirstColumn="0" w:lastRowLastColumn="0"/>
              <w:rPr>
                <w:szCs w:val="20"/>
              </w:rPr>
            </w:pPr>
            <w:r w:rsidRPr="0023155A">
              <w:rPr>
                <w:szCs w:val="20"/>
              </w:rPr>
              <w:t xml:space="preserve">Placebo group: 6 </w:t>
            </w:r>
            <w:r>
              <w:rPr>
                <w:szCs w:val="20"/>
              </w:rPr>
              <w:t xml:space="preserve">of the 20 </w:t>
            </w:r>
            <w:r w:rsidRPr="0023155A">
              <w:rPr>
                <w:szCs w:val="20"/>
              </w:rPr>
              <w:t xml:space="preserve">participants </w:t>
            </w:r>
            <w:r>
              <w:rPr>
                <w:szCs w:val="20"/>
              </w:rPr>
              <w:t>did not complete the</w:t>
            </w:r>
            <w:r w:rsidRPr="0023155A">
              <w:rPr>
                <w:szCs w:val="20"/>
              </w:rPr>
              <w:t xml:space="preserve"> 12-week trial protocol.</w:t>
            </w:r>
          </w:p>
        </w:tc>
      </w:tr>
      <w:tr w:rsidR="00B80B9A" w:rsidRPr="002F020F" w14:paraId="5AB060B3"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26FBC2E7" w14:textId="77777777" w:rsidR="00B80B9A" w:rsidRPr="0094024F" w:rsidRDefault="00B80B9A" w:rsidP="004361E5">
            <w:pPr>
              <w:contextualSpacing/>
              <w:rPr>
                <w:b w:val="0"/>
                <w:bCs w:val="0"/>
              </w:rPr>
            </w:pPr>
            <w:r w:rsidRPr="002F020F">
              <w:lastRenderedPageBreak/>
              <w:t>Population</w:t>
            </w:r>
          </w:p>
        </w:tc>
        <w:tc>
          <w:tcPr>
            <w:tcW w:w="3884" w:type="pct"/>
          </w:tcPr>
          <w:p w14:paraId="2370E492" w14:textId="77777777" w:rsidR="00B80B9A"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205C0">
              <w:rPr>
                <w:rFonts w:cstheme="minorHAnsi"/>
                <w:color w:val="000000"/>
                <w:szCs w:val="20"/>
              </w:rPr>
              <w:t>Canada</w:t>
            </w:r>
            <w:r>
              <w:rPr>
                <w:rFonts w:cstheme="minorHAnsi"/>
                <w:color w:val="000000"/>
                <w:szCs w:val="20"/>
              </w:rPr>
              <w:t>.</w:t>
            </w:r>
          </w:p>
          <w:p w14:paraId="3CFD87E9" w14:textId="77777777" w:rsidR="00B80B9A" w:rsidRPr="00E205C0"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C</w:t>
            </w:r>
            <w:r w:rsidRPr="00E205C0">
              <w:rPr>
                <w:rFonts w:cstheme="minorHAnsi"/>
                <w:color w:val="000000"/>
                <w:szCs w:val="20"/>
              </w:rPr>
              <w:t>annabis use disorder (</w:t>
            </w:r>
            <w:r w:rsidRPr="00E205C0">
              <w:rPr>
                <w:rFonts w:ascii="MinionPro-Regular" w:hAnsi="MinionPro-Regular" w:cs="MinionPro-Regular"/>
                <w:szCs w:val="20"/>
              </w:rPr>
              <w:t>DSM-IV</w:t>
            </w:r>
            <w:r>
              <w:rPr>
                <w:rFonts w:ascii="MinionPro-Regular" w:hAnsi="MinionPro-Regular" w:cs="MinionPro-Regular"/>
                <w:szCs w:val="20"/>
              </w:rPr>
              <w:t xml:space="preserve"> criteria).</w:t>
            </w:r>
          </w:p>
          <w:p w14:paraId="6553CB6F" w14:textId="77777777" w:rsidR="00B80B9A" w:rsidRPr="00E205C0"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205C0">
              <w:rPr>
                <w:rFonts w:cstheme="minorHAnsi"/>
                <w:color w:val="000000"/>
                <w:szCs w:val="20"/>
              </w:rPr>
              <w:t>Treatment seeking</w:t>
            </w:r>
            <w:r>
              <w:rPr>
                <w:rFonts w:cstheme="minorHAnsi"/>
                <w:color w:val="000000"/>
                <w:szCs w:val="20"/>
              </w:rPr>
              <w:t>.</w:t>
            </w:r>
          </w:p>
        </w:tc>
      </w:tr>
      <w:tr w:rsidR="00B80B9A" w:rsidRPr="002F020F" w14:paraId="7666B403"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3B7AAB23" w14:textId="77777777" w:rsidR="00B80B9A" w:rsidRPr="002F020F" w:rsidRDefault="00B80B9A" w:rsidP="004361E5">
            <w:pPr>
              <w:contextualSpacing/>
              <w:rPr>
                <w:b w:val="0"/>
                <w:bCs w:val="0"/>
              </w:rPr>
            </w:pPr>
            <w:r w:rsidRPr="002F020F">
              <w:t xml:space="preserve">Intervention/s (I) and </w:t>
            </w:r>
          </w:p>
          <w:p w14:paraId="6C043E12" w14:textId="77777777" w:rsidR="00B80B9A" w:rsidRPr="002F020F" w:rsidRDefault="00B80B9A" w:rsidP="004361E5">
            <w:pPr>
              <w:contextualSpacing/>
            </w:pPr>
            <w:r w:rsidRPr="002F020F">
              <w:t xml:space="preserve">Comparator/s (C) </w:t>
            </w:r>
          </w:p>
        </w:tc>
        <w:tc>
          <w:tcPr>
            <w:tcW w:w="3884" w:type="pct"/>
          </w:tcPr>
          <w:p w14:paraId="79CE2901" w14:textId="77777777" w:rsidR="00B80B9A" w:rsidRPr="005D13F4" w:rsidRDefault="00B80B9A" w:rsidP="00B80B9A">
            <w:pPr>
              <w:pStyle w:val="ListParagraph"/>
              <w:numPr>
                <w:ilvl w:val="0"/>
                <w:numId w:val="112"/>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5D13F4">
              <w:rPr>
                <w:rFonts w:cstheme="minorHAnsi"/>
                <w:color w:val="000000"/>
                <w:szCs w:val="20"/>
              </w:rPr>
              <w:t xml:space="preserve">All participants received 12 </w:t>
            </w:r>
            <w:r>
              <w:rPr>
                <w:rFonts w:cstheme="minorHAnsi"/>
                <w:color w:val="000000"/>
                <w:szCs w:val="20"/>
              </w:rPr>
              <w:t xml:space="preserve">(1-hour) </w:t>
            </w:r>
            <w:r w:rsidRPr="005D13F4">
              <w:rPr>
                <w:rFonts w:cstheme="minorHAnsi"/>
                <w:color w:val="000000"/>
                <w:szCs w:val="20"/>
              </w:rPr>
              <w:t>sessions (one session per week) of Motivational Enhancement Therapy and Cognitive Behavioural Therapy (MET/CBT).</w:t>
            </w:r>
          </w:p>
          <w:p w14:paraId="4EA562F6" w14:textId="3DA38042" w:rsidR="00B80B9A" w:rsidRPr="00AE2575" w:rsidRDefault="00B80B9A" w:rsidP="00B80B9A">
            <w:pPr>
              <w:pStyle w:val="ListParagraph"/>
              <w:numPr>
                <w:ilvl w:val="0"/>
                <w:numId w:val="112"/>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Pr>
                <w:rFonts w:cstheme="minorHAnsi"/>
                <w:color w:val="000000"/>
                <w:szCs w:val="20"/>
              </w:rPr>
              <w:t>All participants received an oromucosal spray</w:t>
            </w:r>
            <w:r w:rsidR="00F56197">
              <w:rPr>
                <w:rFonts w:cstheme="minorHAnsi"/>
                <w:color w:val="000000"/>
                <w:szCs w:val="20"/>
              </w:rPr>
              <w:t xml:space="preserve"> (weekly) and were instructed to self-titrate the study medication</w:t>
            </w:r>
            <w:r>
              <w:rPr>
                <w:rFonts w:cstheme="minorHAnsi"/>
                <w:color w:val="000000"/>
                <w:szCs w:val="20"/>
              </w:rPr>
              <w:t>.</w:t>
            </w:r>
          </w:p>
          <w:p w14:paraId="39D24691" w14:textId="1FFB3E0B" w:rsidR="00B80B9A" w:rsidRPr="005A21F8" w:rsidRDefault="00B80B9A" w:rsidP="00B80B9A">
            <w:pPr>
              <w:pStyle w:val="ListParagraph"/>
              <w:numPr>
                <w:ilvl w:val="0"/>
                <w:numId w:val="112"/>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5A21F8">
              <w:rPr>
                <w:rFonts w:cstheme="minorHAnsi"/>
                <w:color w:val="000000"/>
                <w:szCs w:val="20"/>
              </w:rPr>
              <w:t>I (n = 20): nabiximols</w:t>
            </w:r>
            <w:r>
              <w:rPr>
                <w:rFonts w:cstheme="minorHAnsi"/>
                <w:color w:val="000000"/>
                <w:szCs w:val="20"/>
              </w:rPr>
              <w:t xml:space="preserve"> </w:t>
            </w:r>
            <w:r w:rsidRPr="005A21F8">
              <w:rPr>
                <w:rFonts w:cstheme="minorHAnsi"/>
                <w:color w:val="000000"/>
                <w:szCs w:val="20"/>
              </w:rPr>
              <w:t xml:space="preserve">(natural cannabis </w:t>
            </w:r>
            <w:r>
              <w:rPr>
                <w:rFonts w:cstheme="minorHAnsi"/>
                <w:color w:val="000000"/>
                <w:szCs w:val="20"/>
              </w:rPr>
              <w:t>extract: THC&amp;CBD</w:t>
            </w:r>
            <w:r w:rsidRPr="005A21F8">
              <w:rPr>
                <w:rFonts w:cstheme="minorHAnsi"/>
                <w:color w:val="000000"/>
                <w:szCs w:val="20"/>
              </w:rPr>
              <w:t>); max</w:t>
            </w:r>
            <w:r>
              <w:rPr>
                <w:rFonts w:cstheme="minorHAnsi"/>
                <w:color w:val="000000"/>
                <w:szCs w:val="20"/>
              </w:rPr>
              <w:t>imum of</w:t>
            </w:r>
            <w:r w:rsidRPr="005A21F8">
              <w:rPr>
                <w:rFonts w:cstheme="minorHAnsi"/>
                <w:color w:val="000000"/>
                <w:szCs w:val="20"/>
              </w:rPr>
              <w:t xml:space="preserve"> 42 sprays (113.4mg of THC and 105mg of CBD) per day.</w:t>
            </w:r>
          </w:p>
          <w:p w14:paraId="52EA024A" w14:textId="77777777" w:rsidR="00B80B9A" w:rsidRPr="002F020F" w:rsidRDefault="00B80B9A" w:rsidP="00B80B9A">
            <w:pPr>
              <w:pStyle w:val="ListParagraph"/>
              <w:numPr>
                <w:ilvl w:val="0"/>
                <w:numId w:val="95"/>
              </w:numPr>
              <w:spacing w:after="120"/>
              <w:cnfStyle w:val="000000000000" w:firstRow="0" w:lastRow="0" w:firstColumn="0" w:lastColumn="0" w:oddVBand="0" w:evenVBand="0" w:oddHBand="0" w:evenHBand="0" w:firstRowFirstColumn="0" w:firstRowLastColumn="0" w:lastRowFirstColumn="0" w:lastRowLastColumn="0"/>
            </w:pPr>
            <w:r w:rsidRPr="00C01953">
              <w:rPr>
                <w:rFonts w:cstheme="minorHAnsi"/>
                <w:color w:val="000000"/>
                <w:szCs w:val="20"/>
              </w:rPr>
              <w:t xml:space="preserve">C (n = </w:t>
            </w:r>
            <w:r w:rsidRPr="00035151">
              <w:rPr>
                <w:rFonts w:cstheme="minorHAnsi"/>
                <w:color w:val="000000"/>
                <w:szCs w:val="20"/>
              </w:rPr>
              <w:t>20</w:t>
            </w:r>
            <w:r w:rsidRPr="00C01953">
              <w:rPr>
                <w:rFonts w:cstheme="minorHAnsi"/>
                <w:color w:val="000000"/>
                <w:szCs w:val="20"/>
              </w:rPr>
              <w:t>)</w:t>
            </w:r>
            <w:r>
              <w:rPr>
                <w:rFonts w:cstheme="minorHAnsi"/>
                <w:color w:val="000000"/>
                <w:szCs w:val="20"/>
              </w:rPr>
              <w:t>:</w:t>
            </w:r>
            <w:r w:rsidRPr="00C01953">
              <w:rPr>
                <w:rFonts w:cstheme="minorHAnsi"/>
                <w:color w:val="000000"/>
                <w:szCs w:val="20"/>
              </w:rPr>
              <w:t xml:space="preserve"> placebo (matched carrier and flavouring)</w:t>
            </w:r>
            <w:r>
              <w:rPr>
                <w:rFonts w:cstheme="minorHAnsi"/>
                <w:color w:val="000000"/>
                <w:szCs w:val="20"/>
              </w:rPr>
              <w:t>.</w:t>
            </w:r>
          </w:p>
        </w:tc>
      </w:tr>
      <w:tr w:rsidR="00B80B9A" w:rsidRPr="002F020F" w14:paraId="43601114"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5D14BCD7" w14:textId="77777777" w:rsidR="00B80B9A" w:rsidRPr="002F020F" w:rsidRDefault="00B80B9A" w:rsidP="004361E5">
            <w:pPr>
              <w:contextualSpacing/>
            </w:pPr>
            <w:r w:rsidRPr="002F020F">
              <w:t>Outcome Measure/s</w:t>
            </w:r>
          </w:p>
        </w:tc>
        <w:tc>
          <w:tcPr>
            <w:tcW w:w="3884" w:type="pct"/>
          </w:tcPr>
          <w:p w14:paraId="7F9D77B7" w14:textId="77777777" w:rsidR="00B80B9A" w:rsidRPr="00786A9C" w:rsidRDefault="00B80B9A" w:rsidP="004361E5">
            <w:pPr>
              <w:spacing w:after="0"/>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786A9C">
              <w:rPr>
                <w:rFonts w:cstheme="minorHAnsi"/>
                <w:bCs/>
                <w:color w:val="000000"/>
                <w:szCs w:val="20"/>
              </w:rPr>
              <w:t>Primary:</w:t>
            </w:r>
          </w:p>
          <w:p w14:paraId="5706B219" w14:textId="68DEA591" w:rsidR="00B80B9A" w:rsidRPr="00786A9C" w:rsidRDefault="00B80B9A" w:rsidP="00B80B9A">
            <w:pPr>
              <w:pStyle w:val="ListParagraph"/>
              <w:numPr>
                <w:ilvl w:val="0"/>
                <w:numId w:val="89"/>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786A9C">
              <w:rPr>
                <w:rFonts w:cstheme="minorHAnsi"/>
                <w:color w:val="000000"/>
                <w:szCs w:val="20"/>
              </w:rPr>
              <w:t>Tolerability of the self-titrated dose of oromucosal spray</w:t>
            </w:r>
            <w:r>
              <w:rPr>
                <w:rFonts w:cstheme="minorHAnsi"/>
                <w:color w:val="000000"/>
                <w:szCs w:val="20"/>
              </w:rPr>
              <w:t xml:space="preserve"> (sprays per day)</w:t>
            </w:r>
            <w:r w:rsidRPr="00786A9C">
              <w:rPr>
                <w:rFonts w:ascii="MinionPro-Regular" w:hAnsi="MinionPro-Regular" w:cs="MinionPro-Regular"/>
                <w:szCs w:val="20"/>
              </w:rPr>
              <w:t>; self-report</w:t>
            </w:r>
            <w:r>
              <w:rPr>
                <w:rFonts w:ascii="MinionPro-Regular" w:hAnsi="MinionPro-Regular" w:cs="MinionPro-Regular"/>
                <w:szCs w:val="20"/>
              </w:rPr>
              <w:t xml:space="preserve"> using the smoking diary</w:t>
            </w:r>
            <w:r w:rsidRPr="00786A9C">
              <w:rPr>
                <w:rFonts w:ascii="MinionPro-Regular" w:hAnsi="MinionPro-Regular" w:cs="MinionPro-Regular"/>
                <w:szCs w:val="20"/>
              </w:rPr>
              <w:t>.</w:t>
            </w:r>
          </w:p>
          <w:p w14:paraId="36EB446C" w14:textId="77777777" w:rsidR="00B80B9A" w:rsidRPr="00786A9C" w:rsidRDefault="00B80B9A" w:rsidP="00B80B9A">
            <w:pPr>
              <w:pStyle w:val="ListParagraph"/>
              <w:numPr>
                <w:ilvl w:val="0"/>
                <w:numId w:val="89"/>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786A9C">
              <w:rPr>
                <w:rFonts w:cstheme="minorHAnsi"/>
                <w:color w:val="000000"/>
                <w:szCs w:val="20"/>
              </w:rPr>
              <w:t xml:space="preserve">Cannabis </w:t>
            </w:r>
            <w:r>
              <w:rPr>
                <w:rFonts w:cstheme="minorHAnsi"/>
                <w:color w:val="000000"/>
                <w:szCs w:val="20"/>
              </w:rPr>
              <w:t xml:space="preserve">use and </w:t>
            </w:r>
            <w:r w:rsidRPr="00786A9C">
              <w:rPr>
                <w:rFonts w:cstheme="minorHAnsi"/>
                <w:color w:val="000000"/>
                <w:szCs w:val="20"/>
              </w:rPr>
              <w:t xml:space="preserve">abstinence: </w:t>
            </w:r>
          </w:p>
          <w:p w14:paraId="7AACA6D1" w14:textId="3970702C" w:rsidR="00B80B9A" w:rsidRDefault="00B80B9A" w:rsidP="00B80B9A">
            <w:pPr>
              <w:pStyle w:val="ListParagraph"/>
              <w:numPr>
                <w:ilvl w:val="1"/>
                <w:numId w:val="89"/>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786A9C">
              <w:t>total average cannabis intake (grams per week)</w:t>
            </w:r>
            <w:r>
              <w:t>;</w:t>
            </w:r>
            <w:r w:rsidRPr="00786A9C">
              <w:t xml:space="preserve"> </w:t>
            </w:r>
            <w:r>
              <w:t>self-</w:t>
            </w:r>
            <w:r w:rsidRPr="00786A9C">
              <w:t>report using the Timeline Followback (TLFB) method (week 0) and smoking diary (week 1 to 12)</w:t>
            </w:r>
            <w:r w:rsidRPr="00786A9C">
              <w:rPr>
                <w:rFonts w:cstheme="minorHAnsi"/>
                <w:color w:val="000000"/>
                <w:szCs w:val="20"/>
              </w:rPr>
              <w:t>.</w:t>
            </w:r>
          </w:p>
          <w:p w14:paraId="4C8899FC" w14:textId="77777777" w:rsidR="00B80B9A" w:rsidRPr="00786A9C" w:rsidRDefault="00B80B9A" w:rsidP="00B80B9A">
            <w:pPr>
              <w:pStyle w:val="ListParagraph"/>
              <w:numPr>
                <w:ilvl w:val="1"/>
                <w:numId w:val="89"/>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786A9C">
              <w:rPr>
                <w:rFonts w:cstheme="minorHAnsi"/>
                <w:color w:val="000000"/>
                <w:szCs w:val="20"/>
              </w:rPr>
              <w:t>regular ten-panel urine drug tests were performed and blood samples were collected for cannabinoid analyses</w:t>
            </w:r>
            <w:r>
              <w:rPr>
                <w:rFonts w:cstheme="minorHAnsi"/>
                <w:color w:val="000000"/>
                <w:szCs w:val="20"/>
              </w:rPr>
              <w:t xml:space="preserve"> (NB: THC is present in nabiximols so abstinence relied on self-report)</w:t>
            </w:r>
            <w:r w:rsidRPr="00786A9C">
              <w:rPr>
                <w:rFonts w:cstheme="minorHAnsi"/>
                <w:color w:val="000000"/>
                <w:szCs w:val="20"/>
              </w:rPr>
              <w:t>.</w:t>
            </w:r>
          </w:p>
          <w:p w14:paraId="2F882E57" w14:textId="77777777" w:rsidR="00B80B9A" w:rsidRDefault="00B80B9A" w:rsidP="00B80B9A">
            <w:pPr>
              <w:pStyle w:val="ListParagraph"/>
              <w:numPr>
                <w:ilvl w:val="0"/>
                <w:numId w:val="89"/>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A14608">
              <w:rPr>
                <w:rFonts w:cstheme="minorHAnsi"/>
                <w:color w:val="000000"/>
                <w:szCs w:val="20"/>
              </w:rPr>
              <w:t>Marijuana Craving Questionnaire – Short Form (MCQ</w:t>
            </w:r>
            <w:r>
              <w:rPr>
                <w:rFonts w:cstheme="minorHAnsi"/>
                <w:color w:val="000000"/>
                <w:szCs w:val="20"/>
              </w:rPr>
              <w:t>-SF</w:t>
            </w:r>
            <w:r w:rsidRPr="00A14608">
              <w:rPr>
                <w:rFonts w:cstheme="minorHAnsi"/>
                <w:color w:val="000000"/>
                <w:szCs w:val="20"/>
              </w:rPr>
              <w:t>)</w:t>
            </w:r>
            <w:r>
              <w:rPr>
                <w:rFonts w:cstheme="minorHAnsi"/>
                <w:color w:val="000000"/>
                <w:szCs w:val="20"/>
              </w:rPr>
              <w:t>.</w:t>
            </w:r>
          </w:p>
          <w:p w14:paraId="166698A0" w14:textId="77777777" w:rsidR="00B80B9A" w:rsidRPr="00C63435" w:rsidRDefault="00B80B9A" w:rsidP="00B80B9A">
            <w:pPr>
              <w:pStyle w:val="ListParagraph"/>
              <w:numPr>
                <w:ilvl w:val="0"/>
                <w:numId w:val="89"/>
              </w:numPr>
              <w:ind w:left="357" w:hanging="357"/>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A14608">
              <w:rPr>
                <w:rFonts w:cstheme="minorHAnsi"/>
                <w:color w:val="000000"/>
                <w:szCs w:val="20"/>
              </w:rPr>
              <w:t>Marijuana Withdrawal Checklist (MWC)</w:t>
            </w:r>
            <w:r>
              <w:rPr>
                <w:rFonts w:cstheme="minorHAnsi"/>
                <w:color w:val="000000"/>
                <w:szCs w:val="20"/>
              </w:rPr>
              <w:t>.</w:t>
            </w:r>
          </w:p>
          <w:p w14:paraId="78F9DD81" w14:textId="77777777" w:rsidR="00B80B9A" w:rsidRPr="002B6C35" w:rsidRDefault="00B80B9A" w:rsidP="004361E5">
            <w:pPr>
              <w:spacing w:after="0"/>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2B6C35">
              <w:rPr>
                <w:rFonts w:cstheme="minorHAnsi"/>
                <w:bCs/>
                <w:color w:val="000000"/>
                <w:szCs w:val="20"/>
              </w:rPr>
              <w:t>Secondary</w:t>
            </w:r>
            <w:r>
              <w:rPr>
                <w:rFonts w:cstheme="minorHAnsi"/>
                <w:bCs/>
                <w:color w:val="000000"/>
                <w:szCs w:val="20"/>
              </w:rPr>
              <w:t>:</w:t>
            </w:r>
          </w:p>
          <w:p w14:paraId="24B3A496" w14:textId="77777777" w:rsidR="00B80B9A" w:rsidRPr="00F87D06" w:rsidRDefault="00B80B9A" w:rsidP="00B80B9A">
            <w:pPr>
              <w:pStyle w:val="ListParagraph"/>
              <w:numPr>
                <w:ilvl w:val="0"/>
                <w:numId w:val="89"/>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MinionPro-Regular" w:hAnsi="MinionPro-Regular" w:cs="MinionPro-Regular"/>
                <w:bCs/>
                <w:szCs w:val="20"/>
              </w:rPr>
            </w:pPr>
            <w:r w:rsidRPr="00E44002">
              <w:rPr>
                <w:rFonts w:ascii="MinionPro-Regular" w:hAnsi="MinionPro-Regular" w:cs="MinionPro-Regular"/>
                <w:szCs w:val="20"/>
              </w:rPr>
              <w:t>Brief Psychiatric Rating Scale</w:t>
            </w:r>
            <w:r>
              <w:rPr>
                <w:rFonts w:ascii="MinionPro-Regular" w:hAnsi="MinionPro-Regular" w:cs="MinionPro-Regular"/>
                <w:szCs w:val="20"/>
              </w:rPr>
              <w:t xml:space="preserve"> (BPRS).</w:t>
            </w:r>
          </w:p>
          <w:p w14:paraId="1ABDD8C0" w14:textId="77777777" w:rsidR="00B80B9A" w:rsidRPr="006E7095" w:rsidRDefault="00B80B9A" w:rsidP="00B80B9A">
            <w:pPr>
              <w:pStyle w:val="ListParagraph"/>
              <w:numPr>
                <w:ilvl w:val="0"/>
                <w:numId w:val="89"/>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MinionPro-Regular" w:hAnsi="MinionPro-Regular" w:cs="MinionPro-Regular"/>
                <w:bCs/>
                <w:szCs w:val="20"/>
              </w:rPr>
            </w:pPr>
            <w:r w:rsidRPr="00E44002">
              <w:rPr>
                <w:rFonts w:ascii="MinionPro-Regular" w:hAnsi="MinionPro-Regular" w:cs="MinionPro-Regular"/>
                <w:szCs w:val="20"/>
              </w:rPr>
              <w:t>Systematic Assessment for Treatment Emergent Events (SAFTEE).</w:t>
            </w:r>
          </w:p>
          <w:p w14:paraId="0030F174" w14:textId="77777777" w:rsidR="00B80B9A" w:rsidRPr="006E7095" w:rsidRDefault="00B80B9A" w:rsidP="00B80B9A">
            <w:pPr>
              <w:pStyle w:val="ListParagraph"/>
              <w:numPr>
                <w:ilvl w:val="0"/>
                <w:numId w:val="89"/>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MinionPro-Regular" w:hAnsi="MinionPro-Regular" w:cs="MinionPro-Regular"/>
                <w:bCs/>
                <w:szCs w:val="20"/>
              </w:rPr>
            </w:pPr>
            <w:r w:rsidRPr="00E44002">
              <w:rPr>
                <w:rFonts w:ascii="MinionPro-Regular" w:hAnsi="MinionPro-Regular" w:cs="MinionPro-Regular"/>
                <w:szCs w:val="20"/>
              </w:rPr>
              <w:t>Hamilton Anxiety Scale</w:t>
            </w:r>
            <w:r>
              <w:rPr>
                <w:rFonts w:ascii="MinionPro-Regular" w:hAnsi="MinionPro-Regular" w:cs="MinionPro-Regular"/>
                <w:szCs w:val="20"/>
              </w:rPr>
              <w:t xml:space="preserve"> (HAM-A).</w:t>
            </w:r>
          </w:p>
          <w:p w14:paraId="70ABAF5A" w14:textId="77777777" w:rsidR="00B80B9A" w:rsidRPr="00F87D06" w:rsidRDefault="00B80B9A" w:rsidP="00B80B9A">
            <w:pPr>
              <w:pStyle w:val="ListParagraph"/>
              <w:numPr>
                <w:ilvl w:val="0"/>
                <w:numId w:val="89"/>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MinionPro-Regular" w:hAnsi="MinionPro-Regular" w:cs="MinionPro-Regular"/>
                <w:bCs/>
                <w:szCs w:val="20"/>
              </w:rPr>
            </w:pPr>
            <w:r w:rsidRPr="00E44002">
              <w:rPr>
                <w:rFonts w:ascii="MinionPro-Regular" w:hAnsi="MinionPro-Regular" w:cs="MinionPro-Regular"/>
                <w:szCs w:val="20"/>
              </w:rPr>
              <w:t>Hamilton Depression</w:t>
            </w:r>
            <w:r>
              <w:rPr>
                <w:rFonts w:ascii="MinionPro-Regular" w:hAnsi="MinionPro-Regular" w:cs="MinionPro-Regular"/>
                <w:szCs w:val="20"/>
              </w:rPr>
              <w:t xml:space="preserve"> Rating</w:t>
            </w:r>
            <w:r w:rsidRPr="00E44002">
              <w:rPr>
                <w:rFonts w:ascii="MinionPro-Regular" w:hAnsi="MinionPro-Regular" w:cs="MinionPro-Regular"/>
                <w:szCs w:val="20"/>
              </w:rPr>
              <w:t xml:space="preserve"> Scale</w:t>
            </w:r>
            <w:r>
              <w:rPr>
                <w:rFonts w:ascii="MinionPro-Regular" w:hAnsi="MinionPro-Regular" w:cs="MinionPro-Regular"/>
                <w:szCs w:val="20"/>
              </w:rPr>
              <w:t xml:space="preserve"> (HDRS).</w:t>
            </w:r>
          </w:p>
          <w:p w14:paraId="05730317" w14:textId="77777777" w:rsidR="00B80B9A" w:rsidRPr="006E7095" w:rsidRDefault="00B80B9A" w:rsidP="00B80B9A">
            <w:pPr>
              <w:pStyle w:val="ListParagraph"/>
              <w:numPr>
                <w:ilvl w:val="0"/>
                <w:numId w:val="89"/>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MinionPro-Regular" w:hAnsi="MinionPro-Regular" w:cs="MinionPro-Regular"/>
                <w:bCs/>
                <w:szCs w:val="20"/>
              </w:rPr>
            </w:pPr>
            <w:r>
              <w:rPr>
                <w:rFonts w:ascii="MinionPro-Regular" w:hAnsi="MinionPro-Regular" w:cs="MinionPro-Regular"/>
                <w:bCs/>
                <w:szCs w:val="20"/>
              </w:rPr>
              <w:t>Timeline Followback (TLFB) method for tobacco, caffeine, and alcohol.</w:t>
            </w:r>
          </w:p>
          <w:p w14:paraId="284A40BB" w14:textId="77777777" w:rsidR="00B80B9A" w:rsidRPr="00F87D06" w:rsidRDefault="00B80B9A" w:rsidP="00B80B9A">
            <w:pPr>
              <w:pStyle w:val="ListParagraph"/>
              <w:numPr>
                <w:ilvl w:val="0"/>
                <w:numId w:val="89"/>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MinionPro-Regular" w:hAnsi="MinionPro-Regular" w:cs="MinionPro-Regular"/>
                <w:bCs/>
                <w:szCs w:val="20"/>
              </w:rPr>
            </w:pPr>
            <w:r w:rsidRPr="00E44002">
              <w:rPr>
                <w:rFonts w:ascii="MinionPro-Regular" w:hAnsi="MinionPro-Regular" w:cs="MinionPro-Regular"/>
                <w:szCs w:val="20"/>
              </w:rPr>
              <w:t>Fagerstrom Test for Nicotine Dependence</w:t>
            </w:r>
            <w:r>
              <w:rPr>
                <w:rFonts w:ascii="MinionPro-Regular" w:hAnsi="MinionPro-Regular" w:cs="MinionPro-Regular"/>
                <w:szCs w:val="20"/>
              </w:rPr>
              <w:t xml:space="preserve"> (FTND).</w:t>
            </w:r>
          </w:p>
          <w:p w14:paraId="43A20253" w14:textId="77777777" w:rsidR="00B80B9A" w:rsidRDefault="00B80B9A" w:rsidP="00B80B9A">
            <w:pPr>
              <w:pStyle w:val="ListParagraph"/>
              <w:numPr>
                <w:ilvl w:val="0"/>
                <w:numId w:val="89"/>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MinionPro-Regular" w:hAnsi="MinionPro-Regular" w:cs="MinionPro-Regular"/>
                <w:bCs/>
                <w:szCs w:val="20"/>
              </w:rPr>
            </w:pPr>
            <w:r>
              <w:rPr>
                <w:rFonts w:ascii="MinionPro-Regular" w:hAnsi="MinionPro-Regular" w:cs="MinionPro-Regular"/>
                <w:bCs/>
                <w:szCs w:val="20"/>
              </w:rPr>
              <w:t>Addiction Severity Index (ASI).</w:t>
            </w:r>
          </w:p>
          <w:p w14:paraId="3940136D" w14:textId="77777777" w:rsidR="00B80B9A" w:rsidRPr="006E7095" w:rsidRDefault="00B80B9A" w:rsidP="00B80B9A">
            <w:pPr>
              <w:pStyle w:val="ListParagraph"/>
              <w:numPr>
                <w:ilvl w:val="0"/>
                <w:numId w:val="89"/>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MinionPro-Regular" w:hAnsi="MinionPro-Regular" w:cs="MinionPro-Regular"/>
                <w:bCs/>
                <w:szCs w:val="20"/>
              </w:rPr>
            </w:pPr>
            <w:r w:rsidRPr="00E44002">
              <w:rPr>
                <w:rFonts w:ascii="MinionPro-Regular" w:hAnsi="MinionPro-Regular" w:cs="MinionPro-Regular"/>
                <w:szCs w:val="20"/>
              </w:rPr>
              <w:t>Beck Depression Inventory</w:t>
            </w:r>
            <w:r>
              <w:rPr>
                <w:rFonts w:ascii="MinionPro-Regular" w:hAnsi="MinionPro-Regular" w:cs="MinionPro-Regular"/>
                <w:szCs w:val="20"/>
              </w:rPr>
              <w:t xml:space="preserve"> (BDI).</w:t>
            </w:r>
            <w:r w:rsidRPr="00E44002">
              <w:rPr>
                <w:rFonts w:ascii="MinionPro-Regular" w:hAnsi="MinionPro-Regular" w:cs="MinionPro-Regular"/>
                <w:szCs w:val="20"/>
              </w:rPr>
              <w:t xml:space="preserve"> </w:t>
            </w:r>
          </w:p>
          <w:p w14:paraId="6A361E4D" w14:textId="77777777" w:rsidR="00B80B9A" w:rsidRPr="006E7095" w:rsidRDefault="00B80B9A" w:rsidP="00B80B9A">
            <w:pPr>
              <w:pStyle w:val="ListParagraph"/>
              <w:numPr>
                <w:ilvl w:val="0"/>
                <w:numId w:val="89"/>
              </w:numPr>
              <w:spacing w:after="120"/>
              <w:cnfStyle w:val="000000100000" w:firstRow="0" w:lastRow="0" w:firstColumn="0" w:lastColumn="0" w:oddVBand="0" w:evenVBand="0" w:oddHBand="1" w:evenHBand="0" w:firstRowFirstColumn="0" w:firstRowLastColumn="0" w:lastRowFirstColumn="0" w:lastRowLastColumn="0"/>
            </w:pPr>
            <w:r w:rsidRPr="00A14608">
              <w:rPr>
                <w:rFonts w:cstheme="minorHAnsi"/>
                <w:color w:val="000000"/>
                <w:szCs w:val="20"/>
              </w:rPr>
              <w:t>Drug Effects Questionnaire (DEQ)</w:t>
            </w:r>
            <w:r>
              <w:rPr>
                <w:rFonts w:cstheme="minorHAnsi"/>
                <w:color w:val="000000"/>
                <w:szCs w:val="20"/>
              </w:rPr>
              <w:t>.</w:t>
            </w:r>
          </w:p>
          <w:p w14:paraId="39356AC8" w14:textId="77777777" w:rsidR="00B80B9A" w:rsidRPr="006E7095" w:rsidRDefault="00B80B9A" w:rsidP="00B80B9A">
            <w:pPr>
              <w:pStyle w:val="ListParagraph"/>
              <w:numPr>
                <w:ilvl w:val="0"/>
                <w:numId w:val="89"/>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MinionPro-Regular" w:hAnsi="MinionPro-Regular" w:cs="MinionPro-Regular"/>
                <w:bCs/>
                <w:szCs w:val="20"/>
              </w:rPr>
            </w:pPr>
            <w:r w:rsidRPr="00E44002">
              <w:rPr>
                <w:rFonts w:ascii="MinionPro-Regular" w:hAnsi="MinionPro-Regular" w:cs="MinionPro-Regular"/>
                <w:szCs w:val="20"/>
              </w:rPr>
              <w:t>Profile of Mood States</w:t>
            </w:r>
            <w:r>
              <w:rPr>
                <w:rFonts w:ascii="MinionPro-Regular" w:hAnsi="MinionPro-Regular" w:cs="MinionPro-Regular"/>
                <w:szCs w:val="20"/>
              </w:rPr>
              <w:t>.</w:t>
            </w:r>
          </w:p>
          <w:p w14:paraId="514E4955" w14:textId="77777777" w:rsidR="00B80B9A" w:rsidRPr="00F87D06" w:rsidRDefault="00B80B9A" w:rsidP="00B80B9A">
            <w:pPr>
              <w:pStyle w:val="ListParagraph"/>
              <w:numPr>
                <w:ilvl w:val="0"/>
                <w:numId w:val="89"/>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MinionPro-Regular" w:hAnsi="MinionPro-Regular" w:cs="MinionPro-Regular"/>
                <w:bCs/>
                <w:szCs w:val="20"/>
              </w:rPr>
            </w:pPr>
            <w:r w:rsidRPr="00E44002">
              <w:rPr>
                <w:rFonts w:ascii="MinionPro-Regular" w:hAnsi="MinionPro-Regular" w:cs="MinionPro-Regular"/>
                <w:szCs w:val="20"/>
              </w:rPr>
              <w:t>St Mary's Hospital Sleep Questionnaire</w:t>
            </w:r>
            <w:r>
              <w:rPr>
                <w:rFonts w:ascii="MinionPro-Regular" w:hAnsi="MinionPro-Regular" w:cs="MinionPro-Regular"/>
                <w:szCs w:val="20"/>
              </w:rPr>
              <w:t xml:space="preserve"> (SMHSQ).</w:t>
            </w:r>
            <w:r w:rsidRPr="00E44002">
              <w:rPr>
                <w:rFonts w:ascii="MinionPro-Regular" w:hAnsi="MinionPro-Regular" w:cs="MinionPro-Regular"/>
                <w:szCs w:val="20"/>
              </w:rPr>
              <w:t xml:space="preserve"> </w:t>
            </w:r>
          </w:p>
        </w:tc>
      </w:tr>
      <w:tr w:rsidR="00B80B9A" w:rsidRPr="002F020F" w14:paraId="337DB203"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577C05E1" w14:textId="77777777" w:rsidR="00B80B9A" w:rsidRPr="002F020F" w:rsidRDefault="00B80B9A" w:rsidP="004361E5">
            <w:pPr>
              <w:contextualSpacing/>
            </w:pPr>
            <w:r w:rsidRPr="002F020F">
              <w:t>General</w:t>
            </w:r>
          </w:p>
        </w:tc>
        <w:tc>
          <w:tcPr>
            <w:tcW w:w="3884" w:type="pct"/>
          </w:tcPr>
          <w:p w14:paraId="4BFA6BDE" w14:textId="77777777" w:rsidR="00B80B9A"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525AEA">
              <w:rPr>
                <w:rFonts w:ascii="Calibri" w:hAnsi="Calibri" w:cs="Calibri"/>
                <w:color w:val="000000"/>
                <w:szCs w:val="20"/>
              </w:rPr>
              <w:t>All participants met DSM-IV criteria for current cannabis dependence.</w:t>
            </w:r>
          </w:p>
          <w:p w14:paraId="61090966" w14:textId="77777777" w:rsidR="00B80B9A"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525AEA">
              <w:rPr>
                <w:rFonts w:ascii="Calibri" w:hAnsi="Calibri" w:cs="Calibri"/>
                <w:color w:val="000000"/>
                <w:szCs w:val="20"/>
              </w:rPr>
              <w:t xml:space="preserve">Participants were compensated up to CDN $855.00 for </w:t>
            </w:r>
            <w:r>
              <w:rPr>
                <w:rFonts w:ascii="Calibri" w:hAnsi="Calibri" w:cs="Calibri"/>
                <w:color w:val="000000"/>
                <w:szCs w:val="20"/>
              </w:rPr>
              <w:t>their time</w:t>
            </w:r>
            <w:r w:rsidRPr="00525AEA">
              <w:rPr>
                <w:rFonts w:ascii="Calibri" w:hAnsi="Calibri" w:cs="Calibri"/>
                <w:color w:val="000000"/>
                <w:szCs w:val="20"/>
              </w:rPr>
              <w:t>.</w:t>
            </w:r>
          </w:p>
          <w:p w14:paraId="32BA8185" w14:textId="77777777" w:rsidR="00B80B9A" w:rsidRPr="00697209"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697209">
              <w:rPr>
                <w:bCs/>
              </w:rPr>
              <w:t xml:space="preserve">Twice-weekly visits </w:t>
            </w:r>
            <w:r w:rsidRPr="00794E60">
              <w:t>(</w:t>
            </w:r>
            <w:r>
              <w:t>w</w:t>
            </w:r>
            <w:r w:rsidRPr="00794E60">
              <w:t>eek 1</w:t>
            </w:r>
            <w:r>
              <w:t xml:space="preserve"> to </w:t>
            </w:r>
            <w:r w:rsidRPr="00794E60">
              <w:t xml:space="preserve">12): </w:t>
            </w:r>
            <w:r w:rsidRPr="00697209">
              <w:rPr>
                <w:rFonts w:ascii="MinionPro-Regular" w:hAnsi="MinionPro-Regular" w:cs="MinionPro-Regular"/>
                <w:szCs w:val="20"/>
              </w:rPr>
              <w:t xml:space="preserve">One weekly visit was for the MET/CBT group therapy session. The other weekly visit was for clinical review and completion of assessments. </w:t>
            </w:r>
          </w:p>
          <w:p w14:paraId="3807A1A2" w14:textId="77777777" w:rsidR="00B80B9A"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697209">
              <w:rPr>
                <w:rFonts w:ascii="Calibri" w:hAnsi="Calibri" w:cs="Calibri"/>
                <w:color w:val="000000"/>
                <w:szCs w:val="20"/>
              </w:rPr>
              <w:t xml:space="preserve">Maximum doses of nabiximols were reached at day 10 of the treatment course. </w:t>
            </w:r>
          </w:p>
          <w:p w14:paraId="17D0A749" w14:textId="77777777" w:rsidR="00B80B9A"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697209">
              <w:rPr>
                <w:rFonts w:ascii="Calibri" w:hAnsi="Calibri" w:cs="Calibri"/>
                <w:color w:val="000000"/>
                <w:szCs w:val="20"/>
              </w:rPr>
              <w:t xml:space="preserve">The target quit date for cannabis was set at day 21. </w:t>
            </w:r>
          </w:p>
          <w:p w14:paraId="3AAE506B" w14:textId="77777777" w:rsidR="00B80B9A" w:rsidRPr="00525AEA"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697209">
              <w:rPr>
                <w:rFonts w:ascii="Calibri" w:hAnsi="Calibri" w:cs="Calibri"/>
                <w:color w:val="000000"/>
                <w:szCs w:val="20"/>
              </w:rPr>
              <w:t xml:space="preserve">Participants were provided with a </w:t>
            </w:r>
            <w:r>
              <w:rPr>
                <w:rFonts w:ascii="Calibri" w:hAnsi="Calibri" w:cs="Calibri"/>
                <w:color w:val="000000"/>
                <w:szCs w:val="20"/>
              </w:rPr>
              <w:t>“</w:t>
            </w:r>
            <w:r w:rsidRPr="00697209">
              <w:rPr>
                <w:rFonts w:ascii="Calibri" w:hAnsi="Calibri" w:cs="Calibri"/>
                <w:color w:val="000000"/>
                <w:szCs w:val="20"/>
              </w:rPr>
              <w:t>smoking diary</w:t>
            </w:r>
            <w:r>
              <w:rPr>
                <w:rFonts w:ascii="Calibri" w:hAnsi="Calibri" w:cs="Calibri"/>
                <w:color w:val="000000"/>
                <w:szCs w:val="20"/>
              </w:rPr>
              <w:t>”</w:t>
            </w:r>
            <w:r w:rsidRPr="00697209">
              <w:rPr>
                <w:rFonts w:ascii="Calibri" w:hAnsi="Calibri" w:cs="Calibri"/>
                <w:color w:val="000000"/>
                <w:szCs w:val="20"/>
              </w:rPr>
              <w:t xml:space="preserve"> during the first study visit and instructed to enter information regarding the frequency of cannabis and medication use each study day.</w:t>
            </w:r>
          </w:p>
          <w:p w14:paraId="4C4FFBDA" w14:textId="77777777" w:rsidR="00B80B9A" w:rsidRPr="00525AEA" w:rsidRDefault="00B80B9A" w:rsidP="00B80B9A">
            <w:pPr>
              <w:numPr>
                <w:ilvl w:val="0"/>
                <w:numId w:val="88"/>
              </w:numPr>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525AEA">
              <w:rPr>
                <w:rFonts w:ascii="Calibri" w:hAnsi="Calibri" w:cs="Calibri"/>
                <w:color w:val="000000"/>
                <w:szCs w:val="20"/>
              </w:rPr>
              <w:t xml:space="preserve">Period study was conducted: March 2013 to November 2015. </w:t>
            </w:r>
          </w:p>
        </w:tc>
      </w:tr>
      <w:tr w:rsidR="00B80B9A" w:rsidRPr="002F020F" w14:paraId="03206A64"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822F26E" w14:textId="77777777" w:rsidR="00B80B9A" w:rsidRPr="002F020F" w:rsidRDefault="00B80B9A" w:rsidP="004361E5">
            <w:pPr>
              <w:contextualSpacing/>
            </w:pPr>
            <w:r w:rsidRPr="002F020F">
              <w:t>Inclusion Criteria</w:t>
            </w:r>
          </w:p>
        </w:tc>
        <w:tc>
          <w:tcPr>
            <w:tcW w:w="3884" w:type="pct"/>
          </w:tcPr>
          <w:p w14:paraId="6FBB61E4" w14:textId="77777777" w:rsidR="00B80B9A" w:rsidRPr="00C01953"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C01953">
              <w:rPr>
                <w:rFonts w:ascii="Calibri" w:hAnsi="Calibri" w:cs="Calibri"/>
                <w:color w:val="000000"/>
                <w:szCs w:val="20"/>
              </w:rPr>
              <w:t>18 to 65 years</w:t>
            </w:r>
            <w:r>
              <w:rPr>
                <w:rFonts w:ascii="Calibri" w:hAnsi="Calibri" w:cs="Calibri"/>
                <w:color w:val="000000"/>
                <w:szCs w:val="20"/>
              </w:rPr>
              <w:t>.</w:t>
            </w:r>
          </w:p>
          <w:p w14:paraId="02A75275" w14:textId="77777777" w:rsidR="00B80B9A" w:rsidRPr="005F15E8"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Pr>
                <w:rFonts w:ascii="Calibri" w:hAnsi="Calibri" w:cs="Calibri"/>
                <w:color w:val="000000"/>
                <w:szCs w:val="20"/>
              </w:rPr>
              <w:t>C</w:t>
            </w:r>
            <w:r w:rsidRPr="005F15E8">
              <w:rPr>
                <w:rFonts w:ascii="Calibri" w:hAnsi="Calibri" w:cs="Calibri"/>
                <w:color w:val="000000"/>
                <w:szCs w:val="20"/>
              </w:rPr>
              <w:t xml:space="preserve">annabis </w:t>
            </w:r>
            <w:r>
              <w:rPr>
                <w:rFonts w:ascii="Calibri" w:hAnsi="Calibri" w:cs="Calibri"/>
                <w:color w:val="000000"/>
                <w:szCs w:val="20"/>
              </w:rPr>
              <w:t>i</w:t>
            </w:r>
            <w:r w:rsidRPr="005F15E8">
              <w:rPr>
                <w:rFonts w:ascii="Calibri" w:hAnsi="Calibri" w:cs="Calibri"/>
                <w:color w:val="000000"/>
                <w:szCs w:val="20"/>
              </w:rPr>
              <w:t>s primary drug of abuse</w:t>
            </w:r>
            <w:r>
              <w:rPr>
                <w:rFonts w:ascii="Calibri" w:hAnsi="Calibri" w:cs="Calibri"/>
                <w:color w:val="000000"/>
                <w:szCs w:val="20"/>
              </w:rPr>
              <w:t>.</w:t>
            </w:r>
          </w:p>
          <w:p w14:paraId="6812F1E6" w14:textId="77777777" w:rsidR="00B80B9A" w:rsidRPr="005F15E8"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Pr>
                <w:rFonts w:ascii="Calibri" w:hAnsi="Calibri" w:cs="Calibri"/>
                <w:color w:val="000000"/>
                <w:szCs w:val="20"/>
              </w:rPr>
              <w:t>C</w:t>
            </w:r>
            <w:r w:rsidRPr="005F15E8">
              <w:rPr>
                <w:rFonts w:ascii="Calibri" w:hAnsi="Calibri" w:cs="Calibri"/>
                <w:color w:val="000000"/>
                <w:szCs w:val="20"/>
              </w:rPr>
              <w:t>annabis</w:t>
            </w:r>
            <w:r>
              <w:rPr>
                <w:rFonts w:ascii="Calibri" w:hAnsi="Calibri" w:cs="Calibri"/>
                <w:color w:val="000000"/>
                <w:szCs w:val="20"/>
              </w:rPr>
              <w:t xml:space="preserve"> use</w:t>
            </w:r>
            <w:r w:rsidRPr="005F15E8">
              <w:rPr>
                <w:rFonts w:ascii="Calibri" w:hAnsi="Calibri" w:cs="Calibri"/>
                <w:color w:val="000000"/>
                <w:szCs w:val="20"/>
              </w:rPr>
              <w:t xml:space="preserve"> at least 5 days a week for at least one month</w:t>
            </w:r>
            <w:r>
              <w:rPr>
                <w:rFonts w:ascii="Calibri" w:hAnsi="Calibri" w:cs="Calibri"/>
                <w:color w:val="000000"/>
                <w:szCs w:val="20"/>
              </w:rPr>
              <w:t>.</w:t>
            </w:r>
          </w:p>
          <w:p w14:paraId="39D6E285" w14:textId="77777777" w:rsidR="00B80B9A" w:rsidRPr="005F15E8"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Pr>
                <w:rFonts w:ascii="Calibri" w:hAnsi="Calibri" w:cs="Calibri"/>
                <w:color w:val="000000"/>
                <w:szCs w:val="20"/>
              </w:rPr>
              <w:t>P</w:t>
            </w:r>
            <w:r w:rsidRPr="005F15E8">
              <w:rPr>
                <w:rFonts w:ascii="Calibri" w:hAnsi="Calibri" w:cs="Calibri"/>
                <w:color w:val="000000"/>
                <w:szCs w:val="20"/>
              </w:rPr>
              <w:t>ositive urine drug screen</w:t>
            </w:r>
            <w:r>
              <w:rPr>
                <w:rFonts w:ascii="Calibri" w:hAnsi="Calibri" w:cs="Calibri"/>
                <w:color w:val="000000"/>
                <w:szCs w:val="20"/>
              </w:rPr>
              <w:t xml:space="preserve"> for cannabinoids.</w:t>
            </w:r>
          </w:p>
          <w:p w14:paraId="03BCCA42" w14:textId="77777777" w:rsidR="00B80B9A" w:rsidRPr="007516CF"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Pr>
                <w:rFonts w:ascii="Calibri" w:hAnsi="Calibri" w:cs="Calibri"/>
                <w:color w:val="000000"/>
                <w:szCs w:val="20"/>
              </w:rPr>
              <w:lastRenderedPageBreak/>
              <w:t>S</w:t>
            </w:r>
            <w:r w:rsidRPr="005F15E8">
              <w:rPr>
                <w:rFonts w:ascii="Calibri" w:hAnsi="Calibri" w:cs="Calibri"/>
                <w:color w:val="000000"/>
                <w:szCs w:val="20"/>
              </w:rPr>
              <w:t>moke</w:t>
            </w:r>
            <w:r>
              <w:rPr>
                <w:rFonts w:ascii="Calibri" w:hAnsi="Calibri" w:cs="Calibri"/>
                <w:color w:val="000000"/>
                <w:szCs w:val="20"/>
              </w:rPr>
              <w:t xml:space="preserve"> </w:t>
            </w:r>
            <w:r w:rsidRPr="005F15E8">
              <w:rPr>
                <w:rFonts w:ascii="Calibri" w:hAnsi="Calibri" w:cs="Calibri"/>
                <w:color w:val="000000"/>
                <w:szCs w:val="20"/>
              </w:rPr>
              <w:t xml:space="preserve">equivalent of </w:t>
            </w:r>
            <w:r>
              <w:rPr>
                <w:rFonts w:ascii="Calibri" w:hAnsi="Calibri" w:cs="Calibri"/>
                <w:color w:val="000000"/>
                <w:szCs w:val="20"/>
              </w:rPr>
              <w:t>four</w:t>
            </w:r>
            <w:r w:rsidRPr="005F15E8">
              <w:rPr>
                <w:rFonts w:ascii="Calibri" w:hAnsi="Calibri" w:cs="Calibri"/>
                <w:color w:val="000000"/>
                <w:szCs w:val="20"/>
              </w:rPr>
              <w:t xml:space="preserve"> </w:t>
            </w:r>
            <w:r>
              <w:rPr>
                <w:rFonts w:ascii="Calibri" w:hAnsi="Calibri" w:cs="Calibri"/>
                <w:color w:val="000000"/>
                <w:szCs w:val="20"/>
              </w:rPr>
              <w:t xml:space="preserve">or less </w:t>
            </w:r>
            <w:r w:rsidRPr="005F15E8">
              <w:rPr>
                <w:rFonts w:ascii="Calibri" w:hAnsi="Calibri" w:cs="Calibri"/>
                <w:color w:val="000000"/>
                <w:szCs w:val="20"/>
              </w:rPr>
              <w:t>joints per day (or four grams per day if cannabis</w:t>
            </w:r>
            <w:r>
              <w:rPr>
                <w:rFonts w:ascii="Calibri" w:hAnsi="Calibri" w:cs="Calibri"/>
                <w:color w:val="000000"/>
                <w:szCs w:val="20"/>
              </w:rPr>
              <w:t xml:space="preserve"> is smoked</w:t>
            </w:r>
            <w:r w:rsidRPr="005F15E8">
              <w:rPr>
                <w:rFonts w:ascii="Calibri" w:hAnsi="Calibri" w:cs="Calibri"/>
                <w:color w:val="000000"/>
                <w:szCs w:val="20"/>
              </w:rPr>
              <w:t xml:space="preserve"> in other forms).</w:t>
            </w:r>
          </w:p>
          <w:p w14:paraId="7CA7F374" w14:textId="77777777" w:rsidR="00B80B9A" w:rsidRPr="004D3A38"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Pr>
                <w:rFonts w:ascii="Calibri" w:hAnsi="Calibri" w:cs="Calibri"/>
                <w:color w:val="000000"/>
                <w:szCs w:val="20"/>
              </w:rPr>
              <w:t>P</w:t>
            </w:r>
            <w:r w:rsidRPr="004D3A38">
              <w:rPr>
                <w:rFonts w:ascii="Calibri" w:hAnsi="Calibri" w:cs="Calibri"/>
                <w:color w:val="000000"/>
                <w:szCs w:val="20"/>
              </w:rPr>
              <w:t>hysical</w:t>
            </w:r>
            <w:r>
              <w:rPr>
                <w:rFonts w:ascii="Calibri" w:hAnsi="Calibri" w:cs="Calibri"/>
                <w:color w:val="000000"/>
                <w:szCs w:val="20"/>
              </w:rPr>
              <w:t>ly</w:t>
            </w:r>
            <w:r w:rsidRPr="004D3A38">
              <w:rPr>
                <w:rFonts w:ascii="Calibri" w:hAnsi="Calibri" w:cs="Calibri"/>
                <w:color w:val="000000"/>
                <w:szCs w:val="20"/>
              </w:rPr>
              <w:t xml:space="preserve"> health</w:t>
            </w:r>
            <w:r>
              <w:rPr>
                <w:rFonts w:ascii="Calibri" w:hAnsi="Calibri" w:cs="Calibri"/>
                <w:color w:val="000000"/>
                <w:szCs w:val="20"/>
              </w:rPr>
              <w:t>y</w:t>
            </w:r>
            <w:r w:rsidRPr="004D3A38">
              <w:rPr>
                <w:rFonts w:ascii="Calibri" w:hAnsi="Calibri" w:cs="Calibri"/>
                <w:color w:val="000000"/>
                <w:szCs w:val="20"/>
              </w:rPr>
              <w:t xml:space="preserve"> based on medical history, physical exam, vitals, ECG and chemistry and haematological laboratory results</w:t>
            </w:r>
            <w:r>
              <w:rPr>
                <w:rFonts w:ascii="Calibri" w:hAnsi="Calibri" w:cs="Calibri"/>
                <w:color w:val="000000"/>
                <w:szCs w:val="20"/>
              </w:rPr>
              <w:t>.</w:t>
            </w:r>
          </w:p>
          <w:p w14:paraId="5233B328" w14:textId="77777777" w:rsidR="00B80B9A" w:rsidRPr="004D3A38"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Pr>
                <w:rFonts w:ascii="Calibri" w:hAnsi="Calibri" w:cs="Calibri"/>
                <w:color w:val="000000"/>
                <w:szCs w:val="20"/>
              </w:rPr>
              <w:t>W</w:t>
            </w:r>
            <w:r w:rsidRPr="004D3A38">
              <w:rPr>
                <w:rFonts w:ascii="Calibri" w:hAnsi="Calibri" w:cs="Calibri"/>
                <w:color w:val="000000"/>
                <w:szCs w:val="20"/>
              </w:rPr>
              <w:t>illing to use appropriate contraceptive method throughout the study</w:t>
            </w:r>
            <w:r>
              <w:rPr>
                <w:rFonts w:ascii="Calibri" w:hAnsi="Calibri" w:cs="Calibri"/>
                <w:color w:val="000000"/>
                <w:szCs w:val="20"/>
              </w:rPr>
              <w:t>.</w:t>
            </w:r>
          </w:p>
          <w:p w14:paraId="246CF5DA" w14:textId="77777777" w:rsidR="00B80B9A" w:rsidRPr="007516CF" w:rsidRDefault="00B80B9A" w:rsidP="00B80B9A">
            <w:pPr>
              <w:numPr>
                <w:ilvl w:val="0"/>
                <w:numId w:val="90"/>
              </w:numPr>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Pr>
                <w:rFonts w:ascii="Calibri" w:hAnsi="Calibri" w:cs="Calibri"/>
                <w:color w:val="000000"/>
                <w:szCs w:val="20"/>
              </w:rPr>
              <w:t xml:space="preserve">Able to understand, and willing to comply </w:t>
            </w:r>
            <w:r w:rsidRPr="004D3A38">
              <w:rPr>
                <w:rFonts w:ascii="Calibri" w:hAnsi="Calibri" w:cs="Calibri"/>
                <w:color w:val="000000"/>
                <w:szCs w:val="20"/>
              </w:rPr>
              <w:t>with</w:t>
            </w:r>
            <w:r>
              <w:rPr>
                <w:rFonts w:ascii="Calibri" w:hAnsi="Calibri" w:cs="Calibri"/>
                <w:color w:val="000000"/>
                <w:szCs w:val="20"/>
              </w:rPr>
              <w:t>,</w:t>
            </w:r>
            <w:r w:rsidRPr="004D3A38">
              <w:rPr>
                <w:rFonts w:ascii="Calibri" w:hAnsi="Calibri" w:cs="Calibri"/>
                <w:color w:val="000000"/>
                <w:szCs w:val="20"/>
              </w:rPr>
              <w:t xml:space="preserve"> study requirements and restrictions</w:t>
            </w:r>
            <w:r>
              <w:rPr>
                <w:rFonts w:ascii="Calibri" w:hAnsi="Calibri" w:cs="Calibri"/>
                <w:color w:val="000000"/>
                <w:szCs w:val="20"/>
              </w:rPr>
              <w:t>.</w:t>
            </w:r>
          </w:p>
        </w:tc>
      </w:tr>
      <w:tr w:rsidR="00B80B9A" w:rsidRPr="002F020F" w14:paraId="74202BAA"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0D9E28AB" w14:textId="77777777" w:rsidR="00B80B9A" w:rsidRPr="002F020F" w:rsidRDefault="00B80B9A" w:rsidP="004361E5">
            <w:pPr>
              <w:contextualSpacing/>
            </w:pPr>
            <w:r w:rsidRPr="002F020F">
              <w:lastRenderedPageBreak/>
              <w:t>Exclusion Criteria</w:t>
            </w:r>
          </w:p>
        </w:tc>
        <w:tc>
          <w:tcPr>
            <w:tcW w:w="3884" w:type="pct"/>
          </w:tcPr>
          <w:p w14:paraId="078ACD4B" w14:textId="77777777" w:rsidR="00B80B9A" w:rsidRPr="00887763" w:rsidRDefault="00B80B9A" w:rsidP="00B80B9A">
            <w:pPr>
              <w:pStyle w:val="ListParagraph"/>
              <w:numPr>
                <w:ilvl w:val="0"/>
                <w:numId w:val="91"/>
              </w:num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MinionPro-Regular" w:hAnsi="MinionPro-Regular" w:cs="MinionPro-Regular"/>
                <w:szCs w:val="20"/>
              </w:rPr>
            </w:pPr>
            <w:r>
              <w:rPr>
                <w:rFonts w:ascii="MinionPro-Regular" w:hAnsi="MinionPro-Regular" w:cs="MinionPro-Regular"/>
                <w:szCs w:val="20"/>
              </w:rPr>
              <w:t>C</w:t>
            </w:r>
            <w:r w:rsidRPr="00887763">
              <w:rPr>
                <w:rFonts w:ascii="MinionPro-Regular" w:hAnsi="MinionPro-Regular" w:cs="MinionPro-Regular"/>
                <w:szCs w:val="20"/>
              </w:rPr>
              <w:t xml:space="preserve">urrent Axis I </w:t>
            </w:r>
            <w:r>
              <w:rPr>
                <w:rFonts w:ascii="MinionPro-Regular" w:hAnsi="MinionPro-Regular" w:cs="MinionPro-Regular"/>
                <w:szCs w:val="20"/>
              </w:rPr>
              <w:t>D</w:t>
            </w:r>
            <w:r w:rsidRPr="00887763">
              <w:rPr>
                <w:rFonts w:ascii="MinionPro-Regular" w:hAnsi="MinionPro-Regular" w:cs="MinionPro-Regular"/>
                <w:szCs w:val="20"/>
              </w:rPr>
              <w:t xml:space="preserve">isorder </w:t>
            </w:r>
            <w:r>
              <w:rPr>
                <w:rFonts w:ascii="MinionPro-Regular" w:hAnsi="MinionPro-Regular" w:cs="MinionPro-Regular"/>
                <w:szCs w:val="20"/>
              </w:rPr>
              <w:t xml:space="preserve">(DSM-IV criteria) </w:t>
            </w:r>
            <w:r w:rsidRPr="00887763">
              <w:rPr>
                <w:rFonts w:ascii="MinionPro-Regular" w:hAnsi="MinionPro-Regular" w:cs="MinionPro-Regular"/>
                <w:szCs w:val="20"/>
              </w:rPr>
              <w:t>including</w:t>
            </w:r>
            <w:r>
              <w:rPr>
                <w:rFonts w:ascii="MinionPro-Regular" w:hAnsi="MinionPro-Regular" w:cs="MinionPro-Regular"/>
                <w:szCs w:val="20"/>
              </w:rPr>
              <w:t xml:space="preserve"> a s</w:t>
            </w:r>
            <w:r w:rsidRPr="00887763">
              <w:rPr>
                <w:rFonts w:ascii="MinionPro-Regular" w:hAnsi="MinionPro-Regular" w:cs="MinionPro-Regular"/>
                <w:szCs w:val="20"/>
              </w:rPr>
              <w:t>ubstance use disorder other than cannabis, nicotine</w:t>
            </w:r>
            <w:r>
              <w:rPr>
                <w:rFonts w:ascii="MinionPro-Regular" w:hAnsi="MinionPro-Regular" w:cs="MinionPro-Regular"/>
                <w:szCs w:val="20"/>
              </w:rPr>
              <w:t>,</w:t>
            </w:r>
            <w:r w:rsidRPr="00887763">
              <w:rPr>
                <w:rFonts w:ascii="MinionPro-Regular" w:hAnsi="MinionPro-Regular" w:cs="MinionPro-Regular"/>
                <w:szCs w:val="20"/>
              </w:rPr>
              <w:t xml:space="preserve"> or caffeine dependence</w:t>
            </w:r>
            <w:r>
              <w:rPr>
                <w:rFonts w:ascii="MinionPro-Regular" w:hAnsi="MinionPro-Regular" w:cs="MinionPro-Regular"/>
                <w:szCs w:val="20"/>
              </w:rPr>
              <w:t>.</w:t>
            </w:r>
          </w:p>
          <w:p w14:paraId="72F25DF5" w14:textId="77777777" w:rsidR="00B80B9A" w:rsidRPr="00AE67F6" w:rsidRDefault="00B80B9A" w:rsidP="00B80B9A">
            <w:pPr>
              <w:pStyle w:val="ListParagraph"/>
              <w:numPr>
                <w:ilvl w:val="0"/>
                <w:numId w:val="91"/>
              </w:num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MinionPro-Regular" w:hAnsi="MinionPro-Regular" w:cs="MinionPro-Regular"/>
                <w:b/>
                <w:bCs/>
                <w:szCs w:val="20"/>
              </w:rPr>
            </w:pPr>
            <w:r>
              <w:rPr>
                <w:rFonts w:ascii="MinionPro-Regular" w:hAnsi="MinionPro-Regular" w:cs="MinionPro-Regular"/>
                <w:szCs w:val="20"/>
              </w:rPr>
              <w:t>C</w:t>
            </w:r>
            <w:r w:rsidRPr="00AE67F6">
              <w:rPr>
                <w:rFonts w:ascii="MinionPro-Regular" w:hAnsi="MinionPro-Regular" w:cs="MinionPro-Regular"/>
                <w:szCs w:val="20"/>
              </w:rPr>
              <w:t>urrently taking psychotropic medication for any indication other than treatment of insomnia</w:t>
            </w:r>
            <w:r>
              <w:rPr>
                <w:rFonts w:ascii="MinionPro-Regular" w:hAnsi="MinionPro-Regular" w:cs="MinionPro-Regular"/>
                <w:szCs w:val="20"/>
              </w:rPr>
              <w:t>.</w:t>
            </w:r>
          </w:p>
          <w:p w14:paraId="570B642F" w14:textId="77777777" w:rsidR="00B80B9A" w:rsidRPr="00AE67F6" w:rsidRDefault="00B80B9A" w:rsidP="00B80B9A">
            <w:pPr>
              <w:pStyle w:val="ListParagraph"/>
              <w:numPr>
                <w:ilvl w:val="0"/>
                <w:numId w:val="91"/>
              </w:num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MinionPro-Regular" w:hAnsi="MinionPro-Regular" w:cs="MinionPro-Regular"/>
                <w:b/>
                <w:bCs/>
                <w:szCs w:val="20"/>
              </w:rPr>
            </w:pPr>
            <w:r>
              <w:rPr>
                <w:rFonts w:ascii="MinionPro-Regular" w:hAnsi="MinionPro-Regular" w:cs="MinionPro-Regular"/>
                <w:szCs w:val="20"/>
              </w:rPr>
              <w:t>F</w:t>
            </w:r>
            <w:r w:rsidRPr="00AE67F6">
              <w:rPr>
                <w:rFonts w:ascii="MinionPro-Regular" w:hAnsi="MinionPro-Regular" w:cs="MinionPro-Regular"/>
                <w:szCs w:val="20"/>
              </w:rPr>
              <w:t>irst-degree relative with schizophrenia</w:t>
            </w:r>
            <w:r>
              <w:rPr>
                <w:rFonts w:ascii="MinionPro-Regular" w:hAnsi="MinionPro-Regular" w:cs="MinionPro-Regular"/>
                <w:szCs w:val="20"/>
              </w:rPr>
              <w:t>.</w:t>
            </w:r>
          </w:p>
          <w:p w14:paraId="6B0F335E" w14:textId="77777777" w:rsidR="00B80B9A" w:rsidRPr="00AE67F6" w:rsidRDefault="00B80B9A" w:rsidP="00B80B9A">
            <w:pPr>
              <w:pStyle w:val="ListParagraph"/>
              <w:numPr>
                <w:ilvl w:val="0"/>
                <w:numId w:val="91"/>
              </w:num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MinionPro-Regular" w:hAnsi="MinionPro-Regular" w:cs="MinionPro-Regular"/>
                <w:b/>
                <w:bCs/>
                <w:szCs w:val="20"/>
              </w:rPr>
            </w:pPr>
            <w:r>
              <w:rPr>
                <w:rFonts w:ascii="MinionPro-Regular" w:hAnsi="MinionPro-Regular" w:cs="MinionPro-Regular"/>
                <w:szCs w:val="20"/>
              </w:rPr>
              <w:t>H</w:t>
            </w:r>
            <w:r w:rsidRPr="00AE67F6">
              <w:rPr>
                <w:rFonts w:ascii="MinionPro-Regular" w:hAnsi="MinionPro-Regular" w:cs="MinionPro-Regular"/>
                <w:szCs w:val="20"/>
              </w:rPr>
              <w:t>istory of seizures, cardiovascular disease</w:t>
            </w:r>
            <w:r>
              <w:rPr>
                <w:rFonts w:ascii="MinionPro-Regular" w:hAnsi="MinionPro-Regular" w:cs="MinionPro-Regular"/>
                <w:szCs w:val="20"/>
              </w:rPr>
              <w:t>,</w:t>
            </w:r>
            <w:r w:rsidRPr="00AE67F6">
              <w:rPr>
                <w:rFonts w:ascii="MinionPro-Regular" w:hAnsi="MinionPro-Regular" w:cs="MinionPro-Regular"/>
                <w:szCs w:val="20"/>
              </w:rPr>
              <w:t xml:space="preserve"> or pulmonary disease </w:t>
            </w:r>
            <w:r>
              <w:rPr>
                <w:rFonts w:ascii="MinionPro-Regular" w:hAnsi="MinionPro-Regular" w:cs="MinionPro-Regular"/>
                <w:szCs w:val="20"/>
              </w:rPr>
              <w:t xml:space="preserve">(e.g., </w:t>
            </w:r>
            <w:r w:rsidRPr="00AE67F6">
              <w:rPr>
                <w:rFonts w:ascii="MinionPro-Regular" w:hAnsi="MinionPro-Regular" w:cs="MinionPro-Regular"/>
                <w:szCs w:val="20"/>
              </w:rPr>
              <w:t>asthma or COPD</w:t>
            </w:r>
            <w:r>
              <w:rPr>
                <w:rFonts w:ascii="MinionPro-Regular" w:hAnsi="MinionPro-Regular" w:cs="MinionPro-Regular"/>
                <w:szCs w:val="20"/>
              </w:rPr>
              <w:t>).</w:t>
            </w:r>
          </w:p>
          <w:p w14:paraId="41328440" w14:textId="77777777" w:rsidR="00B80B9A" w:rsidRPr="00AE67F6" w:rsidRDefault="00B80B9A" w:rsidP="00B80B9A">
            <w:pPr>
              <w:pStyle w:val="ListParagraph"/>
              <w:numPr>
                <w:ilvl w:val="0"/>
                <w:numId w:val="91"/>
              </w:num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MinionPro-Regular" w:hAnsi="MinionPro-Regular" w:cs="MinionPro-Regular"/>
                <w:b/>
                <w:bCs/>
                <w:szCs w:val="20"/>
              </w:rPr>
            </w:pPr>
            <w:r>
              <w:rPr>
                <w:rFonts w:ascii="MinionPro-Regular" w:hAnsi="MinionPro-Regular" w:cs="MinionPro-Regular"/>
                <w:szCs w:val="20"/>
              </w:rPr>
              <w:t>C</w:t>
            </w:r>
            <w:r w:rsidRPr="00AE67F6">
              <w:rPr>
                <w:rFonts w:ascii="MinionPro-Regular" w:hAnsi="MinionPro-Regular" w:cs="MinionPro-Regular"/>
                <w:szCs w:val="20"/>
              </w:rPr>
              <w:t>linically significant pathology in oral cavity and poor oral hygiene</w:t>
            </w:r>
            <w:r>
              <w:rPr>
                <w:rFonts w:ascii="MinionPro-Regular" w:hAnsi="MinionPro-Regular" w:cs="MinionPro-Regular"/>
                <w:szCs w:val="20"/>
              </w:rPr>
              <w:t>.</w:t>
            </w:r>
          </w:p>
          <w:p w14:paraId="4A0862B1" w14:textId="77777777" w:rsidR="00B80B9A" w:rsidRPr="00AE67F6" w:rsidRDefault="00B80B9A" w:rsidP="00B80B9A">
            <w:pPr>
              <w:pStyle w:val="ListParagraph"/>
              <w:numPr>
                <w:ilvl w:val="0"/>
                <w:numId w:val="91"/>
              </w:num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MinionPro-Regular" w:hAnsi="MinionPro-Regular" w:cs="MinionPro-Regular"/>
                <w:b/>
                <w:bCs/>
                <w:szCs w:val="20"/>
              </w:rPr>
            </w:pPr>
            <w:r>
              <w:rPr>
                <w:rFonts w:ascii="MinionPro-Regular" w:hAnsi="MinionPro-Regular" w:cs="MinionPro-Regular"/>
                <w:szCs w:val="20"/>
              </w:rPr>
              <w:t>K</w:t>
            </w:r>
            <w:r w:rsidRPr="00AE67F6">
              <w:rPr>
                <w:rFonts w:ascii="MinionPro-Regular" w:hAnsi="MinionPro-Regular" w:cs="MinionPro-Regular"/>
                <w:szCs w:val="20"/>
              </w:rPr>
              <w:t>nown sensitivity to dronabinol, cannabidiol, propylene glycol, ethanol</w:t>
            </w:r>
            <w:r>
              <w:rPr>
                <w:rFonts w:ascii="MinionPro-Regular" w:hAnsi="MinionPro-Regular" w:cs="MinionPro-Regular"/>
                <w:szCs w:val="20"/>
              </w:rPr>
              <w:t>,</w:t>
            </w:r>
            <w:r w:rsidRPr="00AE67F6">
              <w:rPr>
                <w:rFonts w:ascii="MinionPro-Regular" w:hAnsi="MinionPro-Regular" w:cs="MinionPro-Regular"/>
                <w:szCs w:val="20"/>
              </w:rPr>
              <w:t xml:space="preserve"> or peppermint oil (used in Sativex buccal spray)</w:t>
            </w:r>
            <w:r>
              <w:rPr>
                <w:rFonts w:ascii="MinionPro-Regular" w:hAnsi="MinionPro-Regular" w:cs="MinionPro-Regular"/>
                <w:szCs w:val="20"/>
              </w:rPr>
              <w:t>.</w:t>
            </w:r>
          </w:p>
          <w:p w14:paraId="3EBEF92B" w14:textId="77777777" w:rsidR="00B80B9A" w:rsidRPr="00AE67F6" w:rsidRDefault="00B80B9A" w:rsidP="00B80B9A">
            <w:pPr>
              <w:pStyle w:val="ListParagraph"/>
              <w:numPr>
                <w:ilvl w:val="0"/>
                <w:numId w:val="91"/>
              </w:num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MinionPro-Regular" w:hAnsi="MinionPro-Regular" w:cs="MinionPro-Regular"/>
                <w:b/>
                <w:bCs/>
                <w:szCs w:val="20"/>
              </w:rPr>
            </w:pPr>
            <w:r>
              <w:rPr>
                <w:rFonts w:ascii="MinionPro-Regular" w:hAnsi="MinionPro-Regular" w:cs="MinionPro-Regular"/>
                <w:szCs w:val="20"/>
              </w:rPr>
              <w:t>U</w:t>
            </w:r>
            <w:r w:rsidRPr="00AE67F6">
              <w:rPr>
                <w:rFonts w:ascii="MinionPro-Regular" w:hAnsi="MinionPro-Regular" w:cs="MinionPro-Regular"/>
                <w:szCs w:val="20"/>
              </w:rPr>
              <w:t>nstable medical conditions</w:t>
            </w:r>
            <w:r>
              <w:rPr>
                <w:rFonts w:ascii="MinionPro-Regular" w:hAnsi="MinionPro-Regular" w:cs="MinionPro-Regular"/>
                <w:szCs w:val="20"/>
              </w:rPr>
              <w:t>.</w:t>
            </w:r>
          </w:p>
          <w:p w14:paraId="3F69AA6E" w14:textId="77777777" w:rsidR="00B80B9A" w:rsidRPr="00AE67F6" w:rsidRDefault="00B80B9A" w:rsidP="00B80B9A">
            <w:pPr>
              <w:pStyle w:val="ListParagraph"/>
              <w:numPr>
                <w:ilvl w:val="0"/>
                <w:numId w:val="91"/>
              </w:num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MinionPro-Regular" w:hAnsi="MinionPro-Regular" w:cs="MinionPro-Regular"/>
                <w:b/>
                <w:bCs/>
                <w:szCs w:val="20"/>
              </w:rPr>
            </w:pPr>
            <w:r>
              <w:rPr>
                <w:rFonts w:ascii="MinionPro-Regular" w:hAnsi="MinionPro-Regular" w:cs="MinionPro-Regular"/>
                <w:szCs w:val="20"/>
              </w:rPr>
              <w:t>P</w:t>
            </w:r>
            <w:r w:rsidRPr="00AE67F6">
              <w:rPr>
                <w:rFonts w:ascii="MinionPro-Regular" w:hAnsi="MinionPro-Regular" w:cs="MinionPro-Regular"/>
                <w:szCs w:val="20"/>
              </w:rPr>
              <w:t>regnant or breastfeeding</w:t>
            </w:r>
            <w:r>
              <w:rPr>
                <w:rFonts w:ascii="MinionPro-Regular" w:hAnsi="MinionPro-Regular" w:cs="MinionPro-Regular"/>
                <w:szCs w:val="20"/>
              </w:rPr>
              <w:t>.</w:t>
            </w:r>
          </w:p>
          <w:p w14:paraId="53BC268F" w14:textId="77777777" w:rsidR="00B80B9A" w:rsidRPr="00D275C2" w:rsidRDefault="00B80B9A" w:rsidP="00B80B9A">
            <w:pPr>
              <w:pStyle w:val="ListParagraph"/>
              <w:numPr>
                <w:ilvl w:val="0"/>
                <w:numId w:val="91"/>
              </w:num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MinionPro-Regular" w:hAnsi="MinionPro-Regular" w:cs="MinionPro-Regular"/>
                <w:b/>
                <w:bCs/>
                <w:szCs w:val="20"/>
              </w:rPr>
            </w:pPr>
            <w:r>
              <w:rPr>
                <w:rFonts w:ascii="MinionPro-Regular" w:hAnsi="MinionPro-Regular" w:cs="MinionPro-Regular"/>
                <w:szCs w:val="20"/>
              </w:rPr>
              <w:t xml:space="preserve">Occupational role that </w:t>
            </w:r>
            <w:r w:rsidRPr="00AE67F6">
              <w:rPr>
                <w:rFonts w:ascii="MinionPro-Regular" w:hAnsi="MinionPro-Regular" w:cs="MinionPro-Regular"/>
                <w:szCs w:val="20"/>
              </w:rPr>
              <w:t>involves driving or operating heavy machinery.</w:t>
            </w:r>
          </w:p>
        </w:tc>
      </w:tr>
      <w:tr w:rsidR="00B80B9A" w:rsidRPr="002F020F" w14:paraId="518CDA24"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138124B" w14:textId="77777777" w:rsidR="00B80B9A" w:rsidRPr="002F020F" w:rsidRDefault="00B80B9A" w:rsidP="004361E5">
            <w:pPr>
              <w:contextualSpacing/>
            </w:pPr>
            <w:r w:rsidRPr="002F020F">
              <w:t>Assessment Time-</w:t>
            </w:r>
            <w:r>
              <w:t>P</w:t>
            </w:r>
            <w:r w:rsidRPr="002F020F">
              <w:t>oint/s</w:t>
            </w:r>
          </w:p>
        </w:tc>
        <w:tc>
          <w:tcPr>
            <w:tcW w:w="3884" w:type="pct"/>
          </w:tcPr>
          <w:p w14:paraId="2F2292B3" w14:textId="77777777" w:rsidR="00B80B9A" w:rsidRPr="006E7095" w:rsidRDefault="00B80B9A" w:rsidP="00B80B9A">
            <w:pPr>
              <w:pStyle w:val="ListParagraph"/>
              <w:numPr>
                <w:ilvl w:val="0"/>
                <w:numId w:val="91"/>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MinionPro-Regular" w:hAnsi="MinionPro-Regular" w:cs="MinionPro-Regular"/>
                <w:bCs/>
                <w:szCs w:val="20"/>
              </w:rPr>
            </w:pPr>
            <w:r w:rsidRPr="00E44002">
              <w:rPr>
                <w:rFonts w:ascii="MinionPro-Regular" w:hAnsi="MinionPro-Regular" w:cs="MinionPro-Regular"/>
                <w:bCs/>
                <w:szCs w:val="20"/>
              </w:rPr>
              <w:t>Baseline</w:t>
            </w:r>
            <w:r>
              <w:rPr>
                <w:rFonts w:ascii="MinionPro-Regular" w:hAnsi="MinionPro-Regular" w:cs="MinionPro-Regular"/>
                <w:bCs/>
                <w:szCs w:val="20"/>
              </w:rPr>
              <w:t xml:space="preserve"> (week 0).</w:t>
            </w:r>
            <w:r w:rsidRPr="00E44002">
              <w:rPr>
                <w:rFonts w:ascii="MinionPro-Regular" w:hAnsi="MinionPro-Regular" w:cs="MinionPro-Regular"/>
                <w:szCs w:val="20"/>
              </w:rPr>
              <w:t xml:space="preserve"> </w:t>
            </w:r>
          </w:p>
          <w:p w14:paraId="5C62B37E" w14:textId="77777777" w:rsidR="00B80B9A" w:rsidRPr="002F020F" w:rsidRDefault="00B80B9A" w:rsidP="00B80B9A">
            <w:pPr>
              <w:pStyle w:val="ListParagraph"/>
              <w:numPr>
                <w:ilvl w:val="0"/>
                <w:numId w:val="114"/>
              </w:numPr>
              <w:spacing w:after="120"/>
              <w:cnfStyle w:val="000000100000" w:firstRow="0" w:lastRow="0" w:firstColumn="0" w:lastColumn="0" w:oddVBand="0" w:evenVBand="0" w:oddHBand="1" w:evenHBand="0" w:firstRowFirstColumn="0" w:firstRowLastColumn="0" w:lastRowFirstColumn="0" w:lastRowLastColumn="0"/>
            </w:pPr>
            <w:r>
              <w:rPr>
                <w:bCs/>
              </w:rPr>
              <w:t>During treatment (week 1 to 12).</w:t>
            </w:r>
          </w:p>
        </w:tc>
      </w:tr>
      <w:tr w:rsidR="00B80B9A" w:rsidRPr="002F020F" w14:paraId="14B5013D"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23996A1A" w14:textId="77777777" w:rsidR="00B80B9A" w:rsidRPr="002F020F" w:rsidRDefault="00B80B9A" w:rsidP="004361E5">
            <w:pPr>
              <w:contextualSpacing/>
            </w:pPr>
            <w:r w:rsidRPr="002F020F">
              <w:t>Main Findings</w:t>
            </w:r>
          </w:p>
        </w:tc>
        <w:tc>
          <w:tcPr>
            <w:tcW w:w="3884" w:type="pct"/>
          </w:tcPr>
          <w:p w14:paraId="4F8824D0" w14:textId="77777777" w:rsidR="00B80B9A" w:rsidRPr="0041206C"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rPr>
            </w:pPr>
            <w:r w:rsidRPr="0041206C">
              <w:rPr>
                <w:rFonts w:ascii="Calibri" w:hAnsi="Calibri" w:cs="Calibri"/>
                <w:bCs/>
                <w:color w:val="000000"/>
              </w:rPr>
              <w:t>Tolerability</w:t>
            </w:r>
            <w:r>
              <w:rPr>
                <w:rFonts w:ascii="Calibri" w:hAnsi="Calibri" w:cs="Calibri"/>
                <w:bCs/>
                <w:color w:val="000000"/>
              </w:rPr>
              <w:t xml:space="preserve"> (self-titrated dose of oromucosal spray)</w:t>
            </w:r>
            <w:r w:rsidRPr="0041206C">
              <w:rPr>
                <w:rFonts w:ascii="Calibri" w:hAnsi="Calibri" w:cs="Calibri"/>
                <w:bCs/>
                <w:color w:val="000000"/>
              </w:rPr>
              <w:t xml:space="preserve">: </w:t>
            </w:r>
            <w:r>
              <w:rPr>
                <w:rFonts w:ascii="Calibri" w:hAnsi="Calibri" w:cs="Calibri"/>
                <w:bCs/>
                <w:color w:val="000000"/>
              </w:rPr>
              <w:t>weekly average of sprays per day.</w:t>
            </w:r>
          </w:p>
          <w:p w14:paraId="34F91056" w14:textId="77777777" w:rsidR="00B80B9A" w:rsidRPr="0041206C"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rPr>
            </w:pPr>
            <w:r>
              <w:rPr>
                <w:rFonts w:ascii="Calibri" w:hAnsi="Calibri" w:cs="Calibri"/>
                <w:bCs/>
                <w:color w:val="000000"/>
              </w:rPr>
              <w:t>N</w:t>
            </w:r>
            <w:r w:rsidRPr="0041206C">
              <w:rPr>
                <w:rFonts w:ascii="Calibri" w:hAnsi="Calibri" w:cs="Calibri"/>
                <w:bCs/>
                <w:color w:val="000000"/>
              </w:rPr>
              <w:t>abiximols group</w:t>
            </w:r>
            <w:r>
              <w:rPr>
                <w:rFonts w:ascii="Calibri" w:hAnsi="Calibri" w:cs="Calibri"/>
                <w:bCs/>
                <w:color w:val="000000"/>
              </w:rPr>
              <w:t xml:space="preserve">: </w:t>
            </w:r>
            <w:r w:rsidRPr="0041206C">
              <w:rPr>
                <w:rFonts w:ascii="Calibri" w:hAnsi="Calibri" w:cs="Calibri"/>
                <w:bCs/>
                <w:color w:val="000000"/>
              </w:rPr>
              <w:t>4.1 to 12.8 sprays</w:t>
            </w:r>
            <w:r>
              <w:rPr>
                <w:rFonts w:ascii="Calibri" w:hAnsi="Calibri" w:cs="Calibri"/>
                <w:bCs/>
                <w:color w:val="000000"/>
              </w:rPr>
              <w:t xml:space="preserve"> per </w:t>
            </w:r>
            <w:r w:rsidRPr="0041206C">
              <w:rPr>
                <w:rFonts w:ascii="Calibri" w:hAnsi="Calibri" w:cs="Calibri"/>
                <w:bCs/>
                <w:color w:val="000000"/>
              </w:rPr>
              <w:t>day</w:t>
            </w:r>
            <w:r>
              <w:rPr>
                <w:rFonts w:ascii="Calibri" w:hAnsi="Calibri" w:cs="Calibri"/>
                <w:bCs/>
                <w:color w:val="000000"/>
              </w:rPr>
              <w:t xml:space="preserve"> (i.e., </w:t>
            </w:r>
            <w:r w:rsidRPr="0041206C">
              <w:rPr>
                <w:rFonts w:ascii="Calibri" w:hAnsi="Calibri" w:cs="Calibri"/>
                <w:bCs/>
                <w:color w:val="000000"/>
              </w:rPr>
              <w:t xml:space="preserve">11.0 </w:t>
            </w:r>
            <w:r>
              <w:rPr>
                <w:rFonts w:ascii="Calibri" w:hAnsi="Calibri" w:cs="Calibri"/>
                <w:bCs/>
                <w:color w:val="000000"/>
              </w:rPr>
              <w:t xml:space="preserve">mg </w:t>
            </w:r>
            <w:r w:rsidRPr="0041206C">
              <w:rPr>
                <w:rFonts w:ascii="Calibri" w:hAnsi="Calibri" w:cs="Calibri"/>
                <w:bCs/>
                <w:color w:val="000000"/>
              </w:rPr>
              <w:t>THC</w:t>
            </w:r>
            <w:r>
              <w:rPr>
                <w:rFonts w:ascii="Calibri" w:hAnsi="Calibri" w:cs="Calibri"/>
                <w:bCs/>
                <w:color w:val="000000"/>
              </w:rPr>
              <w:t xml:space="preserve"> &amp; </w:t>
            </w:r>
            <w:r w:rsidRPr="0041206C">
              <w:rPr>
                <w:rFonts w:ascii="Calibri" w:hAnsi="Calibri" w:cs="Calibri"/>
                <w:bCs/>
                <w:color w:val="000000"/>
              </w:rPr>
              <w:t>10.2 mg CBD</w:t>
            </w:r>
            <w:r>
              <w:rPr>
                <w:rFonts w:ascii="Calibri" w:hAnsi="Calibri" w:cs="Calibri"/>
                <w:bCs/>
                <w:color w:val="000000"/>
              </w:rPr>
              <w:t xml:space="preserve"> t</w:t>
            </w:r>
            <w:r w:rsidRPr="0041206C">
              <w:rPr>
                <w:rFonts w:ascii="Calibri" w:hAnsi="Calibri" w:cs="Calibri"/>
                <w:bCs/>
                <w:color w:val="000000"/>
              </w:rPr>
              <w:t xml:space="preserve">o </w:t>
            </w:r>
            <w:r>
              <w:rPr>
                <w:rFonts w:ascii="Calibri" w:hAnsi="Calibri" w:cs="Calibri"/>
                <w:bCs/>
                <w:color w:val="000000"/>
              </w:rPr>
              <w:t>3</w:t>
            </w:r>
            <w:r w:rsidRPr="0041206C">
              <w:rPr>
                <w:rFonts w:ascii="Calibri" w:hAnsi="Calibri" w:cs="Calibri"/>
                <w:bCs/>
                <w:color w:val="000000"/>
              </w:rPr>
              <w:t xml:space="preserve">4.5 </w:t>
            </w:r>
            <w:r>
              <w:rPr>
                <w:rFonts w:ascii="Calibri" w:hAnsi="Calibri" w:cs="Calibri"/>
                <w:bCs/>
                <w:color w:val="000000"/>
              </w:rPr>
              <w:t xml:space="preserve">mg </w:t>
            </w:r>
            <w:r w:rsidRPr="0041206C">
              <w:rPr>
                <w:rFonts w:ascii="Calibri" w:hAnsi="Calibri" w:cs="Calibri"/>
                <w:bCs/>
                <w:color w:val="000000"/>
              </w:rPr>
              <w:t>THC</w:t>
            </w:r>
            <w:r>
              <w:rPr>
                <w:rFonts w:ascii="Calibri" w:hAnsi="Calibri" w:cs="Calibri"/>
                <w:bCs/>
                <w:color w:val="000000"/>
              </w:rPr>
              <w:t xml:space="preserve"> &amp; </w:t>
            </w:r>
            <w:r w:rsidRPr="0041206C">
              <w:rPr>
                <w:rFonts w:ascii="Calibri" w:hAnsi="Calibri" w:cs="Calibri"/>
                <w:bCs/>
                <w:color w:val="000000"/>
              </w:rPr>
              <w:t>31.9 mg CBD</w:t>
            </w:r>
            <w:r>
              <w:rPr>
                <w:rFonts w:ascii="Calibri" w:hAnsi="Calibri" w:cs="Calibri"/>
                <w:bCs/>
                <w:color w:val="000000"/>
              </w:rPr>
              <w:t>).</w:t>
            </w:r>
            <w:r w:rsidRPr="0041206C">
              <w:rPr>
                <w:rFonts w:ascii="Calibri" w:hAnsi="Calibri" w:cs="Calibri"/>
                <w:bCs/>
                <w:color w:val="000000"/>
              </w:rPr>
              <w:t xml:space="preserve"> </w:t>
            </w:r>
          </w:p>
          <w:p w14:paraId="51F485BD" w14:textId="77777777" w:rsidR="00B80B9A"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rPr>
            </w:pPr>
            <w:r>
              <w:rPr>
                <w:rFonts w:ascii="Calibri" w:hAnsi="Calibri" w:cs="Calibri"/>
                <w:bCs/>
                <w:color w:val="000000"/>
              </w:rPr>
              <w:t>P</w:t>
            </w:r>
            <w:r w:rsidRPr="0041206C">
              <w:rPr>
                <w:rFonts w:ascii="Calibri" w:hAnsi="Calibri" w:cs="Calibri"/>
                <w:bCs/>
                <w:color w:val="000000"/>
              </w:rPr>
              <w:t>lacebo group</w:t>
            </w:r>
            <w:r>
              <w:rPr>
                <w:rFonts w:ascii="Calibri" w:hAnsi="Calibri" w:cs="Calibri"/>
                <w:bCs/>
                <w:color w:val="000000"/>
              </w:rPr>
              <w:t xml:space="preserve">: </w:t>
            </w:r>
            <w:r w:rsidRPr="0041206C">
              <w:rPr>
                <w:rFonts w:ascii="Calibri" w:hAnsi="Calibri" w:cs="Calibri"/>
                <w:bCs/>
                <w:color w:val="000000"/>
              </w:rPr>
              <w:t>2.5 to 9.7 sprays</w:t>
            </w:r>
            <w:r>
              <w:rPr>
                <w:rFonts w:ascii="Calibri" w:hAnsi="Calibri" w:cs="Calibri"/>
                <w:bCs/>
                <w:color w:val="000000"/>
              </w:rPr>
              <w:t xml:space="preserve"> per </w:t>
            </w:r>
            <w:r w:rsidRPr="0041206C">
              <w:rPr>
                <w:rFonts w:ascii="Calibri" w:hAnsi="Calibri" w:cs="Calibri"/>
                <w:bCs/>
                <w:color w:val="000000"/>
              </w:rPr>
              <w:t>day</w:t>
            </w:r>
            <w:r>
              <w:rPr>
                <w:rFonts w:ascii="Calibri" w:hAnsi="Calibri" w:cs="Calibri"/>
                <w:bCs/>
                <w:color w:val="000000"/>
              </w:rPr>
              <w:t>.</w:t>
            </w:r>
          </w:p>
          <w:p w14:paraId="2CBB7CFA" w14:textId="77777777" w:rsidR="00B80B9A" w:rsidRPr="00D435FC"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D435FC">
              <w:rPr>
                <w:rFonts w:ascii="Calibri" w:hAnsi="Calibri" w:cs="Calibri"/>
                <w:color w:val="000000" w:themeColor="text1"/>
              </w:rPr>
              <w:t>Cannabis abstinence</w:t>
            </w:r>
            <w:r>
              <w:rPr>
                <w:rFonts w:ascii="Calibri" w:hAnsi="Calibri" w:cs="Calibri"/>
                <w:color w:val="000000" w:themeColor="text1"/>
              </w:rPr>
              <w:t>:</w:t>
            </w:r>
          </w:p>
          <w:p w14:paraId="2FB64A14" w14:textId="77777777" w:rsidR="00B80B9A" w:rsidRPr="001D6525"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D6525">
              <w:rPr>
                <w:rFonts w:ascii="Calibri" w:hAnsi="Calibri" w:cs="Calibri"/>
                <w:color w:val="000000" w:themeColor="text1"/>
              </w:rPr>
              <w:t xml:space="preserve">The </w:t>
            </w:r>
            <w:r>
              <w:rPr>
                <w:rFonts w:ascii="Calibri" w:hAnsi="Calibri" w:cs="Calibri"/>
                <w:color w:val="000000" w:themeColor="text1"/>
              </w:rPr>
              <w:t xml:space="preserve">rate of </w:t>
            </w:r>
            <w:r w:rsidRPr="001D6525">
              <w:rPr>
                <w:rFonts w:ascii="Calibri" w:hAnsi="Calibri" w:cs="Calibri"/>
                <w:color w:val="000000" w:themeColor="text1"/>
              </w:rPr>
              <w:t xml:space="preserve">cannabis abstinence </w:t>
            </w:r>
            <w:r>
              <w:rPr>
                <w:rFonts w:ascii="Calibri" w:hAnsi="Calibri" w:cs="Calibri"/>
                <w:color w:val="000000" w:themeColor="text1"/>
              </w:rPr>
              <w:t>(</w:t>
            </w:r>
            <w:r w:rsidRPr="001D6525">
              <w:rPr>
                <w:rFonts w:ascii="Calibri" w:hAnsi="Calibri" w:cs="Calibri"/>
                <w:color w:val="000000" w:themeColor="text1"/>
              </w:rPr>
              <w:t>seven-day point prevalence</w:t>
            </w:r>
            <w:r>
              <w:rPr>
                <w:rFonts w:ascii="Calibri" w:hAnsi="Calibri" w:cs="Calibri"/>
                <w:color w:val="000000" w:themeColor="text1"/>
              </w:rPr>
              <w:t xml:space="preserve">) </w:t>
            </w:r>
            <w:r w:rsidRPr="001D6525">
              <w:rPr>
                <w:rFonts w:ascii="Calibri" w:hAnsi="Calibri" w:cs="Calibri"/>
                <w:color w:val="000000" w:themeColor="text1"/>
              </w:rPr>
              <w:t xml:space="preserve">measured one week after the medication phase was 30.8% (n = 4) for </w:t>
            </w:r>
            <w:r>
              <w:rPr>
                <w:rFonts w:ascii="Calibri" w:hAnsi="Calibri" w:cs="Calibri"/>
                <w:color w:val="000000" w:themeColor="text1"/>
              </w:rPr>
              <w:t xml:space="preserve">the </w:t>
            </w:r>
            <w:r w:rsidRPr="001D6525">
              <w:rPr>
                <w:rFonts w:ascii="Calibri" w:hAnsi="Calibri" w:cs="Calibri"/>
                <w:color w:val="000000" w:themeColor="text1"/>
              </w:rPr>
              <w:t xml:space="preserve">nabiximols </w:t>
            </w:r>
            <w:r>
              <w:rPr>
                <w:rFonts w:ascii="Calibri" w:hAnsi="Calibri" w:cs="Calibri"/>
                <w:color w:val="000000" w:themeColor="text1"/>
              </w:rPr>
              <w:t xml:space="preserve">group </w:t>
            </w:r>
            <w:r w:rsidRPr="001D6525">
              <w:rPr>
                <w:rFonts w:ascii="Calibri" w:hAnsi="Calibri" w:cs="Calibri"/>
                <w:color w:val="000000" w:themeColor="text1"/>
              </w:rPr>
              <w:t xml:space="preserve">and 42.9% (n = 6) for </w:t>
            </w:r>
            <w:r>
              <w:rPr>
                <w:rFonts w:ascii="Calibri" w:hAnsi="Calibri" w:cs="Calibri"/>
                <w:color w:val="000000" w:themeColor="text1"/>
              </w:rPr>
              <w:t xml:space="preserve">the </w:t>
            </w:r>
            <w:r w:rsidRPr="001D6525">
              <w:rPr>
                <w:rFonts w:ascii="Calibri" w:hAnsi="Calibri" w:cs="Calibri"/>
                <w:color w:val="000000" w:themeColor="text1"/>
              </w:rPr>
              <w:t>placebo</w:t>
            </w:r>
            <w:r>
              <w:rPr>
                <w:rFonts w:ascii="Calibri" w:hAnsi="Calibri" w:cs="Calibri"/>
                <w:color w:val="000000" w:themeColor="text1"/>
              </w:rPr>
              <w:t xml:space="preserve"> group</w:t>
            </w:r>
            <w:r w:rsidRPr="001D6525">
              <w:rPr>
                <w:rFonts w:ascii="Calibri" w:hAnsi="Calibri" w:cs="Calibri"/>
                <w:color w:val="000000" w:themeColor="text1"/>
              </w:rPr>
              <w:t>.</w:t>
            </w:r>
          </w:p>
          <w:p w14:paraId="7F44B123" w14:textId="77777777" w:rsidR="00B80B9A" w:rsidRPr="00D435FC"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rPr>
            </w:pPr>
            <w:r w:rsidRPr="00D435FC">
              <w:rPr>
                <w:rFonts w:ascii="Calibri" w:hAnsi="Calibri" w:cs="Calibri"/>
                <w:color w:val="000000" w:themeColor="text1"/>
              </w:rPr>
              <w:t>There was no significant</w:t>
            </w:r>
            <w:r>
              <w:rPr>
                <w:rFonts w:ascii="Calibri" w:hAnsi="Calibri" w:cs="Calibri"/>
                <w:color w:val="000000" w:themeColor="text1"/>
              </w:rPr>
              <w:t xml:space="preserve"> difference</w:t>
            </w:r>
            <w:r w:rsidRPr="00D435FC">
              <w:rPr>
                <w:rFonts w:ascii="Calibri" w:hAnsi="Calibri" w:cs="Calibri"/>
                <w:color w:val="000000" w:themeColor="text1"/>
              </w:rPr>
              <w:t xml:space="preserve"> in abstinence rates between the two groups (</w:t>
            </w:r>
            <w:r w:rsidRPr="00D435FC">
              <w:rPr>
                <w:rFonts w:ascii="Calibri" w:hAnsi="Calibri" w:cs="Calibri"/>
                <w:i/>
                <w:iCs/>
                <w:color w:val="000000" w:themeColor="text1"/>
              </w:rPr>
              <w:t>p</w:t>
            </w:r>
            <w:r w:rsidRPr="00D435FC">
              <w:rPr>
                <w:rFonts w:ascii="Calibri" w:hAnsi="Calibri" w:cs="Calibri"/>
                <w:color w:val="000000" w:themeColor="text1"/>
              </w:rPr>
              <w:t xml:space="preserve"> &lt; 0.05).</w:t>
            </w:r>
          </w:p>
          <w:p w14:paraId="094C7DAF" w14:textId="77777777" w:rsidR="00B80B9A" w:rsidRPr="00AD7D69"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Pr>
                <w:rFonts w:ascii="Calibri" w:hAnsi="Calibri" w:cs="Calibri"/>
                <w:color w:val="000000" w:themeColor="text1"/>
              </w:rPr>
              <w:t>Quantity and frequency of c</w:t>
            </w:r>
            <w:r w:rsidRPr="45780E2F">
              <w:rPr>
                <w:rFonts w:ascii="Calibri" w:hAnsi="Calibri" w:cs="Calibri"/>
                <w:color w:val="000000" w:themeColor="text1"/>
              </w:rPr>
              <w:t>annabis use</w:t>
            </w:r>
            <w:r>
              <w:rPr>
                <w:rFonts w:ascii="Calibri" w:hAnsi="Calibri" w:cs="Calibri"/>
                <w:color w:val="000000" w:themeColor="text1"/>
              </w:rPr>
              <w:t xml:space="preserve"> (baseline to end-of-treatment):</w:t>
            </w:r>
          </w:p>
          <w:p w14:paraId="567E60B0" w14:textId="77777777" w:rsidR="00B80B9A" w:rsidRPr="002333E8"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Pr>
                <w:rFonts w:ascii="Calibri" w:hAnsi="Calibri" w:cs="Calibri"/>
                <w:color w:val="000000" w:themeColor="text1"/>
              </w:rPr>
              <w:t>Baseline: Participants were using cannabis an average of 6.</w:t>
            </w:r>
            <w:r w:rsidRPr="002333E8">
              <w:rPr>
                <w:rFonts w:ascii="Calibri" w:hAnsi="Calibri" w:cs="Calibri"/>
                <w:color w:val="000000" w:themeColor="text1"/>
              </w:rPr>
              <w:t>4 days</w:t>
            </w:r>
            <w:r>
              <w:rPr>
                <w:rFonts w:ascii="Calibri" w:hAnsi="Calibri" w:cs="Calibri"/>
                <w:color w:val="000000" w:themeColor="text1"/>
              </w:rPr>
              <w:t>/</w:t>
            </w:r>
            <w:r w:rsidRPr="002333E8">
              <w:rPr>
                <w:rFonts w:ascii="Calibri" w:hAnsi="Calibri" w:cs="Calibri"/>
                <w:color w:val="000000" w:themeColor="text1"/>
              </w:rPr>
              <w:t>week (SD = 1.3)</w:t>
            </w:r>
            <w:r>
              <w:rPr>
                <w:rFonts w:ascii="Calibri" w:hAnsi="Calibri" w:cs="Calibri"/>
                <w:color w:val="000000" w:themeColor="text1"/>
              </w:rPr>
              <w:t xml:space="preserve"> and</w:t>
            </w:r>
            <w:r w:rsidRPr="002333E8">
              <w:rPr>
                <w:rFonts w:ascii="Calibri" w:hAnsi="Calibri" w:cs="Calibri"/>
                <w:color w:val="000000" w:themeColor="text1"/>
              </w:rPr>
              <w:t xml:space="preserve"> consuming an average of 6.0 g</w:t>
            </w:r>
            <w:r>
              <w:rPr>
                <w:rFonts w:ascii="Calibri" w:hAnsi="Calibri" w:cs="Calibri"/>
                <w:color w:val="000000" w:themeColor="text1"/>
              </w:rPr>
              <w:t>rams</w:t>
            </w:r>
            <w:r w:rsidRPr="002333E8">
              <w:rPr>
                <w:rFonts w:ascii="Calibri" w:hAnsi="Calibri" w:cs="Calibri"/>
                <w:color w:val="000000" w:themeColor="text1"/>
              </w:rPr>
              <w:t>/week (SD = 5.0).</w:t>
            </w:r>
          </w:p>
          <w:p w14:paraId="49503008" w14:textId="77777777" w:rsidR="00B80B9A" w:rsidRPr="00EA261C" w:rsidRDefault="00B80B9A" w:rsidP="00B80B9A">
            <w:pPr>
              <w:numPr>
                <w:ilvl w:val="1"/>
                <w:numId w:val="12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rPr>
            </w:pPr>
            <w:r>
              <w:rPr>
                <w:rFonts w:ascii="Calibri" w:hAnsi="Calibri" w:cs="Calibri"/>
                <w:bCs/>
                <w:color w:val="000000"/>
              </w:rPr>
              <w:t>N</w:t>
            </w:r>
            <w:r w:rsidRPr="00EA261C">
              <w:rPr>
                <w:rFonts w:ascii="Calibri" w:hAnsi="Calibri" w:cs="Calibri"/>
                <w:bCs/>
                <w:color w:val="000000"/>
              </w:rPr>
              <w:t xml:space="preserve">abiximols group (n = 20): </w:t>
            </w:r>
            <w:r>
              <w:rPr>
                <w:rFonts w:ascii="Calibri" w:hAnsi="Calibri" w:cs="Calibri"/>
                <w:bCs/>
                <w:color w:val="000000"/>
              </w:rPr>
              <w:t xml:space="preserve">using an </w:t>
            </w:r>
            <w:r w:rsidRPr="00EA261C">
              <w:rPr>
                <w:rFonts w:ascii="Calibri" w:hAnsi="Calibri" w:cs="Calibri"/>
                <w:bCs/>
                <w:color w:val="000000"/>
              </w:rPr>
              <w:t>average of 6.7 days/week (SD = 0.8), consuming 6.2 g</w:t>
            </w:r>
            <w:r>
              <w:rPr>
                <w:rFonts w:ascii="Calibri" w:hAnsi="Calibri" w:cs="Calibri"/>
                <w:bCs/>
                <w:color w:val="000000"/>
              </w:rPr>
              <w:t>rams</w:t>
            </w:r>
            <w:r w:rsidRPr="00EA261C">
              <w:rPr>
                <w:rFonts w:ascii="Calibri" w:hAnsi="Calibri" w:cs="Calibri"/>
                <w:bCs/>
                <w:color w:val="000000"/>
              </w:rPr>
              <w:t xml:space="preserve">/week (SD = 5.0). </w:t>
            </w:r>
          </w:p>
          <w:p w14:paraId="244F728F" w14:textId="77777777" w:rsidR="00B80B9A" w:rsidRPr="00EA261C" w:rsidRDefault="00B80B9A" w:rsidP="00B80B9A">
            <w:pPr>
              <w:numPr>
                <w:ilvl w:val="1"/>
                <w:numId w:val="12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rPr>
            </w:pPr>
            <w:r>
              <w:rPr>
                <w:rFonts w:ascii="Calibri" w:hAnsi="Calibri" w:cs="Calibri"/>
                <w:bCs/>
                <w:color w:val="000000"/>
              </w:rPr>
              <w:t>P</w:t>
            </w:r>
            <w:r w:rsidRPr="00EA261C">
              <w:rPr>
                <w:rFonts w:ascii="Calibri" w:hAnsi="Calibri" w:cs="Calibri"/>
                <w:bCs/>
                <w:color w:val="000000"/>
              </w:rPr>
              <w:t xml:space="preserve">lacebo group (n = 20): </w:t>
            </w:r>
            <w:r>
              <w:rPr>
                <w:rFonts w:ascii="Calibri" w:hAnsi="Calibri" w:cs="Calibri"/>
                <w:bCs/>
                <w:color w:val="000000"/>
              </w:rPr>
              <w:t xml:space="preserve">using an average of </w:t>
            </w:r>
            <w:r w:rsidRPr="00EA261C">
              <w:rPr>
                <w:rFonts w:ascii="Calibri" w:hAnsi="Calibri" w:cs="Calibri"/>
                <w:bCs/>
                <w:color w:val="000000"/>
              </w:rPr>
              <w:t>6 days/week (SD = 1.8), consuming an</w:t>
            </w:r>
            <w:r>
              <w:rPr>
                <w:rFonts w:ascii="Calibri" w:hAnsi="Calibri" w:cs="Calibri"/>
                <w:bCs/>
                <w:color w:val="000000"/>
              </w:rPr>
              <w:t xml:space="preserve"> </w:t>
            </w:r>
            <w:r w:rsidRPr="00EA261C">
              <w:rPr>
                <w:rFonts w:ascii="Calibri" w:hAnsi="Calibri" w:cs="Calibri"/>
                <w:bCs/>
                <w:color w:val="000000"/>
              </w:rPr>
              <w:t>average of 5.9 g</w:t>
            </w:r>
            <w:r>
              <w:rPr>
                <w:rFonts w:ascii="Calibri" w:hAnsi="Calibri" w:cs="Calibri"/>
                <w:bCs/>
                <w:color w:val="000000"/>
              </w:rPr>
              <w:t>rams</w:t>
            </w:r>
            <w:r w:rsidRPr="00EA261C">
              <w:rPr>
                <w:rFonts w:ascii="Calibri" w:hAnsi="Calibri" w:cs="Calibri"/>
                <w:bCs/>
                <w:color w:val="000000"/>
              </w:rPr>
              <w:t>/week (SD = 5.0).</w:t>
            </w:r>
          </w:p>
          <w:p w14:paraId="16EA8EA6" w14:textId="77777777" w:rsidR="00B80B9A" w:rsidRPr="00F92363"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Pr>
                <w:rFonts w:ascii="Calibri" w:hAnsi="Calibri" w:cs="Calibri"/>
                <w:color w:val="000000" w:themeColor="text1"/>
              </w:rPr>
              <w:t>Quantity of cannabis use (grams):</w:t>
            </w:r>
          </w:p>
          <w:p w14:paraId="3F6F40B5" w14:textId="77777777" w:rsidR="00B80B9A" w:rsidRPr="00AD7D69" w:rsidRDefault="00B80B9A" w:rsidP="00B80B9A">
            <w:pPr>
              <w:numPr>
                <w:ilvl w:val="2"/>
                <w:numId w:val="91"/>
              </w:numPr>
              <w:ind w:left="1077"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Pr>
                <w:rFonts w:ascii="Calibri" w:hAnsi="Calibri" w:cs="Calibri"/>
                <w:color w:val="000000" w:themeColor="text1"/>
              </w:rPr>
              <w:t xml:space="preserve">Nabiximols group: </w:t>
            </w:r>
            <w:r w:rsidRPr="00A14608">
              <w:rPr>
                <w:rFonts w:ascii="Calibri" w:hAnsi="Calibri" w:cs="Calibri"/>
                <w:color w:val="000000" w:themeColor="text1"/>
              </w:rPr>
              <w:t xml:space="preserve">70.5% </w:t>
            </w:r>
            <w:r>
              <w:rPr>
                <w:rFonts w:ascii="Calibri" w:hAnsi="Calibri" w:cs="Calibri"/>
                <w:color w:val="000000" w:themeColor="text1"/>
              </w:rPr>
              <w:t xml:space="preserve">reduction in cannabis use </w:t>
            </w:r>
            <w:r w:rsidRPr="00A14608">
              <w:rPr>
                <w:rFonts w:ascii="Calibri" w:hAnsi="Calibri" w:cs="Calibri"/>
                <w:color w:val="000000" w:themeColor="text1"/>
              </w:rPr>
              <w:t>(from 6.1 to 1.8 grams)</w:t>
            </w:r>
            <w:r>
              <w:rPr>
                <w:rFonts w:ascii="Calibri" w:hAnsi="Calibri" w:cs="Calibri"/>
                <w:color w:val="000000" w:themeColor="text1"/>
              </w:rPr>
              <w:t>.</w:t>
            </w:r>
            <w:r w:rsidRPr="00A14608">
              <w:rPr>
                <w:rFonts w:ascii="Calibri" w:hAnsi="Calibri" w:cs="Calibri"/>
                <w:color w:val="000000" w:themeColor="text1"/>
              </w:rPr>
              <w:t xml:space="preserve"> </w:t>
            </w:r>
          </w:p>
          <w:p w14:paraId="2A1247C2" w14:textId="77777777" w:rsidR="00B80B9A" w:rsidRPr="00F92363" w:rsidRDefault="00B80B9A" w:rsidP="00B80B9A">
            <w:pPr>
              <w:numPr>
                <w:ilvl w:val="2"/>
                <w:numId w:val="91"/>
              </w:numPr>
              <w:ind w:left="1077"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Pr>
                <w:rFonts w:ascii="Calibri" w:hAnsi="Calibri" w:cs="Calibri"/>
                <w:color w:val="000000" w:themeColor="text1"/>
              </w:rPr>
              <w:t xml:space="preserve">Placebo group: </w:t>
            </w:r>
            <w:r w:rsidRPr="00A14608">
              <w:rPr>
                <w:rFonts w:ascii="Calibri" w:hAnsi="Calibri" w:cs="Calibri"/>
                <w:color w:val="000000" w:themeColor="text1"/>
              </w:rPr>
              <w:t xml:space="preserve">42.6% </w:t>
            </w:r>
            <w:r>
              <w:rPr>
                <w:rFonts w:ascii="Calibri" w:hAnsi="Calibri" w:cs="Calibri"/>
                <w:color w:val="000000" w:themeColor="text1"/>
              </w:rPr>
              <w:t xml:space="preserve">reduction in cannabis use </w:t>
            </w:r>
            <w:r w:rsidRPr="00A14608">
              <w:rPr>
                <w:rFonts w:ascii="Calibri" w:hAnsi="Calibri" w:cs="Calibri"/>
                <w:color w:val="000000" w:themeColor="text1"/>
              </w:rPr>
              <w:t>(fro</w:t>
            </w:r>
            <w:r>
              <w:rPr>
                <w:rFonts w:ascii="Calibri" w:hAnsi="Calibri" w:cs="Calibri"/>
                <w:color w:val="000000" w:themeColor="text1"/>
              </w:rPr>
              <w:t>m 5.4 to 3.1 grams).</w:t>
            </w:r>
          </w:p>
          <w:p w14:paraId="1A579573" w14:textId="77777777" w:rsidR="00B80B9A" w:rsidRDefault="00B80B9A" w:rsidP="00B80B9A">
            <w:pPr>
              <w:numPr>
                <w:ilvl w:val="2"/>
                <w:numId w:val="91"/>
              </w:numPr>
              <w:ind w:left="1077"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Pr>
                <w:rFonts w:ascii="Calibri" w:hAnsi="Calibri" w:cs="Calibri"/>
                <w:color w:val="000000"/>
              </w:rPr>
              <w:t>Quantity of c</w:t>
            </w:r>
            <w:r w:rsidRPr="00F92363">
              <w:rPr>
                <w:rFonts w:ascii="Calibri" w:hAnsi="Calibri" w:cs="Calibri"/>
                <w:color w:val="000000"/>
              </w:rPr>
              <w:t xml:space="preserve">annabis use </w:t>
            </w:r>
            <w:r>
              <w:rPr>
                <w:rFonts w:ascii="Calibri" w:hAnsi="Calibri" w:cs="Calibri"/>
                <w:color w:val="000000"/>
              </w:rPr>
              <w:t xml:space="preserve">(grams) </w:t>
            </w:r>
            <w:r w:rsidRPr="00F92363">
              <w:rPr>
                <w:rFonts w:ascii="Calibri" w:hAnsi="Calibri" w:cs="Calibri"/>
                <w:color w:val="000000"/>
              </w:rPr>
              <w:t xml:space="preserve">decreased over time (p &lt; 0.001). However, no significant between-group differences in cannabis use </w:t>
            </w:r>
            <w:r>
              <w:rPr>
                <w:rFonts w:ascii="Calibri" w:hAnsi="Calibri" w:cs="Calibri"/>
                <w:color w:val="000000"/>
              </w:rPr>
              <w:t xml:space="preserve">(grams) </w:t>
            </w:r>
            <w:r w:rsidRPr="00F92363">
              <w:rPr>
                <w:rFonts w:ascii="Calibri" w:hAnsi="Calibri" w:cs="Calibri"/>
                <w:color w:val="000000"/>
              </w:rPr>
              <w:t>were observed (p = 0.179)</w:t>
            </w:r>
            <w:r>
              <w:rPr>
                <w:rFonts w:ascii="Calibri" w:hAnsi="Calibri" w:cs="Calibri"/>
                <w:color w:val="000000"/>
              </w:rPr>
              <w:t>,</w:t>
            </w:r>
            <w:r w:rsidRPr="00F92363">
              <w:rPr>
                <w:rFonts w:ascii="Calibri" w:hAnsi="Calibri" w:cs="Calibri"/>
                <w:color w:val="000000"/>
              </w:rPr>
              <w:t xml:space="preserve"> and cannabis use </w:t>
            </w:r>
            <w:r>
              <w:rPr>
                <w:rFonts w:ascii="Calibri" w:hAnsi="Calibri" w:cs="Calibri"/>
                <w:color w:val="000000"/>
              </w:rPr>
              <w:t xml:space="preserve">(grams) </w:t>
            </w:r>
            <w:r w:rsidRPr="00F92363">
              <w:rPr>
                <w:rFonts w:ascii="Calibri" w:hAnsi="Calibri" w:cs="Calibri"/>
                <w:color w:val="000000"/>
              </w:rPr>
              <w:t xml:space="preserve">did not significantly differ </w:t>
            </w:r>
            <w:r>
              <w:rPr>
                <w:rFonts w:ascii="Calibri" w:hAnsi="Calibri" w:cs="Calibri"/>
                <w:color w:val="000000"/>
              </w:rPr>
              <w:t>between</w:t>
            </w:r>
            <w:r w:rsidRPr="00F92363">
              <w:rPr>
                <w:rFonts w:ascii="Calibri" w:hAnsi="Calibri" w:cs="Calibri"/>
                <w:color w:val="000000"/>
              </w:rPr>
              <w:t xml:space="preserve"> the nabiximols and placebo groups over time (p = 0.664).</w:t>
            </w:r>
          </w:p>
          <w:p w14:paraId="2D0D2A8E" w14:textId="77777777" w:rsidR="00B80B9A" w:rsidRPr="00D730FC"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rPr>
            </w:pPr>
            <w:r>
              <w:rPr>
                <w:rFonts w:ascii="Calibri" w:hAnsi="Calibri" w:cs="Calibri"/>
                <w:bCs/>
                <w:color w:val="000000"/>
              </w:rPr>
              <w:t>Quantity of c</w:t>
            </w:r>
            <w:r w:rsidRPr="00D730FC">
              <w:rPr>
                <w:rFonts w:ascii="Calibri" w:hAnsi="Calibri" w:cs="Calibri"/>
                <w:bCs/>
                <w:color w:val="000000"/>
              </w:rPr>
              <w:t>annabis use (grams) sub</w:t>
            </w:r>
            <w:r>
              <w:rPr>
                <w:rFonts w:ascii="Calibri" w:hAnsi="Calibri" w:cs="Calibri"/>
                <w:bCs/>
                <w:color w:val="000000"/>
              </w:rPr>
              <w:t>-</w:t>
            </w:r>
            <w:r w:rsidRPr="00D730FC">
              <w:rPr>
                <w:rFonts w:ascii="Calibri" w:hAnsi="Calibri" w:cs="Calibri"/>
                <w:bCs/>
                <w:color w:val="000000"/>
              </w:rPr>
              <w:t>group analysis</w:t>
            </w:r>
            <w:r>
              <w:rPr>
                <w:rFonts w:ascii="Calibri" w:hAnsi="Calibri" w:cs="Calibri"/>
                <w:bCs/>
                <w:color w:val="000000"/>
              </w:rPr>
              <w:t xml:space="preserve"> (</w:t>
            </w:r>
            <w:r w:rsidRPr="00D730FC">
              <w:rPr>
                <w:rFonts w:ascii="Calibri" w:hAnsi="Calibri" w:cs="Calibri"/>
                <w:bCs/>
                <w:color w:val="000000"/>
              </w:rPr>
              <w:t>high vs. low medication use</w:t>
            </w:r>
            <w:r>
              <w:rPr>
                <w:rFonts w:ascii="Calibri" w:hAnsi="Calibri" w:cs="Calibri"/>
                <w:bCs/>
                <w:color w:val="000000"/>
              </w:rPr>
              <w:t>):</w:t>
            </w:r>
            <w:r w:rsidRPr="00D730FC">
              <w:rPr>
                <w:rFonts w:ascii="Calibri" w:hAnsi="Calibri" w:cs="Calibri"/>
                <w:bCs/>
                <w:color w:val="000000"/>
              </w:rPr>
              <w:t xml:space="preserve"> </w:t>
            </w:r>
          </w:p>
          <w:p w14:paraId="6D2651E4" w14:textId="116464DD" w:rsidR="00B80B9A" w:rsidRPr="00EA261C" w:rsidRDefault="00B80B9A" w:rsidP="00B80B9A">
            <w:pPr>
              <w:numPr>
                <w:ilvl w:val="2"/>
                <w:numId w:val="91"/>
              </w:numPr>
              <w:ind w:left="1077"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rPr>
            </w:pPr>
            <w:r w:rsidRPr="00EA261C">
              <w:rPr>
                <w:rFonts w:ascii="Calibri" w:hAnsi="Calibri" w:cs="Calibri"/>
                <w:bCs/>
                <w:color w:val="000000"/>
              </w:rPr>
              <w:lastRenderedPageBreak/>
              <w:t>There was high variability in the number of sprays used by participants. Thus, an additional analysis of the study outcomes was performed by sub-dividing each treatment group into a high medication user sub</w:t>
            </w:r>
            <w:r>
              <w:rPr>
                <w:rFonts w:ascii="Calibri" w:hAnsi="Calibri" w:cs="Calibri"/>
                <w:bCs/>
                <w:color w:val="000000"/>
              </w:rPr>
              <w:t>-</w:t>
            </w:r>
            <w:r w:rsidRPr="00EA261C">
              <w:rPr>
                <w:rFonts w:ascii="Calibri" w:hAnsi="Calibri" w:cs="Calibri"/>
                <w:bCs/>
                <w:color w:val="000000"/>
              </w:rPr>
              <w:t>group (at least 20 sprays on any treatment day</w:t>
            </w:r>
            <w:r w:rsidR="00601D74">
              <w:rPr>
                <w:rFonts w:ascii="Calibri" w:hAnsi="Calibri" w:cs="Calibri"/>
                <w:bCs/>
                <w:color w:val="000000"/>
              </w:rPr>
              <w:t xml:space="preserve">; </w:t>
            </w:r>
            <w:r w:rsidR="00601D74" w:rsidRPr="00601D74">
              <w:rPr>
                <w:rFonts w:ascii="Calibri" w:hAnsi="Calibri" w:cs="Calibri"/>
                <w:bCs/>
                <w:color w:val="000000"/>
              </w:rPr>
              <w:t>nabiximols: n = 5; placebo: n = 3</w:t>
            </w:r>
            <w:r w:rsidRPr="00EA261C">
              <w:rPr>
                <w:rFonts w:ascii="Calibri" w:hAnsi="Calibri" w:cs="Calibri"/>
                <w:bCs/>
                <w:color w:val="000000"/>
              </w:rPr>
              <w:t>) and a low medication user sub-group (less than 20 sprays on all treatment days</w:t>
            </w:r>
            <w:r w:rsidR="007A4FBF">
              <w:rPr>
                <w:rFonts w:ascii="Calibri" w:hAnsi="Calibri" w:cs="Calibri"/>
                <w:bCs/>
                <w:color w:val="000000"/>
              </w:rPr>
              <w:t xml:space="preserve">; </w:t>
            </w:r>
            <w:r w:rsidR="007A4FBF" w:rsidRPr="007A4FBF">
              <w:rPr>
                <w:rFonts w:ascii="Calibri" w:hAnsi="Calibri" w:cs="Calibri"/>
                <w:bCs/>
                <w:color w:val="000000"/>
              </w:rPr>
              <w:t>nabiximols: n = 8; placebo: n = 11</w:t>
            </w:r>
            <w:r w:rsidRPr="00EA261C">
              <w:rPr>
                <w:rFonts w:ascii="Calibri" w:hAnsi="Calibri" w:cs="Calibri"/>
                <w:bCs/>
                <w:color w:val="000000"/>
              </w:rPr>
              <w:t>).</w:t>
            </w:r>
          </w:p>
          <w:p w14:paraId="72207C87" w14:textId="77777777" w:rsidR="00B80B9A" w:rsidRPr="0055305E" w:rsidRDefault="00B80B9A" w:rsidP="00B80B9A">
            <w:pPr>
              <w:numPr>
                <w:ilvl w:val="2"/>
                <w:numId w:val="91"/>
              </w:numPr>
              <w:ind w:left="1077"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Pr>
                <w:szCs w:val="20"/>
              </w:rPr>
              <w:t>There was a</w:t>
            </w:r>
            <w:r w:rsidRPr="0055305E">
              <w:rPr>
                <w:szCs w:val="20"/>
              </w:rPr>
              <w:t xml:space="preserve"> trend for </w:t>
            </w:r>
            <w:r>
              <w:rPr>
                <w:szCs w:val="20"/>
              </w:rPr>
              <w:t xml:space="preserve">a </w:t>
            </w:r>
            <w:r w:rsidRPr="0055305E">
              <w:rPr>
                <w:szCs w:val="20"/>
              </w:rPr>
              <w:t xml:space="preserve">reduction </w:t>
            </w:r>
            <w:r>
              <w:rPr>
                <w:szCs w:val="20"/>
              </w:rPr>
              <w:t>in</w:t>
            </w:r>
            <w:r w:rsidRPr="0055305E">
              <w:rPr>
                <w:szCs w:val="20"/>
              </w:rPr>
              <w:t xml:space="preserve"> cannabis use </w:t>
            </w:r>
            <w:r>
              <w:rPr>
                <w:szCs w:val="20"/>
              </w:rPr>
              <w:t>(grams) for the</w:t>
            </w:r>
            <w:r w:rsidRPr="0055305E">
              <w:rPr>
                <w:szCs w:val="20"/>
              </w:rPr>
              <w:t xml:space="preserve"> high medication use sub-groups (nabiximol</w:t>
            </w:r>
            <w:r>
              <w:rPr>
                <w:szCs w:val="20"/>
              </w:rPr>
              <w:t>s</w:t>
            </w:r>
            <w:r w:rsidRPr="0055305E">
              <w:rPr>
                <w:szCs w:val="20"/>
              </w:rPr>
              <w:t xml:space="preserve"> </w:t>
            </w:r>
            <w:r>
              <w:rPr>
                <w:szCs w:val="20"/>
              </w:rPr>
              <w:t>vs.</w:t>
            </w:r>
            <w:r w:rsidRPr="0055305E">
              <w:rPr>
                <w:szCs w:val="20"/>
              </w:rPr>
              <w:t xml:space="preserve"> placebo), whereas cannabis use </w:t>
            </w:r>
            <w:r>
              <w:rPr>
                <w:szCs w:val="20"/>
              </w:rPr>
              <w:t xml:space="preserve">(grams) </w:t>
            </w:r>
            <w:r w:rsidRPr="0055305E">
              <w:rPr>
                <w:szCs w:val="20"/>
              </w:rPr>
              <w:t xml:space="preserve">was similar in the nabiximols and placebo groups in the low medication use sub-groups. </w:t>
            </w:r>
          </w:p>
          <w:p w14:paraId="63564C0A" w14:textId="314A058A" w:rsidR="00B80B9A" w:rsidRPr="0055305E" w:rsidRDefault="00B80B9A" w:rsidP="00B80B9A">
            <w:pPr>
              <w:numPr>
                <w:ilvl w:val="2"/>
                <w:numId w:val="91"/>
              </w:numPr>
              <w:ind w:left="1077"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Pr>
                <w:szCs w:val="20"/>
              </w:rPr>
              <w:t>In the high medication subgroups, cannabis use (grams) significantly decreased over time</w:t>
            </w:r>
            <w:r w:rsidRPr="0055305E">
              <w:rPr>
                <w:szCs w:val="20"/>
              </w:rPr>
              <w:t xml:space="preserve"> (p &lt; 0.001</w:t>
            </w:r>
            <w:r>
              <w:rPr>
                <w:szCs w:val="20"/>
              </w:rPr>
              <w:t>); n</w:t>
            </w:r>
            <w:r w:rsidRPr="0055305E">
              <w:rPr>
                <w:szCs w:val="20"/>
              </w:rPr>
              <w:t xml:space="preserve">o significant </w:t>
            </w:r>
            <w:r>
              <w:rPr>
                <w:szCs w:val="20"/>
              </w:rPr>
              <w:t xml:space="preserve">between-group </w:t>
            </w:r>
            <w:r w:rsidRPr="0055305E">
              <w:rPr>
                <w:szCs w:val="20"/>
              </w:rPr>
              <w:t>difference</w:t>
            </w:r>
            <w:r>
              <w:rPr>
                <w:szCs w:val="20"/>
              </w:rPr>
              <w:t xml:space="preserve"> in cannabis use</w:t>
            </w:r>
            <w:r w:rsidRPr="0055305E">
              <w:rPr>
                <w:szCs w:val="20"/>
              </w:rPr>
              <w:t xml:space="preserve"> </w:t>
            </w:r>
            <w:r>
              <w:rPr>
                <w:szCs w:val="20"/>
              </w:rPr>
              <w:t xml:space="preserve">(grams) </w:t>
            </w:r>
            <w:r w:rsidRPr="0055305E">
              <w:rPr>
                <w:szCs w:val="20"/>
              </w:rPr>
              <w:t xml:space="preserve">was observed (p = </w:t>
            </w:r>
            <w:r w:rsidR="00017719">
              <w:rPr>
                <w:szCs w:val="20"/>
              </w:rPr>
              <w:t>0</w:t>
            </w:r>
            <w:r w:rsidRPr="0055305E">
              <w:rPr>
                <w:szCs w:val="20"/>
              </w:rPr>
              <w:t>.098)</w:t>
            </w:r>
            <w:r>
              <w:rPr>
                <w:szCs w:val="20"/>
              </w:rPr>
              <w:t>;</w:t>
            </w:r>
            <w:r w:rsidRPr="0055305E">
              <w:rPr>
                <w:szCs w:val="20"/>
              </w:rPr>
              <w:t xml:space="preserve"> and </w:t>
            </w:r>
            <w:r>
              <w:rPr>
                <w:szCs w:val="20"/>
              </w:rPr>
              <w:t>cannabis use (grams) significantly differed between the nabiximols and placebo group over time</w:t>
            </w:r>
            <w:r w:rsidRPr="0055305E">
              <w:rPr>
                <w:szCs w:val="20"/>
              </w:rPr>
              <w:t xml:space="preserve"> (p &lt; 0.01). </w:t>
            </w:r>
            <w:r>
              <w:rPr>
                <w:szCs w:val="20"/>
              </w:rPr>
              <w:t>Nonetheless</w:t>
            </w:r>
            <w:r w:rsidRPr="0055305E">
              <w:rPr>
                <w:szCs w:val="20"/>
              </w:rPr>
              <w:t xml:space="preserve">, </w:t>
            </w:r>
            <w:r>
              <w:rPr>
                <w:szCs w:val="20"/>
              </w:rPr>
              <w:t xml:space="preserve">a </w:t>
            </w:r>
            <w:r w:rsidRPr="0055305E">
              <w:rPr>
                <w:szCs w:val="20"/>
              </w:rPr>
              <w:t>follow-up analys</w:t>
            </w:r>
            <w:r>
              <w:rPr>
                <w:szCs w:val="20"/>
              </w:rPr>
              <w:t>i</w:t>
            </w:r>
            <w:r w:rsidRPr="0055305E">
              <w:rPr>
                <w:szCs w:val="20"/>
              </w:rPr>
              <w:t>s indicated no significant differences between groups at any timepoint during treatment.</w:t>
            </w:r>
          </w:p>
          <w:p w14:paraId="00B0055C" w14:textId="77777777" w:rsidR="00B80B9A"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rPr>
            </w:pPr>
            <w:r>
              <w:rPr>
                <w:rFonts w:ascii="Calibri" w:hAnsi="Calibri" w:cs="Calibri"/>
                <w:bCs/>
                <w:color w:val="000000"/>
              </w:rPr>
              <w:t>Frequency of c</w:t>
            </w:r>
            <w:r w:rsidRPr="00265075">
              <w:rPr>
                <w:rFonts w:ascii="Calibri" w:hAnsi="Calibri" w:cs="Calibri"/>
                <w:bCs/>
                <w:color w:val="000000"/>
              </w:rPr>
              <w:t>annabis use (% days per week)</w:t>
            </w:r>
            <w:r>
              <w:rPr>
                <w:rFonts w:ascii="Calibri" w:hAnsi="Calibri" w:cs="Calibri"/>
                <w:bCs/>
                <w:color w:val="000000"/>
              </w:rPr>
              <w:t>:</w:t>
            </w:r>
          </w:p>
          <w:p w14:paraId="7BCA5935" w14:textId="1B744233" w:rsidR="00B80B9A" w:rsidRPr="00265075" w:rsidRDefault="00B80B9A" w:rsidP="00B80B9A">
            <w:pPr>
              <w:numPr>
                <w:ilvl w:val="2"/>
                <w:numId w:val="91"/>
              </w:numPr>
              <w:ind w:left="1077"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rPr>
            </w:pPr>
            <w:r>
              <w:rPr>
                <w:rFonts w:ascii="Calibri" w:hAnsi="Calibri" w:cs="Calibri"/>
                <w:bCs/>
                <w:color w:val="000000"/>
              </w:rPr>
              <w:t>Frequency of c</w:t>
            </w:r>
            <w:r w:rsidRPr="00265075">
              <w:rPr>
                <w:rFonts w:ascii="Calibri" w:hAnsi="Calibri" w:cs="Calibri"/>
                <w:bCs/>
                <w:color w:val="000000"/>
              </w:rPr>
              <w:t xml:space="preserve">annabis use </w:t>
            </w:r>
            <w:r>
              <w:rPr>
                <w:rFonts w:ascii="Calibri" w:hAnsi="Calibri" w:cs="Calibri"/>
                <w:bCs/>
                <w:color w:val="000000"/>
              </w:rPr>
              <w:t xml:space="preserve">(% days per week) </w:t>
            </w:r>
            <w:r w:rsidRPr="00265075">
              <w:rPr>
                <w:rFonts w:ascii="Calibri" w:hAnsi="Calibri" w:cs="Calibri"/>
                <w:bCs/>
                <w:color w:val="000000"/>
              </w:rPr>
              <w:t xml:space="preserve">decreased over time (p &lt; 0.001). However, no significant between-group differences in cannabis use </w:t>
            </w:r>
            <w:r>
              <w:rPr>
                <w:rFonts w:ascii="Calibri" w:hAnsi="Calibri" w:cs="Calibri"/>
                <w:bCs/>
                <w:color w:val="000000"/>
              </w:rPr>
              <w:t xml:space="preserve">(% days per week) </w:t>
            </w:r>
            <w:r w:rsidRPr="00265075">
              <w:rPr>
                <w:rFonts w:ascii="Calibri" w:hAnsi="Calibri" w:cs="Calibri"/>
                <w:bCs/>
                <w:color w:val="000000"/>
              </w:rPr>
              <w:t xml:space="preserve">were observed (p = 0.298), and cannabis use </w:t>
            </w:r>
            <w:r>
              <w:rPr>
                <w:rFonts w:ascii="Calibri" w:hAnsi="Calibri" w:cs="Calibri"/>
                <w:bCs/>
                <w:color w:val="000000"/>
              </w:rPr>
              <w:t xml:space="preserve">(% days per week) </w:t>
            </w:r>
            <w:r w:rsidRPr="00265075">
              <w:rPr>
                <w:rFonts w:ascii="Calibri" w:hAnsi="Calibri" w:cs="Calibri"/>
                <w:bCs/>
                <w:color w:val="000000"/>
              </w:rPr>
              <w:t xml:space="preserve">did not significantly differ </w:t>
            </w:r>
            <w:r>
              <w:rPr>
                <w:rFonts w:ascii="Calibri" w:hAnsi="Calibri" w:cs="Calibri"/>
                <w:bCs/>
                <w:color w:val="000000"/>
              </w:rPr>
              <w:t xml:space="preserve">between </w:t>
            </w:r>
            <w:r w:rsidRPr="00265075">
              <w:rPr>
                <w:rFonts w:ascii="Calibri" w:hAnsi="Calibri" w:cs="Calibri"/>
                <w:bCs/>
                <w:color w:val="000000"/>
              </w:rPr>
              <w:t xml:space="preserve">the nabiximols and placebo groups over time (p = </w:t>
            </w:r>
            <w:r w:rsidR="00E86AB3">
              <w:rPr>
                <w:rFonts w:ascii="Calibri" w:hAnsi="Calibri" w:cs="Calibri"/>
                <w:bCs/>
                <w:color w:val="000000"/>
              </w:rPr>
              <w:t>0</w:t>
            </w:r>
            <w:r w:rsidRPr="00265075">
              <w:rPr>
                <w:rFonts w:ascii="Calibri" w:hAnsi="Calibri" w:cs="Calibri"/>
                <w:bCs/>
                <w:color w:val="000000"/>
              </w:rPr>
              <w:t>.221).</w:t>
            </w:r>
          </w:p>
          <w:p w14:paraId="1CCD4EB4" w14:textId="77777777" w:rsidR="00B80B9A" w:rsidRPr="001D6525"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1D6525">
              <w:rPr>
                <w:rFonts w:ascii="Calibri" w:hAnsi="Calibri" w:cs="Calibri"/>
                <w:color w:val="000000"/>
                <w:szCs w:val="20"/>
              </w:rPr>
              <w:t>Cannabis craving (as measured by the MCQ-SF):</w:t>
            </w:r>
          </w:p>
          <w:p w14:paraId="0B510591" w14:textId="77777777" w:rsidR="00B80B9A" w:rsidRPr="00676C21"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Pr>
                <w:szCs w:val="20"/>
              </w:rPr>
              <w:t>C</w:t>
            </w:r>
            <w:r w:rsidRPr="00D435FC">
              <w:rPr>
                <w:szCs w:val="20"/>
              </w:rPr>
              <w:t>annabis craving decreased</w:t>
            </w:r>
            <w:r>
              <w:rPr>
                <w:szCs w:val="20"/>
              </w:rPr>
              <w:t xml:space="preserve"> over </w:t>
            </w:r>
            <w:r w:rsidRPr="00F32CCF">
              <w:rPr>
                <w:szCs w:val="20"/>
              </w:rPr>
              <w:t xml:space="preserve">time (p &lt; 0.001). No significant between-group difference in craving was observed (p = 0.438). However, there was a significant </w:t>
            </w:r>
            <w:r>
              <w:rPr>
                <w:szCs w:val="20"/>
              </w:rPr>
              <w:t xml:space="preserve">difference in craving between the nabiximols and placebo groups over time </w:t>
            </w:r>
            <w:r w:rsidRPr="00F32CCF">
              <w:rPr>
                <w:szCs w:val="20"/>
              </w:rPr>
              <w:t>(p &lt; 0.05)</w:t>
            </w:r>
            <w:r>
              <w:rPr>
                <w:szCs w:val="20"/>
              </w:rPr>
              <w:t>. A follow-up analysis indicated this difference appeared to be primarily driven by higher craving scores in the placebo condition (relative to the nabiximols condition) at the week-7 timepoint.</w:t>
            </w:r>
          </w:p>
          <w:p w14:paraId="3E4F4BAA" w14:textId="77777777" w:rsidR="00B80B9A" w:rsidRPr="001D6525"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1D6525">
              <w:rPr>
                <w:rFonts w:ascii="Calibri" w:hAnsi="Calibri" w:cs="Calibri"/>
                <w:color w:val="000000"/>
                <w:szCs w:val="20"/>
              </w:rPr>
              <w:t>Cannabis withdrawal (as measured by the MWC)</w:t>
            </w:r>
            <w:r>
              <w:rPr>
                <w:rFonts w:ascii="Calibri" w:hAnsi="Calibri" w:cs="Calibri"/>
                <w:color w:val="000000"/>
                <w:szCs w:val="20"/>
              </w:rPr>
              <w:t>:</w:t>
            </w:r>
          </w:p>
          <w:p w14:paraId="0316973F" w14:textId="77777777" w:rsidR="00B80B9A" w:rsidRPr="009E0EB9" w:rsidRDefault="00B80B9A" w:rsidP="00B80B9A">
            <w:pPr>
              <w:numPr>
                <w:ilvl w:val="1"/>
                <w:numId w:val="91"/>
              </w:numPr>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7D3A32">
              <w:rPr>
                <w:rFonts w:ascii="Calibri" w:hAnsi="Calibri" w:cs="Calibri"/>
                <w:color w:val="000000" w:themeColor="text1"/>
              </w:rPr>
              <w:t>Cannabis withdrawal decreased over time (</w:t>
            </w:r>
            <w:r w:rsidRPr="007D3A32">
              <w:rPr>
                <w:rFonts w:ascii="Calibri" w:hAnsi="Calibri" w:cs="Calibri"/>
                <w:i/>
                <w:iCs/>
                <w:color w:val="000000" w:themeColor="text1"/>
              </w:rPr>
              <w:t>p</w:t>
            </w:r>
            <w:r w:rsidRPr="007D3A32">
              <w:rPr>
                <w:rFonts w:ascii="Calibri" w:hAnsi="Calibri" w:cs="Calibri"/>
                <w:color w:val="000000" w:themeColor="text1"/>
              </w:rPr>
              <w:t xml:space="preserve"> &lt; 0.001). However, </w:t>
            </w:r>
            <w:r w:rsidRPr="007D3A32">
              <w:rPr>
                <w:rFonts w:ascii="Calibri" w:hAnsi="Calibri" w:cs="Calibri"/>
                <w:color w:val="000000"/>
              </w:rPr>
              <w:t>no significant between-group difference in cannabis withdrawal w</w:t>
            </w:r>
            <w:r>
              <w:rPr>
                <w:rFonts w:ascii="Calibri" w:hAnsi="Calibri" w:cs="Calibri"/>
                <w:color w:val="000000"/>
              </w:rPr>
              <w:t>as</w:t>
            </w:r>
            <w:r w:rsidRPr="007D3A32">
              <w:rPr>
                <w:rFonts w:ascii="Calibri" w:hAnsi="Calibri" w:cs="Calibri"/>
                <w:color w:val="000000"/>
              </w:rPr>
              <w:t xml:space="preserve"> observed (p = </w:t>
            </w:r>
            <w:r w:rsidRPr="007D3A32">
              <w:rPr>
                <w:rFonts w:ascii="Calibri" w:hAnsi="Calibri" w:cs="Calibri"/>
                <w:color w:val="000000" w:themeColor="text1"/>
              </w:rPr>
              <w:t>0.593</w:t>
            </w:r>
            <w:r w:rsidRPr="007D3A32">
              <w:rPr>
                <w:rFonts w:ascii="Calibri" w:hAnsi="Calibri" w:cs="Calibri"/>
                <w:color w:val="000000"/>
              </w:rPr>
              <w:t>)</w:t>
            </w:r>
            <w:r>
              <w:rPr>
                <w:rFonts w:ascii="Calibri" w:hAnsi="Calibri" w:cs="Calibri"/>
                <w:color w:val="000000"/>
              </w:rPr>
              <w:t>,</w:t>
            </w:r>
            <w:r w:rsidRPr="007D3A32">
              <w:rPr>
                <w:rFonts w:ascii="Calibri" w:hAnsi="Calibri" w:cs="Calibri"/>
                <w:color w:val="000000"/>
              </w:rPr>
              <w:t xml:space="preserve"> and cannabis withdrawal did not significantly differ for the nabiximols and placebo groups over time (p = </w:t>
            </w:r>
            <w:r w:rsidRPr="007D3A32">
              <w:rPr>
                <w:rFonts w:ascii="Calibri" w:hAnsi="Calibri" w:cs="Calibri"/>
                <w:color w:val="000000" w:themeColor="text1"/>
              </w:rPr>
              <w:t>0.601</w:t>
            </w:r>
            <w:r w:rsidRPr="007D3A32">
              <w:rPr>
                <w:rFonts w:ascii="Calibri" w:hAnsi="Calibri" w:cs="Calibri"/>
                <w:color w:val="000000"/>
              </w:rPr>
              <w:t>).</w:t>
            </w:r>
          </w:p>
        </w:tc>
      </w:tr>
      <w:tr w:rsidR="00B80B9A" w:rsidRPr="002F020F" w14:paraId="1771CAE8"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EFD4139" w14:textId="77777777" w:rsidR="00B80B9A" w:rsidRPr="002F020F" w:rsidRDefault="00B80B9A" w:rsidP="004361E5">
            <w:pPr>
              <w:contextualSpacing/>
            </w:pPr>
            <w:r w:rsidRPr="002F020F">
              <w:lastRenderedPageBreak/>
              <w:t>Safety and Adverse Events</w:t>
            </w:r>
          </w:p>
        </w:tc>
        <w:tc>
          <w:tcPr>
            <w:tcW w:w="3884" w:type="pct"/>
          </w:tcPr>
          <w:p w14:paraId="54BC2429" w14:textId="77777777" w:rsidR="00B80B9A" w:rsidRPr="00001063" w:rsidRDefault="00B80B9A" w:rsidP="00B80B9A">
            <w:pPr>
              <w:numPr>
                <w:ilvl w:val="0"/>
                <w:numId w:val="92"/>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19C6C0B2">
              <w:rPr>
                <w:rFonts w:ascii="Calibri" w:hAnsi="Calibri" w:cs="Calibri"/>
                <w:color w:val="000000" w:themeColor="text1"/>
              </w:rPr>
              <w:t>Medication was well tolerated, and no serious adverse events were observed</w:t>
            </w:r>
            <w:r>
              <w:rPr>
                <w:rFonts w:ascii="Calibri" w:hAnsi="Calibri" w:cs="Calibri"/>
                <w:color w:val="000000" w:themeColor="text1"/>
              </w:rPr>
              <w:t xml:space="preserve"> in either study condition</w:t>
            </w:r>
            <w:r w:rsidRPr="19C6C0B2">
              <w:rPr>
                <w:rFonts w:ascii="Calibri" w:hAnsi="Calibri" w:cs="Calibri"/>
                <w:color w:val="000000" w:themeColor="text1"/>
              </w:rPr>
              <w:t xml:space="preserve">. </w:t>
            </w:r>
          </w:p>
          <w:p w14:paraId="50C42DDB" w14:textId="77777777" w:rsidR="00B80B9A" w:rsidRPr="00C44060" w:rsidRDefault="00B80B9A" w:rsidP="00B80B9A">
            <w:pPr>
              <w:numPr>
                <w:ilvl w:val="0"/>
                <w:numId w:val="92"/>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Pr>
                <w:rFonts w:ascii="Calibri" w:hAnsi="Calibri" w:cs="Calibri"/>
                <w:color w:val="000000" w:themeColor="text1"/>
              </w:rPr>
              <w:t>The r</w:t>
            </w:r>
            <w:r w:rsidRPr="19C6C0B2">
              <w:rPr>
                <w:rFonts w:ascii="Calibri" w:hAnsi="Calibri" w:cs="Calibri"/>
                <w:color w:val="000000" w:themeColor="text1"/>
              </w:rPr>
              <w:t>ate of adverse events did not</w:t>
            </w:r>
            <w:r>
              <w:rPr>
                <w:rFonts w:ascii="Calibri" w:hAnsi="Calibri" w:cs="Calibri"/>
                <w:color w:val="000000" w:themeColor="text1"/>
              </w:rPr>
              <w:t xml:space="preserve"> significantly</w:t>
            </w:r>
            <w:r w:rsidRPr="19C6C0B2">
              <w:rPr>
                <w:rFonts w:ascii="Calibri" w:hAnsi="Calibri" w:cs="Calibri"/>
                <w:color w:val="000000" w:themeColor="text1"/>
              </w:rPr>
              <w:t xml:space="preserve"> differ between</w:t>
            </w:r>
            <w:r>
              <w:rPr>
                <w:rFonts w:ascii="Calibri" w:hAnsi="Calibri" w:cs="Calibri"/>
                <w:color w:val="000000" w:themeColor="text1"/>
              </w:rPr>
              <w:t xml:space="preserve"> the study conditions (</w:t>
            </w:r>
            <w:r w:rsidRPr="008B233F">
              <w:rPr>
                <w:rFonts w:ascii="Calibri" w:hAnsi="Calibri" w:cs="Calibri"/>
                <w:color w:val="000000" w:themeColor="text1"/>
              </w:rPr>
              <w:t>p = 0.654</w:t>
            </w:r>
            <w:r>
              <w:rPr>
                <w:rFonts w:ascii="Calibri" w:hAnsi="Calibri" w:cs="Calibri"/>
                <w:color w:val="000000" w:themeColor="text1"/>
              </w:rPr>
              <w:t>)</w:t>
            </w:r>
            <w:r w:rsidRPr="19C6C0B2">
              <w:rPr>
                <w:rFonts w:ascii="Calibri" w:hAnsi="Calibri" w:cs="Calibri"/>
                <w:color w:val="000000" w:themeColor="text1"/>
              </w:rPr>
              <w:t xml:space="preserve">. </w:t>
            </w:r>
          </w:p>
          <w:p w14:paraId="11201928" w14:textId="4A0A7204" w:rsidR="00B80B9A" w:rsidRPr="00C44060" w:rsidRDefault="00B80B9A" w:rsidP="00B80B9A">
            <w:pPr>
              <w:numPr>
                <w:ilvl w:val="0"/>
                <w:numId w:val="92"/>
              </w:numPr>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The observed a</w:t>
            </w:r>
            <w:r w:rsidRPr="00C44060">
              <w:rPr>
                <w:rFonts w:ascii="Calibri" w:hAnsi="Calibri" w:cs="Calibri"/>
                <w:color w:val="000000"/>
                <w:szCs w:val="20"/>
              </w:rPr>
              <w:t>dverse events included some expected side effects</w:t>
            </w:r>
            <w:r>
              <w:rPr>
                <w:rFonts w:ascii="Calibri" w:hAnsi="Calibri" w:cs="Calibri"/>
                <w:color w:val="000000"/>
                <w:szCs w:val="20"/>
              </w:rPr>
              <w:t xml:space="preserve"> of the study medication (e.g.,</w:t>
            </w:r>
            <w:r w:rsidRPr="00C44060">
              <w:rPr>
                <w:rFonts w:ascii="Calibri" w:hAnsi="Calibri" w:cs="Calibri"/>
                <w:color w:val="000000"/>
                <w:szCs w:val="20"/>
              </w:rPr>
              <w:t xml:space="preserve"> sleep problems, headaches, </w:t>
            </w:r>
            <w:r>
              <w:rPr>
                <w:rFonts w:ascii="Calibri" w:hAnsi="Calibri" w:cs="Calibri"/>
                <w:color w:val="000000"/>
                <w:szCs w:val="20"/>
              </w:rPr>
              <w:t>or</w:t>
            </w:r>
            <w:r w:rsidRPr="00C44060">
              <w:rPr>
                <w:rFonts w:ascii="Calibri" w:hAnsi="Calibri" w:cs="Calibri"/>
                <w:color w:val="000000"/>
                <w:szCs w:val="20"/>
              </w:rPr>
              <w:t xml:space="preserve"> </w:t>
            </w:r>
            <w:r w:rsidR="00FD330A" w:rsidRPr="00C44060">
              <w:rPr>
                <w:rFonts w:ascii="Calibri" w:hAnsi="Calibri" w:cs="Calibri"/>
                <w:color w:val="000000"/>
                <w:szCs w:val="20"/>
              </w:rPr>
              <w:t>diarrhoea</w:t>
            </w:r>
            <w:r>
              <w:rPr>
                <w:rFonts w:ascii="Calibri" w:hAnsi="Calibri" w:cs="Calibri"/>
                <w:color w:val="000000"/>
                <w:szCs w:val="20"/>
              </w:rPr>
              <w:t xml:space="preserve">), and </w:t>
            </w:r>
            <w:r w:rsidRPr="00C44060">
              <w:rPr>
                <w:rFonts w:ascii="Calibri" w:hAnsi="Calibri" w:cs="Calibri"/>
                <w:color w:val="000000"/>
                <w:szCs w:val="20"/>
              </w:rPr>
              <w:t xml:space="preserve">some events </w:t>
            </w:r>
            <w:r>
              <w:rPr>
                <w:rFonts w:ascii="Calibri" w:hAnsi="Calibri" w:cs="Calibri"/>
                <w:color w:val="000000"/>
                <w:szCs w:val="20"/>
              </w:rPr>
              <w:t xml:space="preserve">that were deemed unrelated to the </w:t>
            </w:r>
            <w:r w:rsidRPr="00C44060">
              <w:rPr>
                <w:rFonts w:ascii="Calibri" w:hAnsi="Calibri" w:cs="Calibri"/>
                <w:color w:val="000000"/>
                <w:szCs w:val="20"/>
              </w:rPr>
              <w:t>study</w:t>
            </w:r>
            <w:r>
              <w:rPr>
                <w:rFonts w:ascii="Calibri" w:hAnsi="Calibri" w:cs="Calibri"/>
                <w:color w:val="000000"/>
                <w:szCs w:val="20"/>
              </w:rPr>
              <w:t xml:space="preserve"> medication</w:t>
            </w:r>
            <w:r w:rsidRPr="00C44060">
              <w:rPr>
                <w:rFonts w:ascii="Calibri" w:hAnsi="Calibri" w:cs="Calibri"/>
                <w:color w:val="000000"/>
                <w:szCs w:val="20"/>
              </w:rPr>
              <w:t xml:space="preserve"> (e.g., mild cold, tension headache</w:t>
            </w:r>
            <w:r>
              <w:rPr>
                <w:rFonts w:ascii="Calibri" w:hAnsi="Calibri" w:cs="Calibri"/>
                <w:color w:val="000000"/>
                <w:szCs w:val="20"/>
              </w:rPr>
              <w:t>, o</w:t>
            </w:r>
            <w:r w:rsidRPr="00C44060">
              <w:rPr>
                <w:rFonts w:ascii="Calibri" w:hAnsi="Calibri" w:cs="Calibri"/>
                <w:color w:val="000000"/>
                <w:szCs w:val="20"/>
              </w:rPr>
              <w:t>r hot flashes).</w:t>
            </w:r>
          </w:p>
        </w:tc>
      </w:tr>
    </w:tbl>
    <w:p w14:paraId="0381E2AD" w14:textId="77777777" w:rsidR="00B80B9A" w:rsidRDefault="00B80B9A" w:rsidP="00B80B9A"/>
    <w:p w14:paraId="28E1C9C3" w14:textId="77777777" w:rsidR="00B80B9A" w:rsidRDefault="00B80B9A" w:rsidP="00B80B9A">
      <w:pPr>
        <w:keepNext/>
        <w:keepLines/>
        <w:numPr>
          <w:ilvl w:val="0"/>
          <w:numId w:val="70"/>
        </w:numPr>
        <w:spacing w:before="40" w:after="40"/>
        <w:outlineLvl w:val="1"/>
        <w:rPr>
          <w:rFonts w:ascii="Calibri Light" w:eastAsia="Times New Roman" w:hAnsi="Calibri Light" w:cs="Times New Roman"/>
          <w:color w:val="2E74B5"/>
          <w:sz w:val="26"/>
          <w:szCs w:val="26"/>
        </w:rPr>
      </w:pPr>
      <w:bookmarkStart w:id="326" w:name="_Toc165018248"/>
      <w:r>
        <w:rPr>
          <w:rFonts w:ascii="Calibri Light" w:eastAsia="Times New Roman" w:hAnsi="Calibri Light" w:cs="Times New Roman"/>
          <w:color w:val="2E74B5"/>
          <w:sz w:val="26"/>
          <w:szCs w:val="26"/>
        </w:rPr>
        <w:t>Synthetic Cannabinoid (THC) for Cannabis U</w:t>
      </w:r>
      <w:r w:rsidRPr="006412AC">
        <w:rPr>
          <w:rFonts w:ascii="Calibri Light" w:eastAsia="Times New Roman" w:hAnsi="Calibri Light" w:cs="Times New Roman"/>
          <w:color w:val="2E74B5"/>
          <w:sz w:val="26"/>
          <w:szCs w:val="26"/>
        </w:rPr>
        <w:t>se Disord</w:t>
      </w:r>
      <w:r>
        <w:rPr>
          <w:rFonts w:ascii="Calibri Light" w:eastAsia="Times New Roman" w:hAnsi="Calibri Light" w:cs="Times New Roman"/>
          <w:color w:val="2E74B5"/>
          <w:sz w:val="26"/>
          <w:szCs w:val="26"/>
        </w:rPr>
        <w:t>er (CUD): Combined intervention</w:t>
      </w:r>
      <w:bookmarkEnd w:id="326"/>
    </w:p>
    <w:tbl>
      <w:tblPr>
        <w:tblStyle w:val="GridTable5Dark-Accent5"/>
        <w:tblW w:w="5000" w:type="pct"/>
        <w:tblLook w:val="04A0" w:firstRow="1" w:lastRow="0" w:firstColumn="1" w:lastColumn="0" w:noHBand="0" w:noVBand="1"/>
      </w:tblPr>
      <w:tblGrid>
        <w:gridCol w:w="2012"/>
        <w:gridCol w:w="7004"/>
      </w:tblGrid>
      <w:tr w:rsidR="00B80B9A" w:rsidRPr="002F020F" w14:paraId="19F84112" w14:textId="77777777" w:rsidTr="004F2F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7905F92E" w14:textId="77777777" w:rsidR="00B80B9A" w:rsidRPr="002F020F" w:rsidRDefault="00B80B9A" w:rsidP="004361E5">
            <w:pPr>
              <w:contextualSpacing/>
            </w:pPr>
            <w:r w:rsidRPr="002F020F">
              <w:t>Citation</w:t>
            </w:r>
          </w:p>
        </w:tc>
        <w:tc>
          <w:tcPr>
            <w:tcW w:w="3884" w:type="pct"/>
          </w:tcPr>
          <w:p w14:paraId="75355484" w14:textId="77777777" w:rsidR="00B80B9A" w:rsidRPr="00190047" w:rsidRDefault="00B80B9A" w:rsidP="004361E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rPr>
            </w:pPr>
            <w:r w:rsidRPr="00190047">
              <w:rPr>
                <w:rFonts w:cstheme="minorHAnsi"/>
                <w:szCs w:val="20"/>
              </w:rPr>
              <w:t>Hill et al. (2017)</w:t>
            </w:r>
          </w:p>
        </w:tc>
      </w:tr>
      <w:tr w:rsidR="00B80B9A" w:rsidRPr="002F020F" w14:paraId="7EA60442"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3E4FF6B" w14:textId="77777777" w:rsidR="00B80B9A" w:rsidRPr="002F020F" w:rsidRDefault="00B80B9A" w:rsidP="004361E5">
            <w:pPr>
              <w:contextualSpacing/>
            </w:pPr>
            <w:r w:rsidRPr="002F020F">
              <w:t>Study Design</w:t>
            </w:r>
          </w:p>
        </w:tc>
        <w:tc>
          <w:tcPr>
            <w:tcW w:w="3884" w:type="pct"/>
          </w:tcPr>
          <w:p w14:paraId="63278855" w14:textId="77777777" w:rsidR="00B80B9A" w:rsidRPr="002F020F" w:rsidRDefault="00B80B9A" w:rsidP="00B80B9A">
            <w:pPr>
              <w:pStyle w:val="ListParagraph"/>
              <w:numPr>
                <w:ilvl w:val="0"/>
                <w:numId w:val="9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192E5D">
              <w:rPr>
                <w:rFonts w:cstheme="minorHAnsi"/>
                <w:szCs w:val="20"/>
              </w:rPr>
              <w:t xml:space="preserve">Double-blind, randomised, </w:t>
            </w:r>
            <w:r>
              <w:rPr>
                <w:rFonts w:cstheme="minorHAnsi"/>
                <w:szCs w:val="20"/>
              </w:rPr>
              <w:t>placebo-</w:t>
            </w:r>
            <w:r w:rsidRPr="00192E5D">
              <w:rPr>
                <w:rFonts w:cstheme="minorHAnsi"/>
                <w:szCs w:val="20"/>
              </w:rPr>
              <w:t>controlled</w:t>
            </w:r>
            <w:r>
              <w:rPr>
                <w:rFonts w:cstheme="minorHAnsi"/>
                <w:szCs w:val="20"/>
              </w:rPr>
              <w:t>,</w:t>
            </w:r>
            <w:r w:rsidRPr="00192E5D">
              <w:rPr>
                <w:rFonts w:cstheme="minorHAnsi"/>
                <w:szCs w:val="20"/>
              </w:rPr>
              <w:t xml:space="preserve"> </w:t>
            </w:r>
            <w:r>
              <w:rPr>
                <w:rFonts w:cstheme="minorHAnsi"/>
                <w:szCs w:val="20"/>
              </w:rPr>
              <w:t>trial.</w:t>
            </w:r>
          </w:p>
        </w:tc>
      </w:tr>
      <w:tr w:rsidR="00B80B9A" w:rsidRPr="002F020F" w14:paraId="4AB73C6D"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41FE60F2" w14:textId="77777777" w:rsidR="00B80B9A" w:rsidRPr="002F020F" w:rsidRDefault="00B80B9A" w:rsidP="004361E5">
            <w:pPr>
              <w:contextualSpacing/>
            </w:pPr>
            <w:r w:rsidRPr="002F020F">
              <w:t>Sample Size</w:t>
            </w:r>
          </w:p>
        </w:tc>
        <w:tc>
          <w:tcPr>
            <w:tcW w:w="3884" w:type="pct"/>
          </w:tcPr>
          <w:p w14:paraId="56D9FF40" w14:textId="77777777" w:rsidR="00B80B9A"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Pr>
                <w:szCs w:val="20"/>
              </w:rPr>
              <w:t>18 participants (intention-to-treat analysis).</w:t>
            </w:r>
          </w:p>
          <w:p w14:paraId="04222434" w14:textId="77777777" w:rsidR="00B80B9A" w:rsidRPr="0023155A" w:rsidRDefault="00B80B9A" w:rsidP="00B80B9A">
            <w:pPr>
              <w:pStyle w:val="ListParagraph"/>
              <w:numPr>
                <w:ilvl w:val="0"/>
                <w:numId w:val="93"/>
              </w:numPr>
              <w:spacing w:after="120"/>
              <w:cnfStyle w:val="000000000000" w:firstRow="0" w:lastRow="0" w:firstColumn="0" w:lastColumn="0" w:oddVBand="0" w:evenVBand="0" w:oddHBand="0" w:evenHBand="0" w:firstRowFirstColumn="0" w:firstRowLastColumn="0" w:lastRowFirstColumn="0" w:lastRowLastColumn="0"/>
              <w:rPr>
                <w:szCs w:val="20"/>
              </w:rPr>
            </w:pPr>
            <w:r w:rsidRPr="0023155A">
              <w:rPr>
                <w:szCs w:val="20"/>
              </w:rPr>
              <w:lastRenderedPageBreak/>
              <w:t>Nabi</w:t>
            </w:r>
            <w:r>
              <w:rPr>
                <w:szCs w:val="20"/>
              </w:rPr>
              <w:t xml:space="preserve">lone </w:t>
            </w:r>
            <w:r w:rsidRPr="0023155A">
              <w:rPr>
                <w:szCs w:val="20"/>
              </w:rPr>
              <w:t xml:space="preserve">group: </w:t>
            </w:r>
            <w:r>
              <w:rPr>
                <w:szCs w:val="20"/>
              </w:rPr>
              <w:t xml:space="preserve">10 participants randomised; 4 </w:t>
            </w:r>
            <w:r w:rsidRPr="0023155A">
              <w:rPr>
                <w:szCs w:val="20"/>
              </w:rPr>
              <w:t xml:space="preserve">participants </w:t>
            </w:r>
            <w:r>
              <w:rPr>
                <w:szCs w:val="20"/>
              </w:rPr>
              <w:t>did not complete the</w:t>
            </w:r>
            <w:r w:rsidRPr="0023155A">
              <w:rPr>
                <w:szCs w:val="20"/>
              </w:rPr>
              <w:t xml:space="preserve"> </w:t>
            </w:r>
            <w:r>
              <w:rPr>
                <w:szCs w:val="20"/>
              </w:rPr>
              <w:t>10</w:t>
            </w:r>
            <w:r w:rsidRPr="0023155A">
              <w:rPr>
                <w:szCs w:val="20"/>
              </w:rPr>
              <w:t>-week trial protocol.</w:t>
            </w:r>
          </w:p>
          <w:p w14:paraId="2CD38C39" w14:textId="77777777" w:rsidR="00B80B9A" w:rsidRPr="004E747B"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sidRPr="0023155A">
              <w:rPr>
                <w:szCs w:val="20"/>
              </w:rPr>
              <w:t xml:space="preserve">Placebo group: </w:t>
            </w:r>
            <w:r>
              <w:rPr>
                <w:szCs w:val="20"/>
              </w:rPr>
              <w:t xml:space="preserve">8 </w:t>
            </w:r>
            <w:r w:rsidRPr="0023155A">
              <w:rPr>
                <w:szCs w:val="20"/>
              </w:rPr>
              <w:t xml:space="preserve">participants </w:t>
            </w:r>
            <w:r>
              <w:rPr>
                <w:szCs w:val="20"/>
              </w:rPr>
              <w:t>randomised; 2 participants did not complete the 10</w:t>
            </w:r>
            <w:r w:rsidRPr="0023155A">
              <w:rPr>
                <w:szCs w:val="20"/>
              </w:rPr>
              <w:t>-week trial protocol.</w:t>
            </w:r>
          </w:p>
        </w:tc>
      </w:tr>
      <w:tr w:rsidR="00B80B9A" w:rsidRPr="002F020F" w14:paraId="2A138510"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295F3A4" w14:textId="77777777" w:rsidR="00B80B9A" w:rsidRPr="0094024F" w:rsidRDefault="00B80B9A" w:rsidP="004361E5">
            <w:pPr>
              <w:contextualSpacing/>
              <w:rPr>
                <w:b w:val="0"/>
                <w:bCs w:val="0"/>
              </w:rPr>
            </w:pPr>
            <w:r w:rsidRPr="002F020F">
              <w:lastRenderedPageBreak/>
              <w:t>Population</w:t>
            </w:r>
          </w:p>
        </w:tc>
        <w:tc>
          <w:tcPr>
            <w:tcW w:w="3884" w:type="pct"/>
          </w:tcPr>
          <w:p w14:paraId="7DB0D6CE" w14:textId="77777777" w:rsidR="00B80B9A" w:rsidRPr="00175362"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175362">
              <w:rPr>
                <w:rFonts w:cstheme="minorHAnsi"/>
                <w:color w:val="000000"/>
                <w:szCs w:val="20"/>
              </w:rPr>
              <w:t xml:space="preserve">United States. </w:t>
            </w:r>
          </w:p>
          <w:p w14:paraId="042DA356" w14:textId="77777777" w:rsidR="00B80B9A"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175362">
              <w:rPr>
                <w:rFonts w:cstheme="minorHAnsi"/>
                <w:color w:val="000000"/>
                <w:szCs w:val="20"/>
              </w:rPr>
              <w:t>Cannabis use disorder (DSM-IV criteria)</w:t>
            </w:r>
            <w:r>
              <w:rPr>
                <w:rFonts w:cstheme="minorHAnsi"/>
                <w:color w:val="000000"/>
                <w:szCs w:val="20"/>
              </w:rPr>
              <w:t>.</w:t>
            </w:r>
          </w:p>
          <w:p w14:paraId="65DFCF84" w14:textId="77777777" w:rsidR="00B80B9A" w:rsidRPr="00175362"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T</w:t>
            </w:r>
            <w:r w:rsidRPr="00175362">
              <w:rPr>
                <w:rFonts w:cstheme="minorHAnsi"/>
                <w:color w:val="000000"/>
                <w:szCs w:val="20"/>
              </w:rPr>
              <w:t>reatment</w:t>
            </w:r>
            <w:r>
              <w:rPr>
                <w:rFonts w:cstheme="minorHAnsi"/>
                <w:color w:val="000000"/>
                <w:szCs w:val="20"/>
              </w:rPr>
              <w:t xml:space="preserve"> </w:t>
            </w:r>
            <w:r w:rsidRPr="00175362">
              <w:rPr>
                <w:rFonts w:cstheme="minorHAnsi"/>
                <w:color w:val="000000"/>
                <w:szCs w:val="20"/>
              </w:rPr>
              <w:t>seeking.</w:t>
            </w:r>
          </w:p>
          <w:p w14:paraId="5628DA69" w14:textId="77777777" w:rsidR="00B80B9A" w:rsidRPr="00175362"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175362">
              <w:rPr>
                <w:rFonts w:cstheme="minorHAnsi"/>
                <w:color w:val="000000"/>
                <w:szCs w:val="20"/>
              </w:rPr>
              <w:t xml:space="preserve">I [nabilone]: </w:t>
            </w:r>
            <w:r>
              <w:rPr>
                <w:rFonts w:cstheme="minorHAnsi"/>
                <w:color w:val="000000"/>
                <w:szCs w:val="20"/>
              </w:rPr>
              <w:t xml:space="preserve">M = </w:t>
            </w:r>
            <w:r w:rsidRPr="00175362">
              <w:rPr>
                <w:rFonts w:cstheme="minorHAnsi"/>
                <w:color w:val="000000"/>
                <w:szCs w:val="20"/>
              </w:rPr>
              <w:t>24.4 years (</w:t>
            </w:r>
            <w:r>
              <w:rPr>
                <w:rFonts w:cstheme="minorHAnsi"/>
                <w:color w:val="000000"/>
                <w:szCs w:val="20"/>
              </w:rPr>
              <w:t xml:space="preserve">SD = </w:t>
            </w:r>
            <w:r w:rsidRPr="00175362">
              <w:rPr>
                <w:rFonts w:cstheme="minorHAnsi"/>
                <w:color w:val="000000"/>
                <w:szCs w:val="20"/>
              </w:rPr>
              <w:t>5.2); 70% male</w:t>
            </w:r>
            <w:r>
              <w:rPr>
                <w:rFonts w:cstheme="minorHAnsi"/>
                <w:color w:val="000000"/>
                <w:szCs w:val="20"/>
              </w:rPr>
              <w:t>.</w:t>
            </w:r>
          </w:p>
          <w:p w14:paraId="784FD7B7" w14:textId="77777777" w:rsidR="00B80B9A" w:rsidRPr="002F020F"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pPr>
            <w:r w:rsidRPr="00D8790D">
              <w:rPr>
                <w:rFonts w:cstheme="minorHAnsi"/>
                <w:color w:val="000000"/>
                <w:szCs w:val="20"/>
              </w:rPr>
              <w:t xml:space="preserve">C [placebo]: </w:t>
            </w:r>
            <w:r>
              <w:rPr>
                <w:rFonts w:cstheme="minorHAnsi"/>
                <w:color w:val="000000"/>
                <w:szCs w:val="20"/>
              </w:rPr>
              <w:t xml:space="preserve">M = </w:t>
            </w:r>
            <w:r w:rsidRPr="00D8790D">
              <w:rPr>
                <w:rFonts w:cstheme="minorHAnsi"/>
                <w:color w:val="000000"/>
                <w:szCs w:val="20"/>
              </w:rPr>
              <w:t>28.9 years (</w:t>
            </w:r>
            <w:r>
              <w:rPr>
                <w:rFonts w:cstheme="minorHAnsi"/>
                <w:color w:val="000000"/>
                <w:szCs w:val="20"/>
              </w:rPr>
              <w:t xml:space="preserve">SD = </w:t>
            </w:r>
            <w:r w:rsidRPr="00D8790D">
              <w:rPr>
                <w:rFonts w:cstheme="minorHAnsi"/>
                <w:color w:val="000000"/>
                <w:szCs w:val="20"/>
              </w:rPr>
              <w:t>7.5): 63% male</w:t>
            </w:r>
            <w:r>
              <w:rPr>
                <w:rFonts w:cstheme="minorHAnsi"/>
                <w:color w:val="000000"/>
                <w:szCs w:val="20"/>
              </w:rPr>
              <w:t>.</w:t>
            </w:r>
          </w:p>
        </w:tc>
      </w:tr>
      <w:tr w:rsidR="00B80B9A" w:rsidRPr="002F020F" w14:paraId="71EC92C5"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49E47AC6" w14:textId="77777777" w:rsidR="00B80B9A" w:rsidRPr="00BA74AA" w:rsidRDefault="00B80B9A" w:rsidP="004361E5">
            <w:pPr>
              <w:contextualSpacing/>
              <w:rPr>
                <w:b w:val="0"/>
                <w:bCs w:val="0"/>
              </w:rPr>
            </w:pPr>
            <w:r w:rsidRPr="00BA74AA">
              <w:t xml:space="preserve">Intervention/s (I) and </w:t>
            </w:r>
          </w:p>
          <w:p w14:paraId="5D46CE1A" w14:textId="77777777" w:rsidR="00B80B9A" w:rsidRPr="00BA74AA" w:rsidRDefault="00B80B9A" w:rsidP="004361E5">
            <w:pPr>
              <w:contextualSpacing/>
            </w:pPr>
            <w:r w:rsidRPr="00BA74AA">
              <w:t xml:space="preserve">Comparator/s I </w:t>
            </w:r>
          </w:p>
        </w:tc>
        <w:tc>
          <w:tcPr>
            <w:tcW w:w="3884" w:type="pct"/>
          </w:tcPr>
          <w:p w14:paraId="005DA2ED" w14:textId="77777777" w:rsidR="00B80B9A" w:rsidRPr="00BA74AA" w:rsidRDefault="00B80B9A" w:rsidP="00B80B9A">
            <w:pPr>
              <w:pStyle w:val="ListParagraph"/>
              <w:numPr>
                <w:ilvl w:val="0"/>
                <w:numId w:val="111"/>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BA74AA">
              <w:rPr>
                <w:rFonts w:cstheme="minorHAnsi"/>
                <w:color w:val="000000"/>
                <w:szCs w:val="20"/>
              </w:rPr>
              <w:t>All participants received 10 sessions (one session per week) of physician-guided Medical Management (MM; 45-minute initial session; 15- to 25-minute follow-up sessions).</w:t>
            </w:r>
          </w:p>
          <w:p w14:paraId="23400BA8" w14:textId="77777777" w:rsidR="00B80B9A" w:rsidRPr="00BA74AA" w:rsidRDefault="00B80B9A" w:rsidP="00B80B9A">
            <w:pPr>
              <w:pStyle w:val="ListParagraph"/>
              <w:numPr>
                <w:ilvl w:val="0"/>
                <w:numId w:val="111"/>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BA74AA">
              <w:rPr>
                <w:rFonts w:cstheme="minorHAnsi"/>
                <w:color w:val="000000"/>
                <w:szCs w:val="20"/>
              </w:rPr>
              <w:t xml:space="preserve">All participants received oral capsules (one per day) containing </w:t>
            </w:r>
            <w:r>
              <w:rPr>
                <w:rFonts w:cstheme="minorHAnsi"/>
                <w:color w:val="000000"/>
                <w:szCs w:val="20"/>
              </w:rPr>
              <w:t>r</w:t>
            </w:r>
            <w:r w:rsidRPr="00BA74AA">
              <w:rPr>
                <w:rFonts w:cstheme="minorHAnsi"/>
                <w:color w:val="000000"/>
                <w:szCs w:val="20"/>
              </w:rPr>
              <w:t>iboflavin (25 mg) to confirm medication adherence.</w:t>
            </w:r>
          </w:p>
          <w:p w14:paraId="6B0BF04A" w14:textId="77777777" w:rsidR="00B80B9A" w:rsidRPr="00BA74AA" w:rsidRDefault="00B80B9A" w:rsidP="00B80B9A">
            <w:pPr>
              <w:pStyle w:val="ListParagraph"/>
              <w:numPr>
                <w:ilvl w:val="0"/>
                <w:numId w:val="30"/>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BA74AA">
              <w:rPr>
                <w:rFonts w:cstheme="minorHAnsi"/>
                <w:color w:val="000000"/>
                <w:szCs w:val="20"/>
              </w:rPr>
              <w:t xml:space="preserve">I (n = 10): 2 mg nabilone (synthetic THC). </w:t>
            </w:r>
          </w:p>
          <w:p w14:paraId="440E4151" w14:textId="77777777" w:rsidR="00B80B9A" w:rsidRPr="00BA74AA" w:rsidRDefault="00B80B9A" w:rsidP="00B80B9A">
            <w:pPr>
              <w:pStyle w:val="ListParagraph"/>
              <w:numPr>
                <w:ilvl w:val="0"/>
                <w:numId w:val="30"/>
              </w:numPr>
              <w:spacing w:after="120"/>
              <w:ind w:left="357" w:hanging="357"/>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BA74AA">
              <w:rPr>
                <w:rFonts w:cstheme="minorHAnsi"/>
                <w:color w:val="000000"/>
                <w:szCs w:val="20"/>
              </w:rPr>
              <w:t>C (n = 8): placebo (agent not specified).</w:t>
            </w:r>
          </w:p>
        </w:tc>
      </w:tr>
      <w:tr w:rsidR="00B80B9A" w:rsidRPr="002F020F" w14:paraId="5D0E598D"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BC7814F" w14:textId="77777777" w:rsidR="00B80B9A" w:rsidRPr="002F020F" w:rsidRDefault="00B80B9A" w:rsidP="004361E5">
            <w:pPr>
              <w:contextualSpacing/>
            </w:pPr>
            <w:r w:rsidRPr="002F020F">
              <w:t>Outcome Measure/s</w:t>
            </w:r>
          </w:p>
        </w:tc>
        <w:tc>
          <w:tcPr>
            <w:tcW w:w="3884" w:type="pct"/>
          </w:tcPr>
          <w:p w14:paraId="4FB88359" w14:textId="77777777" w:rsidR="00B80B9A" w:rsidRPr="00794E60" w:rsidRDefault="00B80B9A" w:rsidP="004361E5">
            <w:pPr>
              <w:spacing w:after="0"/>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794E60">
              <w:rPr>
                <w:rFonts w:cstheme="minorHAnsi"/>
                <w:bCs/>
                <w:color w:val="000000"/>
                <w:szCs w:val="20"/>
              </w:rPr>
              <w:t>Primary:</w:t>
            </w:r>
            <w:r>
              <w:rPr>
                <w:rFonts w:cstheme="minorHAnsi"/>
                <w:bCs/>
                <w:color w:val="000000"/>
                <w:szCs w:val="20"/>
              </w:rPr>
              <w:t xml:space="preserve"> Cannabis use (baseline to end of treatment):</w:t>
            </w:r>
          </w:p>
          <w:p w14:paraId="7493CA64" w14:textId="77777777" w:rsidR="00B80B9A" w:rsidRPr="00794E60" w:rsidRDefault="00B80B9A" w:rsidP="00B80B9A">
            <w:pPr>
              <w:pStyle w:val="ListParagraph"/>
              <w:numPr>
                <w:ilvl w:val="0"/>
                <w:numId w:val="89"/>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U</w:t>
            </w:r>
            <w:r w:rsidRPr="00794E60">
              <w:rPr>
                <w:rFonts w:cstheme="minorHAnsi"/>
                <w:color w:val="000000"/>
                <w:szCs w:val="20"/>
              </w:rPr>
              <w:t>rinalysis (THC-COOH:</w:t>
            </w:r>
            <w:r>
              <w:rPr>
                <w:rFonts w:cstheme="minorHAnsi"/>
                <w:color w:val="000000"/>
                <w:szCs w:val="20"/>
              </w:rPr>
              <w:t>c</w:t>
            </w:r>
            <w:r w:rsidRPr="00794E60">
              <w:rPr>
                <w:rFonts w:cstheme="minorHAnsi"/>
                <w:color w:val="000000"/>
                <w:szCs w:val="20"/>
              </w:rPr>
              <w:t>reatinin</w:t>
            </w:r>
            <w:r>
              <w:rPr>
                <w:rFonts w:cstheme="minorHAnsi"/>
                <w:color w:val="000000"/>
                <w:szCs w:val="20"/>
              </w:rPr>
              <w:t>e</w:t>
            </w:r>
            <w:r w:rsidRPr="00794E60">
              <w:rPr>
                <w:rFonts w:cstheme="minorHAnsi"/>
                <w:color w:val="000000"/>
                <w:szCs w:val="20"/>
              </w:rPr>
              <w:t>)</w:t>
            </w:r>
            <w:r>
              <w:rPr>
                <w:rFonts w:cstheme="minorHAnsi"/>
                <w:color w:val="000000"/>
                <w:szCs w:val="20"/>
              </w:rPr>
              <w:t>.</w:t>
            </w:r>
          </w:p>
          <w:p w14:paraId="64C84F18" w14:textId="77777777" w:rsidR="00B80B9A" w:rsidRPr="00794E60" w:rsidRDefault="00B80B9A" w:rsidP="00B80B9A">
            <w:pPr>
              <w:pStyle w:val="ListParagraph"/>
              <w:numPr>
                <w:ilvl w:val="0"/>
                <w:numId w:val="89"/>
              </w:numPr>
              <w:ind w:left="357"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Timeline Followback (TLFB) method (self-report): d</w:t>
            </w:r>
            <w:r w:rsidRPr="00794E60">
              <w:rPr>
                <w:rFonts w:cstheme="minorHAnsi"/>
                <w:color w:val="000000"/>
                <w:szCs w:val="20"/>
              </w:rPr>
              <w:t>ays of use, use sessions per day</w:t>
            </w:r>
            <w:r>
              <w:rPr>
                <w:rFonts w:cstheme="minorHAnsi"/>
                <w:color w:val="000000"/>
                <w:szCs w:val="20"/>
              </w:rPr>
              <w:t>,</w:t>
            </w:r>
            <w:r w:rsidRPr="00794E60">
              <w:rPr>
                <w:rFonts w:cstheme="minorHAnsi"/>
                <w:color w:val="000000"/>
                <w:szCs w:val="20"/>
              </w:rPr>
              <w:t xml:space="preserve"> and </w:t>
            </w:r>
            <w:r>
              <w:rPr>
                <w:rFonts w:cstheme="minorHAnsi"/>
                <w:color w:val="000000"/>
                <w:szCs w:val="20"/>
              </w:rPr>
              <w:t>inhalations</w:t>
            </w:r>
            <w:r w:rsidRPr="00794E60">
              <w:rPr>
                <w:rFonts w:cstheme="minorHAnsi"/>
                <w:color w:val="000000"/>
                <w:szCs w:val="20"/>
              </w:rPr>
              <w:t xml:space="preserve"> per day.</w:t>
            </w:r>
          </w:p>
          <w:p w14:paraId="738F33CB" w14:textId="77777777" w:rsidR="00B80B9A" w:rsidRPr="00794E60" w:rsidRDefault="00B80B9A" w:rsidP="004361E5">
            <w:pPr>
              <w:spacing w:after="0"/>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794E60">
              <w:rPr>
                <w:rFonts w:cstheme="minorHAnsi"/>
                <w:bCs/>
                <w:color w:val="000000"/>
                <w:szCs w:val="20"/>
              </w:rPr>
              <w:t>Secondary:</w:t>
            </w:r>
          </w:p>
          <w:p w14:paraId="57C2D80C" w14:textId="77777777" w:rsidR="00B80B9A" w:rsidRPr="00794E60" w:rsidRDefault="00B80B9A" w:rsidP="00B80B9A">
            <w:pPr>
              <w:pStyle w:val="ListParagraph"/>
              <w:numPr>
                <w:ilvl w:val="0"/>
                <w:numId w:val="89"/>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794E60">
              <w:rPr>
                <w:rFonts w:cstheme="minorHAnsi"/>
                <w:color w:val="000000"/>
                <w:szCs w:val="20"/>
              </w:rPr>
              <w:t>Marijuana Craving Questionnaire (MCQ)</w:t>
            </w:r>
            <w:r>
              <w:rPr>
                <w:rFonts w:cstheme="minorHAnsi"/>
                <w:color w:val="000000"/>
                <w:szCs w:val="20"/>
              </w:rPr>
              <w:t>.</w:t>
            </w:r>
          </w:p>
          <w:p w14:paraId="68E73460" w14:textId="77777777" w:rsidR="00B80B9A" w:rsidRPr="00794E60" w:rsidRDefault="00B80B9A" w:rsidP="00B80B9A">
            <w:pPr>
              <w:pStyle w:val="ListParagraph"/>
              <w:numPr>
                <w:ilvl w:val="0"/>
                <w:numId w:val="89"/>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794E60">
              <w:rPr>
                <w:rFonts w:cstheme="minorHAnsi"/>
                <w:color w:val="000000"/>
                <w:szCs w:val="20"/>
              </w:rPr>
              <w:t>Beck Anxiety Inventory (BAI)</w:t>
            </w:r>
            <w:r>
              <w:rPr>
                <w:rFonts w:cstheme="minorHAnsi"/>
                <w:color w:val="000000"/>
                <w:szCs w:val="20"/>
              </w:rPr>
              <w:t>.</w:t>
            </w:r>
          </w:p>
          <w:p w14:paraId="08D135EC" w14:textId="77777777" w:rsidR="00B80B9A" w:rsidRPr="002F020F" w:rsidRDefault="00B80B9A" w:rsidP="00B80B9A">
            <w:pPr>
              <w:pStyle w:val="ListParagraph"/>
              <w:numPr>
                <w:ilvl w:val="0"/>
                <w:numId w:val="89"/>
              </w:numPr>
              <w:spacing w:after="120"/>
              <w:cnfStyle w:val="000000100000" w:firstRow="0" w:lastRow="0" w:firstColumn="0" w:lastColumn="0" w:oddVBand="0" w:evenVBand="0" w:oddHBand="1" w:evenHBand="0" w:firstRowFirstColumn="0" w:firstRowLastColumn="0" w:lastRowFirstColumn="0" w:lastRowLastColumn="0"/>
            </w:pPr>
            <w:r w:rsidRPr="00794E60">
              <w:rPr>
                <w:rFonts w:cstheme="minorHAnsi"/>
                <w:color w:val="000000"/>
                <w:szCs w:val="20"/>
              </w:rPr>
              <w:t>Quick Inventory for Depressive Symptoms (QIDS)</w:t>
            </w:r>
            <w:r>
              <w:rPr>
                <w:rFonts w:cstheme="minorHAnsi"/>
                <w:color w:val="000000"/>
                <w:szCs w:val="20"/>
              </w:rPr>
              <w:t>.</w:t>
            </w:r>
          </w:p>
        </w:tc>
      </w:tr>
      <w:tr w:rsidR="00B80B9A" w:rsidRPr="002F020F" w14:paraId="41047EA8"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0A8E669E" w14:textId="77777777" w:rsidR="00B80B9A" w:rsidRPr="002F020F" w:rsidRDefault="00B80B9A" w:rsidP="004361E5">
            <w:pPr>
              <w:contextualSpacing/>
            </w:pPr>
            <w:r w:rsidRPr="002F020F">
              <w:t>General</w:t>
            </w:r>
          </w:p>
        </w:tc>
        <w:tc>
          <w:tcPr>
            <w:tcW w:w="3884" w:type="pct"/>
          </w:tcPr>
          <w:p w14:paraId="1403808F" w14:textId="77777777" w:rsidR="00B80B9A" w:rsidRPr="00585F37"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D56B86">
              <w:rPr>
                <w:rFonts w:ascii="Calibri" w:hAnsi="Calibri" w:cs="Calibri"/>
                <w:color w:val="000000"/>
                <w:szCs w:val="20"/>
              </w:rPr>
              <w:t xml:space="preserve">Medical </w:t>
            </w:r>
            <w:r>
              <w:rPr>
                <w:rFonts w:ascii="Calibri" w:hAnsi="Calibri" w:cs="Calibri"/>
                <w:color w:val="000000"/>
                <w:szCs w:val="20"/>
              </w:rPr>
              <w:t>m</w:t>
            </w:r>
            <w:r w:rsidRPr="00D56B86">
              <w:rPr>
                <w:rFonts w:ascii="Calibri" w:hAnsi="Calibri" w:cs="Calibri"/>
                <w:color w:val="000000"/>
                <w:szCs w:val="20"/>
              </w:rPr>
              <w:t xml:space="preserve">anagement (MM) </w:t>
            </w:r>
            <w:r w:rsidRPr="00C81FA6">
              <w:rPr>
                <w:rFonts w:ascii="Calibri" w:hAnsi="Calibri" w:cs="Calibri"/>
                <w:color w:val="000000"/>
                <w:szCs w:val="20"/>
              </w:rPr>
              <w:t xml:space="preserve">sessions aimed to approximate a primary care approach and included monitoring of medication side effects, </w:t>
            </w:r>
            <w:r w:rsidRPr="00277D92">
              <w:rPr>
                <w:rFonts w:ascii="Calibri" w:hAnsi="Calibri" w:cs="Calibri"/>
                <w:color w:val="000000"/>
                <w:szCs w:val="20"/>
              </w:rPr>
              <w:t>providing strategies to increase medication adherence, and supporting abstinence</w:t>
            </w:r>
            <w:r>
              <w:rPr>
                <w:rFonts w:ascii="Calibri" w:hAnsi="Calibri" w:cs="Calibri"/>
                <w:color w:val="000000"/>
                <w:szCs w:val="20"/>
              </w:rPr>
              <w:t xml:space="preserve">. The </w:t>
            </w:r>
            <w:r w:rsidRPr="00322EE8">
              <w:rPr>
                <w:rFonts w:ascii="Calibri" w:hAnsi="Calibri" w:cs="Calibri"/>
                <w:color w:val="000000"/>
                <w:szCs w:val="20"/>
              </w:rPr>
              <w:t>treatment was delivered</w:t>
            </w:r>
            <w:r>
              <w:rPr>
                <w:rFonts w:ascii="Calibri" w:hAnsi="Calibri" w:cs="Calibri"/>
                <w:color w:val="000000"/>
                <w:szCs w:val="20"/>
              </w:rPr>
              <w:t xml:space="preserve"> </w:t>
            </w:r>
            <w:r w:rsidRPr="00322EE8">
              <w:rPr>
                <w:rFonts w:ascii="Calibri" w:hAnsi="Calibri" w:cs="Calibri"/>
                <w:color w:val="000000"/>
                <w:szCs w:val="20"/>
              </w:rPr>
              <w:t>by a medical professional</w:t>
            </w:r>
            <w:r>
              <w:rPr>
                <w:rFonts w:ascii="Calibri" w:hAnsi="Calibri" w:cs="Calibri"/>
                <w:color w:val="000000"/>
                <w:szCs w:val="20"/>
              </w:rPr>
              <w:t>.</w:t>
            </w:r>
          </w:p>
          <w:p w14:paraId="6567BA86" w14:textId="77777777" w:rsidR="00B80B9A"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sidRPr="00585F37">
              <w:rPr>
                <w:rFonts w:ascii="Calibri" w:hAnsi="Calibri" w:cs="Calibri"/>
                <w:bCs/>
                <w:color w:val="000000"/>
                <w:szCs w:val="20"/>
              </w:rPr>
              <w:t xml:space="preserve">The </w:t>
            </w:r>
            <w:r>
              <w:rPr>
                <w:rFonts w:ascii="Calibri" w:hAnsi="Calibri" w:cs="Calibri"/>
                <w:bCs/>
                <w:color w:val="000000"/>
                <w:szCs w:val="20"/>
              </w:rPr>
              <w:t>nabilone (synthetic THC)</w:t>
            </w:r>
            <w:r w:rsidRPr="00585F37">
              <w:rPr>
                <w:rFonts w:ascii="Calibri" w:hAnsi="Calibri" w:cs="Calibri"/>
                <w:bCs/>
                <w:color w:val="000000"/>
                <w:szCs w:val="20"/>
              </w:rPr>
              <w:t xml:space="preserve"> dose was titrated up to 2 mg</w:t>
            </w:r>
            <w:r>
              <w:rPr>
                <w:rFonts w:ascii="Calibri" w:hAnsi="Calibri" w:cs="Calibri"/>
                <w:bCs/>
                <w:color w:val="000000"/>
                <w:szCs w:val="20"/>
              </w:rPr>
              <w:t xml:space="preserve"> per </w:t>
            </w:r>
            <w:r w:rsidRPr="00585F37">
              <w:rPr>
                <w:rFonts w:ascii="Calibri" w:hAnsi="Calibri" w:cs="Calibri"/>
                <w:bCs/>
                <w:color w:val="000000"/>
                <w:szCs w:val="20"/>
              </w:rPr>
              <w:t>day (</w:t>
            </w:r>
            <w:r>
              <w:rPr>
                <w:rFonts w:ascii="Calibri" w:hAnsi="Calibri" w:cs="Calibri"/>
                <w:bCs/>
                <w:color w:val="000000"/>
                <w:szCs w:val="20"/>
              </w:rPr>
              <w:t xml:space="preserve">initially </w:t>
            </w:r>
            <w:r w:rsidRPr="00585F37">
              <w:rPr>
                <w:rFonts w:ascii="Calibri" w:hAnsi="Calibri" w:cs="Calibri"/>
                <w:bCs/>
                <w:color w:val="000000"/>
                <w:szCs w:val="20"/>
              </w:rPr>
              <w:t>0.5 mg daily for 7 days; increased to 1 mg daily for 7 days; increased to 1.5 mg daily for 7 days; increased to 2 mg daily for 4 weeks</w:t>
            </w:r>
            <w:r>
              <w:rPr>
                <w:rFonts w:ascii="Calibri" w:hAnsi="Calibri" w:cs="Calibri"/>
                <w:bCs/>
                <w:color w:val="000000"/>
                <w:szCs w:val="20"/>
              </w:rPr>
              <w:t>)</w:t>
            </w:r>
            <w:r w:rsidRPr="00585F37">
              <w:rPr>
                <w:rFonts w:ascii="Calibri" w:hAnsi="Calibri" w:cs="Calibri"/>
                <w:bCs/>
                <w:color w:val="000000"/>
                <w:szCs w:val="20"/>
              </w:rPr>
              <w:t xml:space="preserve"> before tapering the </w:t>
            </w:r>
            <w:r>
              <w:rPr>
                <w:rFonts w:ascii="Calibri" w:hAnsi="Calibri" w:cs="Calibri"/>
                <w:bCs/>
                <w:color w:val="000000"/>
                <w:szCs w:val="20"/>
              </w:rPr>
              <w:t xml:space="preserve">medication </w:t>
            </w:r>
            <w:r w:rsidRPr="00585F37">
              <w:rPr>
                <w:rFonts w:ascii="Calibri" w:hAnsi="Calibri" w:cs="Calibri"/>
                <w:bCs/>
                <w:color w:val="000000"/>
                <w:szCs w:val="20"/>
              </w:rPr>
              <w:t xml:space="preserve">over the final 3 weeks of the study </w:t>
            </w:r>
            <w:r>
              <w:rPr>
                <w:rFonts w:ascii="Calibri" w:hAnsi="Calibri" w:cs="Calibri"/>
                <w:bCs/>
                <w:color w:val="000000"/>
                <w:szCs w:val="20"/>
              </w:rPr>
              <w:t>(</w:t>
            </w:r>
            <w:r w:rsidRPr="00585F37">
              <w:rPr>
                <w:rFonts w:ascii="Calibri" w:hAnsi="Calibri" w:cs="Calibri"/>
                <w:bCs/>
                <w:color w:val="000000"/>
                <w:szCs w:val="20"/>
              </w:rPr>
              <w:t>by reversing the titration schedule</w:t>
            </w:r>
            <w:r>
              <w:rPr>
                <w:rFonts w:ascii="Calibri" w:hAnsi="Calibri" w:cs="Calibri"/>
                <w:bCs/>
                <w:color w:val="000000"/>
                <w:szCs w:val="20"/>
              </w:rPr>
              <w:t>)</w:t>
            </w:r>
            <w:r w:rsidRPr="00585F37">
              <w:rPr>
                <w:rFonts w:ascii="Calibri" w:hAnsi="Calibri" w:cs="Calibri"/>
                <w:bCs/>
                <w:color w:val="000000"/>
                <w:szCs w:val="20"/>
              </w:rPr>
              <w:t>.</w:t>
            </w:r>
          </w:p>
          <w:p w14:paraId="576B98F2" w14:textId="0655C4F8" w:rsidR="00B80B9A" w:rsidRPr="00585F37"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sidRPr="00A20D1E">
              <w:rPr>
                <w:rFonts w:ascii="Calibri" w:hAnsi="Calibri" w:cs="Calibri"/>
                <w:bCs/>
                <w:color w:val="000000"/>
                <w:szCs w:val="20"/>
              </w:rPr>
              <w:t xml:space="preserve">Participants were compensated up to </w:t>
            </w:r>
            <w:r w:rsidR="00A156EC">
              <w:rPr>
                <w:rFonts w:ascii="Calibri" w:hAnsi="Calibri" w:cs="Calibri"/>
                <w:bCs/>
                <w:color w:val="000000"/>
                <w:szCs w:val="20"/>
              </w:rPr>
              <w:t xml:space="preserve">US </w:t>
            </w:r>
            <w:r w:rsidRPr="00A20D1E">
              <w:rPr>
                <w:rFonts w:ascii="Calibri" w:hAnsi="Calibri" w:cs="Calibri"/>
                <w:bCs/>
                <w:color w:val="000000"/>
                <w:szCs w:val="20"/>
              </w:rPr>
              <w:t>$955 for study participation.</w:t>
            </w:r>
          </w:p>
          <w:p w14:paraId="55D755D4" w14:textId="55D10B67" w:rsidR="00B80B9A" w:rsidRPr="001219BC" w:rsidRDefault="00B80B9A" w:rsidP="00F62917">
            <w:pPr>
              <w:numPr>
                <w:ilvl w:val="0"/>
                <w:numId w:val="88"/>
              </w:numPr>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Pr>
                <w:rFonts w:ascii="Calibri" w:hAnsi="Calibri" w:cs="Calibri"/>
                <w:color w:val="000000"/>
                <w:szCs w:val="20"/>
              </w:rPr>
              <w:t>P</w:t>
            </w:r>
            <w:r w:rsidRPr="00192E5D">
              <w:rPr>
                <w:rFonts w:ascii="Calibri" w:hAnsi="Calibri" w:cs="Calibri"/>
                <w:color w:val="000000"/>
                <w:szCs w:val="20"/>
              </w:rPr>
              <w:t xml:space="preserve">eriod study was conducted: </w:t>
            </w:r>
            <w:r>
              <w:rPr>
                <w:rFonts w:ascii="Calibri" w:hAnsi="Calibri" w:cs="Calibri"/>
                <w:color w:val="000000"/>
                <w:szCs w:val="20"/>
              </w:rPr>
              <w:t>September</w:t>
            </w:r>
            <w:r w:rsidRPr="00192E5D">
              <w:rPr>
                <w:rFonts w:ascii="Calibri" w:hAnsi="Calibri" w:cs="Calibri"/>
                <w:color w:val="000000"/>
                <w:szCs w:val="20"/>
              </w:rPr>
              <w:t xml:space="preserve"> 201</w:t>
            </w:r>
            <w:r>
              <w:rPr>
                <w:rFonts w:ascii="Calibri" w:hAnsi="Calibri" w:cs="Calibri"/>
                <w:color w:val="000000"/>
                <w:szCs w:val="20"/>
              </w:rPr>
              <w:t>0 to</w:t>
            </w:r>
            <w:r w:rsidRPr="00192E5D">
              <w:rPr>
                <w:rFonts w:ascii="Calibri" w:hAnsi="Calibri" w:cs="Calibri"/>
                <w:color w:val="000000"/>
                <w:szCs w:val="20"/>
              </w:rPr>
              <w:t xml:space="preserve"> June 2017.</w:t>
            </w:r>
          </w:p>
        </w:tc>
      </w:tr>
      <w:tr w:rsidR="00B80B9A" w:rsidRPr="002F020F" w14:paraId="10149865"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47BC84C" w14:textId="77777777" w:rsidR="00B80B9A" w:rsidRPr="002F020F" w:rsidRDefault="00B80B9A" w:rsidP="004361E5">
            <w:pPr>
              <w:contextualSpacing/>
            </w:pPr>
            <w:r w:rsidRPr="002F020F">
              <w:t>Inclusion Criteria</w:t>
            </w:r>
          </w:p>
        </w:tc>
        <w:tc>
          <w:tcPr>
            <w:tcW w:w="3884" w:type="pct"/>
          </w:tcPr>
          <w:p w14:paraId="7BC00092" w14:textId="77777777" w:rsidR="00B80B9A" w:rsidRPr="006327D4"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6327D4">
              <w:rPr>
                <w:rFonts w:cstheme="minorHAnsi"/>
                <w:color w:val="000000"/>
                <w:szCs w:val="20"/>
              </w:rPr>
              <w:t>18</w:t>
            </w:r>
            <w:r>
              <w:rPr>
                <w:rFonts w:cstheme="minorHAnsi"/>
                <w:color w:val="000000"/>
                <w:szCs w:val="20"/>
              </w:rPr>
              <w:t xml:space="preserve"> to </w:t>
            </w:r>
            <w:r w:rsidRPr="006327D4">
              <w:rPr>
                <w:rFonts w:cstheme="minorHAnsi"/>
                <w:color w:val="000000"/>
                <w:szCs w:val="20"/>
              </w:rPr>
              <w:t>45 years</w:t>
            </w:r>
            <w:r>
              <w:rPr>
                <w:rFonts w:cstheme="minorHAnsi"/>
                <w:color w:val="000000"/>
                <w:szCs w:val="20"/>
              </w:rPr>
              <w:t xml:space="preserve"> old.</w:t>
            </w:r>
          </w:p>
          <w:p w14:paraId="0FE2CFA3" w14:textId="77777777" w:rsidR="00B80B9A" w:rsidRPr="00A15F5E"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A15F5E">
              <w:rPr>
                <w:rFonts w:cstheme="minorHAnsi"/>
                <w:color w:val="000000"/>
                <w:szCs w:val="20"/>
              </w:rPr>
              <w:t>DSM-IV diagnosis of cannabis dependence as determined by the Structured Clinical Interview for DSM-IV (SCID).</w:t>
            </w:r>
          </w:p>
          <w:p w14:paraId="0B445797" w14:textId="77777777" w:rsidR="00B80B9A" w:rsidRPr="00A15F5E"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A15F5E">
              <w:rPr>
                <w:rFonts w:cstheme="minorHAnsi"/>
                <w:color w:val="000000"/>
                <w:szCs w:val="20"/>
              </w:rPr>
              <w:t>Desire to quit cannabis use within the next 30 days.</w:t>
            </w:r>
          </w:p>
          <w:p w14:paraId="57E0F83F" w14:textId="77777777" w:rsidR="00B80B9A" w:rsidRPr="00A15F5E"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A15F5E">
              <w:rPr>
                <w:rFonts w:cstheme="minorHAnsi"/>
                <w:color w:val="000000"/>
                <w:szCs w:val="20"/>
              </w:rPr>
              <w:t>Cannabis use on more than 4 days within the past 30 days.</w:t>
            </w:r>
          </w:p>
          <w:p w14:paraId="6CA07229" w14:textId="77777777" w:rsidR="00B80B9A" w:rsidRPr="00A15F5E"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A15F5E">
              <w:rPr>
                <w:rFonts w:cstheme="minorHAnsi"/>
                <w:color w:val="000000"/>
                <w:szCs w:val="20"/>
              </w:rPr>
              <w:t>For women of childbearing age, a negative pregnancy test at screening with agreement to use adequate contraception to prevent pregnancy, and monthly pregnancy tests.</w:t>
            </w:r>
          </w:p>
          <w:p w14:paraId="62487099" w14:textId="77777777" w:rsidR="00B80B9A" w:rsidRPr="001219BC" w:rsidRDefault="00B80B9A" w:rsidP="00F62917">
            <w:pPr>
              <w:numPr>
                <w:ilvl w:val="0"/>
                <w:numId w:val="90"/>
              </w:numPr>
              <w:ind w:left="357"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A15F5E">
              <w:rPr>
                <w:rFonts w:cstheme="minorHAnsi"/>
                <w:color w:val="000000"/>
                <w:szCs w:val="20"/>
              </w:rPr>
              <w:t>Willing and able to sign informed consent.</w:t>
            </w:r>
          </w:p>
        </w:tc>
      </w:tr>
      <w:tr w:rsidR="00B80B9A" w:rsidRPr="002F020F" w14:paraId="1F9C9A00"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01270302" w14:textId="77777777" w:rsidR="00B80B9A" w:rsidRPr="002F020F" w:rsidRDefault="00B80B9A" w:rsidP="004361E5">
            <w:pPr>
              <w:contextualSpacing/>
            </w:pPr>
            <w:r w:rsidRPr="002F020F">
              <w:t>Exclusion Criteria</w:t>
            </w:r>
          </w:p>
        </w:tc>
        <w:tc>
          <w:tcPr>
            <w:tcW w:w="3884" w:type="pct"/>
          </w:tcPr>
          <w:p w14:paraId="50AB0C90" w14:textId="77777777" w:rsidR="00B80B9A" w:rsidRPr="00A734B7"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Pr>
                <w:rFonts w:cstheme="minorHAnsi"/>
                <w:color w:val="000000"/>
                <w:szCs w:val="20"/>
              </w:rPr>
              <w:t>C</w:t>
            </w:r>
            <w:r w:rsidRPr="00B35AB9">
              <w:rPr>
                <w:rFonts w:cstheme="minorHAnsi"/>
                <w:color w:val="000000"/>
                <w:szCs w:val="20"/>
              </w:rPr>
              <w:t>urrent diagnosis of other drug or alcohol dependence</w:t>
            </w:r>
            <w:r w:rsidRPr="00B27A25">
              <w:rPr>
                <w:rFonts w:cstheme="minorHAnsi"/>
                <w:color w:val="000000"/>
                <w:szCs w:val="20"/>
              </w:rPr>
              <w:t xml:space="preserve"> </w:t>
            </w:r>
            <w:r w:rsidRPr="00B35AB9">
              <w:rPr>
                <w:rFonts w:cstheme="minorHAnsi"/>
                <w:color w:val="000000"/>
                <w:szCs w:val="20"/>
              </w:rPr>
              <w:t>(excluding caffeine and nicotine)</w:t>
            </w:r>
            <w:r>
              <w:rPr>
                <w:rFonts w:cstheme="minorHAnsi"/>
                <w:color w:val="000000"/>
                <w:szCs w:val="20"/>
              </w:rPr>
              <w:t>.</w:t>
            </w:r>
          </w:p>
          <w:p w14:paraId="4D0DC9ED" w14:textId="77777777" w:rsidR="00B80B9A" w:rsidRPr="00A734B7"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szCs w:val="20"/>
              </w:rPr>
            </w:pPr>
            <w:r w:rsidRPr="00A734B7">
              <w:rPr>
                <w:rFonts w:cstheme="minorHAnsi"/>
                <w:bCs/>
                <w:color w:val="000000"/>
                <w:szCs w:val="20"/>
              </w:rPr>
              <w:t>Recent (last 3 months) significant cardiac disease.</w:t>
            </w:r>
          </w:p>
          <w:p w14:paraId="250877B2" w14:textId="77777777" w:rsidR="00B80B9A" w:rsidRPr="00266700"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Pr>
                <w:rFonts w:cstheme="minorHAnsi"/>
                <w:color w:val="000000"/>
                <w:szCs w:val="20"/>
              </w:rPr>
              <w:t>C</w:t>
            </w:r>
            <w:r w:rsidRPr="00B35AB9">
              <w:rPr>
                <w:rFonts w:cstheme="minorHAnsi"/>
                <w:color w:val="000000"/>
                <w:szCs w:val="20"/>
              </w:rPr>
              <w:t>urrent serious psychiatric</w:t>
            </w:r>
            <w:r w:rsidRPr="00B27A25">
              <w:rPr>
                <w:rFonts w:cstheme="minorHAnsi"/>
                <w:color w:val="000000"/>
                <w:szCs w:val="20"/>
              </w:rPr>
              <w:t xml:space="preserve"> </w:t>
            </w:r>
            <w:r w:rsidRPr="00B35AB9">
              <w:rPr>
                <w:rFonts w:cstheme="minorHAnsi"/>
                <w:color w:val="000000"/>
                <w:szCs w:val="20"/>
              </w:rPr>
              <w:t xml:space="preserve">illness </w:t>
            </w:r>
            <w:r>
              <w:rPr>
                <w:rFonts w:cstheme="minorHAnsi"/>
                <w:color w:val="000000"/>
                <w:szCs w:val="20"/>
              </w:rPr>
              <w:t xml:space="preserve">or history of psychosis, </w:t>
            </w:r>
            <w:r w:rsidRPr="00B35AB9">
              <w:rPr>
                <w:rFonts w:cstheme="minorHAnsi"/>
                <w:color w:val="000000"/>
                <w:szCs w:val="20"/>
              </w:rPr>
              <w:t xml:space="preserve">schizophrenia, </w:t>
            </w:r>
            <w:r>
              <w:rPr>
                <w:rFonts w:cstheme="minorHAnsi"/>
                <w:color w:val="000000"/>
                <w:szCs w:val="20"/>
              </w:rPr>
              <w:t xml:space="preserve">or </w:t>
            </w:r>
            <w:r w:rsidRPr="00B35AB9">
              <w:rPr>
                <w:rFonts w:cstheme="minorHAnsi"/>
                <w:color w:val="000000"/>
                <w:szCs w:val="20"/>
              </w:rPr>
              <w:t>bipolar</w:t>
            </w:r>
            <w:r>
              <w:rPr>
                <w:rFonts w:cstheme="minorHAnsi"/>
                <w:color w:val="000000"/>
                <w:szCs w:val="20"/>
              </w:rPr>
              <w:t xml:space="preserve"> I</w:t>
            </w:r>
            <w:r w:rsidRPr="00B35AB9">
              <w:rPr>
                <w:rFonts w:cstheme="minorHAnsi"/>
                <w:color w:val="000000"/>
                <w:szCs w:val="20"/>
              </w:rPr>
              <w:t xml:space="preserve"> disorder</w:t>
            </w:r>
            <w:r>
              <w:rPr>
                <w:rFonts w:cstheme="minorHAnsi"/>
                <w:color w:val="000000"/>
                <w:szCs w:val="20"/>
              </w:rPr>
              <w:t>.</w:t>
            </w:r>
          </w:p>
          <w:p w14:paraId="50E49F09" w14:textId="77777777" w:rsidR="00B80B9A" w:rsidRPr="00266700"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szCs w:val="20"/>
              </w:rPr>
            </w:pPr>
            <w:r w:rsidRPr="00266700">
              <w:rPr>
                <w:rFonts w:cstheme="minorHAnsi"/>
                <w:bCs/>
                <w:color w:val="000000"/>
                <w:szCs w:val="20"/>
              </w:rPr>
              <w:t>Mental retardation or organic mental disorder.</w:t>
            </w:r>
          </w:p>
          <w:p w14:paraId="6DB5FF06" w14:textId="77777777" w:rsidR="00B80B9A" w:rsidRPr="00DE6EEB"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Pr>
                <w:rFonts w:cstheme="minorHAnsi"/>
                <w:color w:val="000000"/>
                <w:szCs w:val="20"/>
              </w:rPr>
              <w:t>Acutely dangerous or suicidal behaviour</w:t>
            </w:r>
          </w:p>
          <w:p w14:paraId="7A057273" w14:textId="77777777" w:rsidR="00B80B9A" w:rsidRPr="00B27A25"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Pr>
                <w:rFonts w:cstheme="minorHAnsi"/>
                <w:color w:val="000000"/>
                <w:szCs w:val="20"/>
              </w:rPr>
              <w:lastRenderedPageBreak/>
              <w:t>Currently in a residential treatment setting.</w:t>
            </w:r>
          </w:p>
          <w:p w14:paraId="3E04ADEC" w14:textId="77777777" w:rsidR="00B80B9A" w:rsidRPr="00B27A25"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Pr>
                <w:rFonts w:cstheme="minorHAnsi"/>
                <w:color w:val="000000"/>
                <w:szCs w:val="20"/>
              </w:rPr>
              <w:t>H</w:t>
            </w:r>
            <w:r w:rsidRPr="00B35AB9">
              <w:rPr>
                <w:rFonts w:cstheme="minorHAnsi"/>
                <w:color w:val="000000"/>
                <w:szCs w:val="20"/>
              </w:rPr>
              <w:t>istory of seizures, head trauma, or other history of central</w:t>
            </w:r>
            <w:r w:rsidRPr="00B27A25">
              <w:rPr>
                <w:rFonts w:cstheme="minorHAnsi"/>
                <w:color w:val="000000"/>
                <w:szCs w:val="20"/>
              </w:rPr>
              <w:t xml:space="preserve"> nervous system injury</w:t>
            </w:r>
            <w:r>
              <w:rPr>
                <w:rFonts w:cstheme="minorHAnsi"/>
                <w:color w:val="000000"/>
                <w:szCs w:val="20"/>
              </w:rPr>
              <w:t>.</w:t>
            </w:r>
          </w:p>
          <w:p w14:paraId="54911239" w14:textId="77777777" w:rsidR="00B80B9A" w:rsidRPr="00812D4F"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Pr>
                <w:rFonts w:cstheme="minorHAnsi"/>
                <w:color w:val="000000"/>
                <w:szCs w:val="20"/>
              </w:rPr>
              <w:t>C</w:t>
            </w:r>
            <w:r w:rsidRPr="00B35AB9">
              <w:rPr>
                <w:rFonts w:cstheme="minorHAnsi"/>
                <w:color w:val="000000"/>
                <w:szCs w:val="20"/>
              </w:rPr>
              <w:t>urrent treatment</w:t>
            </w:r>
            <w:r w:rsidRPr="00B27A25">
              <w:rPr>
                <w:rFonts w:cstheme="minorHAnsi"/>
                <w:color w:val="000000"/>
                <w:szCs w:val="20"/>
              </w:rPr>
              <w:t xml:space="preserve"> </w:t>
            </w:r>
            <w:r w:rsidRPr="00B35AB9">
              <w:rPr>
                <w:rFonts w:cstheme="minorHAnsi"/>
                <w:color w:val="000000"/>
                <w:szCs w:val="20"/>
              </w:rPr>
              <w:t>with opioid analgesics, sedative</w:t>
            </w:r>
            <w:r>
              <w:rPr>
                <w:rFonts w:cstheme="minorHAnsi"/>
                <w:color w:val="000000"/>
                <w:szCs w:val="20"/>
              </w:rPr>
              <w:t xml:space="preserve"> </w:t>
            </w:r>
            <w:r w:rsidRPr="00B35AB9">
              <w:rPr>
                <w:rFonts w:cstheme="minorHAnsi"/>
                <w:color w:val="000000"/>
                <w:szCs w:val="20"/>
              </w:rPr>
              <w:t>hypnotics, or other known</w:t>
            </w:r>
            <w:r w:rsidRPr="00B27A25">
              <w:rPr>
                <w:rFonts w:cstheme="minorHAnsi"/>
                <w:color w:val="000000"/>
                <w:szCs w:val="20"/>
              </w:rPr>
              <w:t xml:space="preserve"> </w:t>
            </w:r>
            <w:r w:rsidRPr="00812D4F">
              <w:rPr>
                <w:rFonts w:cstheme="minorHAnsi"/>
                <w:color w:val="000000"/>
                <w:szCs w:val="20"/>
              </w:rPr>
              <w:t>central nervous system depressants.</w:t>
            </w:r>
          </w:p>
          <w:p w14:paraId="5C74E63A" w14:textId="77777777" w:rsidR="00B80B9A" w:rsidRPr="00812D4F"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812D4F">
              <w:rPr>
                <w:rFonts w:cstheme="minorHAnsi"/>
                <w:color w:val="000000"/>
                <w:szCs w:val="20"/>
              </w:rPr>
              <w:t>Disease of the gastrointestinal system, liver, or kidneys that may impede metabolism or excretion of nabilone.</w:t>
            </w:r>
          </w:p>
          <w:p w14:paraId="0BB130E4" w14:textId="77777777" w:rsidR="00B80B9A" w:rsidRPr="00D22808"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D22808">
              <w:rPr>
                <w:rFonts w:cstheme="minorHAnsi"/>
                <w:color w:val="000000"/>
                <w:szCs w:val="20"/>
              </w:rPr>
              <w:t>Pregnant or breastfeeding, or using inadequate contraception.</w:t>
            </w:r>
          </w:p>
          <w:p w14:paraId="27AD4AEF" w14:textId="77777777" w:rsidR="00B80B9A" w:rsidRPr="00D22808"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D22808">
              <w:rPr>
                <w:rFonts w:cstheme="minorHAnsi"/>
                <w:color w:val="000000"/>
                <w:szCs w:val="20"/>
              </w:rPr>
              <w:t>Known hypersensitivity to cannabinoids or sesame oil.</w:t>
            </w:r>
          </w:p>
          <w:p w14:paraId="3E207DD4" w14:textId="77777777" w:rsidR="00B80B9A" w:rsidRPr="00D22808"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D22808">
              <w:rPr>
                <w:rFonts w:cstheme="minorHAnsi"/>
                <w:color w:val="000000"/>
                <w:szCs w:val="20"/>
              </w:rPr>
              <w:t>Inability to read or write in English.</w:t>
            </w:r>
          </w:p>
          <w:p w14:paraId="7F880108" w14:textId="77777777" w:rsidR="00B80B9A" w:rsidRPr="00613064" w:rsidRDefault="00B80B9A" w:rsidP="00F62917">
            <w:pPr>
              <w:numPr>
                <w:ilvl w:val="0"/>
                <w:numId w:val="91"/>
              </w:numPr>
              <w:ind w:left="357" w:hanging="357"/>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D22808">
              <w:rPr>
                <w:rFonts w:cstheme="minorHAnsi"/>
                <w:color w:val="000000"/>
                <w:szCs w:val="20"/>
              </w:rPr>
              <w:t>Unwilling or unable to participate in MRI scanning (e.g., those having pacemakers, bone plates, screws, etc.; claustrophobia).</w:t>
            </w:r>
          </w:p>
        </w:tc>
      </w:tr>
      <w:tr w:rsidR="00B80B9A" w:rsidRPr="002F020F" w14:paraId="058545F3"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55CCC2D9" w14:textId="77777777" w:rsidR="00B80B9A" w:rsidRPr="002F020F" w:rsidRDefault="00B80B9A" w:rsidP="004361E5">
            <w:pPr>
              <w:contextualSpacing/>
            </w:pPr>
            <w:r w:rsidRPr="002F020F">
              <w:lastRenderedPageBreak/>
              <w:t>Assessment Time-</w:t>
            </w:r>
            <w:r>
              <w:t>P</w:t>
            </w:r>
            <w:r w:rsidRPr="002F020F">
              <w:t>oint/s</w:t>
            </w:r>
          </w:p>
        </w:tc>
        <w:tc>
          <w:tcPr>
            <w:tcW w:w="3884" w:type="pct"/>
          </w:tcPr>
          <w:p w14:paraId="2B5BD84C" w14:textId="77777777" w:rsidR="00B80B9A" w:rsidRDefault="00B80B9A" w:rsidP="00B80B9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8F780C">
              <w:rPr>
                <w:rFonts w:cstheme="minorHAnsi"/>
                <w:color w:val="000000"/>
                <w:szCs w:val="20"/>
              </w:rPr>
              <w:t>Baseline:</w:t>
            </w:r>
            <w:r>
              <w:rPr>
                <w:rFonts w:cstheme="minorHAnsi"/>
                <w:color w:val="000000"/>
                <w:szCs w:val="20"/>
              </w:rPr>
              <w:t xml:space="preserve"> c</w:t>
            </w:r>
            <w:r w:rsidRPr="008F780C">
              <w:rPr>
                <w:rFonts w:cstheme="minorHAnsi"/>
                <w:color w:val="000000"/>
                <w:szCs w:val="20"/>
              </w:rPr>
              <w:t>annabis use</w:t>
            </w:r>
            <w:r>
              <w:rPr>
                <w:rFonts w:cstheme="minorHAnsi"/>
                <w:color w:val="000000"/>
                <w:szCs w:val="20"/>
              </w:rPr>
              <w:t xml:space="preserve"> (</w:t>
            </w:r>
            <w:r w:rsidRPr="008F780C">
              <w:rPr>
                <w:rFonts w:cstheme="minorHAnsi"/>
                <w:color w:val="000000"/>
                <w:szCs w:val="20"/>
              </w:rPr>
              <w:t xml:space="preserve">urinalysis and </w:t>
            </w:r>
            <w:r>
              <w:rPr>
                <w:rFonts w:cstheme="minorHAnsi"/>
                <w:color w:val="000000"/>
                <w:szCs w:val="20"/>
              </w:rPr>
              <w:t xml:space="preserve">self-report using the </w:t>
            </w:r>
            <w:r w:rsidRPr="008F780C">
              <w:rPr>
                <w:rFonts w:cstheme="minorHAnsi"/>
                <w:color w:val="000000"/>
                <w:szCs w:val="20"/>
              </w:rPr>
              <w:t>TLFB</w:t>
            </w:r>
            <w:r>
              <w:rPr>
                <w:rFonts w:cstheme="minorHAnsi"/>
                <w:color w:val="000000"/>
                <w:szCs w:val="20"/>
              </w:rPr>
              <w:t xml:space="preserve"> method); symptoms of anxiety and depression (as measured by </w:t>
            </w:r>
            <w:r w:rsidRPr="002C09C5">
              <w:rPr>
                <w:rFonts w:cstheme="minorHAnsi"/>
                <w:color w:val="000000"/>
                <w:szCs w:val="20"/>
              </w:rPr>
              <w:t>BAI and QID</w:t>
            </w:r>
            <w:r>
              <w:rPr>
                <w:rFonts w:cstheme="minorHAnsi"/>
                <w:color w:val="000000"/>
                <w:szCs w:val="20"/>
              </w:rPr>
              <w:t>S).</w:t>
            </w:r>
          </w:p>
          <w:p w14:paraId="7D85B0CD" w14:textId="77777777" w:rsidR="00B80B9A" w:rsidRPr="00803FD8" w:rsidRDefault="00B80B9A" w:rsidP="00B80B9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pPr>
            <w:r w:rsidRPr="00B437A8">
              <w:rPr>
                <w:rFonts w:cstheme="minorHAnsi"/>
                <w:color w:val="000000"/>
                <w:szCs w:val="20"/>
              </w:rPr>
              <w:t xml:space="preserve">During treatment (week 1 to 10): cannabis use (urinalysis twice per week; </w:t>
            </w:r>
            <w:r>
              <w:rPr>
                <w:rFonts w:cstheme="minorHAnsi"/>
                <w:color w:val="000000"/>
                <w:szCs w:val="20"/>
              </w:rPr>
              <w:t>T</w:t>
            </w:r>
            <w:r w:rsidRPr="00B437A8">
              <w:rPr>
                <w:rFonts w:cstheme="minorHAnsi"/>
                <w:color w:val="000000"/>
                <w:szCs w:val="20"/>
              </w:rPr>
              <w:t xml:space="preserve">LFB </w:t>
            </w:r>
            <w:r>
              <w:rPr>
                <w:rFonts w:cstheme="minorHAnsi"/>
                <w:color w:val="000000"/>
                <w:szCs w:val="20"/>
              </w:rPr>
              <w:t>once per week); cannabis craving (</w:t>
            </w:r>
            <w:r w:rsidRPr="00B437A8">
              <w:rPr>
                <w:rFonts w:cstheme="minorHAnsi"/>
                <w:color w:val="000000"/>
                <w:szCs w:val="20"/>
              </w:rPr>
              <w:t>MCQ</w:t>
            </w:r>
            <w:r>
              <w:rPr>
                <w:rFonts w:cstheme="minorHAnsi"/>
                <w:color w:val="000000"/>
                <w:szCs w:val="20"/>
              </w:rPr>
              <w:t xml:space="preserve"> once per week); and anxiety and depression symptoms (as measured by the </w:t>
            </w:r>
            <w:r w:rsidRPr="002C09C5">
              <w:rPr>
                <w:rFonts w:cstheme="minorHAnsi"/>
                <w:color w:val="000000"/>
                <w:szCs w:val="20"/>
              </w:rPr>
              <w:t>BAI and QID</w:t>
            </w:r>
            <w:r>
              <w:rPr>
                <w:rFonts w:cstheme="minorHAnsi"/>
                <w:color w:val="000000"/>
                <w:szCs w:val="20"/>
              </w:rPr>
              <w:t xml:space="preserve">S: </w:t>
            </w:r>
            <w:r w:rsidRPr="002C09C5">
              <w:rPr>
                <w:rFonts w:cstheme="minorHAnsi"/>
                <w:color w:val="000000"/>
                <w:szCs w:val="20"/>
              </w:rPr>
              <w:t>week 4, 10, and 14</w:t>
            </w:r>
            <w:r>
              <w:rPr>
                <w:rFonts w:cstheme="minorHAnsi"/>
                <w:color w:val="000000"/>
                <w:szCs w:val="20"/>
              </w:rPr>
              <w:t>)</w:t>
            </w:r>
            <w:r w:rsidRPr="002C09C5">
              <w:rPr>
                <w:rFonts w:cstheme="minorHAnsi"/>
                <w:color w:val="000000"/>
                <w:szCs w:val="20"/>
              </w:rPr>
              <w:t>.</w:t>
            </w:r>
          </w:p>
          <w:p w14:paraId="0CDC9679" w14:textId="77777777" w:rsidR="00B80B9A" w:rsidRPr="002F020F" w:rsidRDefault="00B80B9A" w:rsidP="00B80B9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pPr>
            <w:r>
              <w:rPr>
                <w:rFonts w:cstheme="minorHAnsi"/>
                <w:color w:val="000000"/>
                <w:szCs w:val="20"/>
              </w:rPr>
              <w:t>Follow-up (week 14; 4 weeks post-treatment).</w:t>
            </w:r>
          </w:p>
        </w:tc>
      </w:tr>
      <w:tr w:rsidR="00B80B9A" w:rsidRPr="002F020F" w14:paraId="333B344D"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64D93246" w14:textId="77777777" w:rsidR="00B80B9A" w:rsidRPr="002F020F" w:rsidRDefault="00B80B9A" w:rsidP="004361E5">
            <w:pPr>
              <w:contextualSpacing/>
            </w:pPr>
            <w:r w:rsidRPr="002F020F">
              <w:t>Main Findings</w:t>
            </w:r>
          </w:p>
        </w:tc>
        <w:tc>
          <w:tcPr>
            <w:tcW w:w="3884" w:type="pct"/>
          </w:tcPr>
          <w:p w14:paraId="7B6A8DB4" w14:textId="77777777" w:rsidR="00B80B9A" w:rsidRPr="008A2373"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sidRPr="008A2373">
              <w:rPr>
                <w:rFonts w:ascii="Calibri" w:hAnsi="Calibri" w:cs="Calibri"/>
                <w:bCs/>
                <w:color w:val="000000"/>
                <w:szCs w:val="20"/>
              </w:rPr>
              <w:t xml:space="preserve">During the 10-week </w:t>
            </w:r>
            <w:r>
              <w:rPr>
                <w:rFonts w:ascii="Calibri" w:hAnsi="Calibri" w:cs="Calibri"/>
                <w:bCs/>
                <w:color w:val="000000"/>
                <w:szCs w:val="20"/>
              </w:rPr>
              <w:t>treatment</w:t>
            </w:r>
            <w:r w:rsidRPr="008A2373">
              <w:rPr>
                <w:rFonts w:ascii="Calibri" w:hAnsi="Calibri" w:cs="Calibri"/>
                <w:bCs/>
                <w:color w:val="000000"/>
                <w:szCs w:val="20"/>
              </w:rPr>
              <w:t xml:space="preserve"> period, the nabilone group reported an average of 2.55 (</w:t>
            </w:r>
            <w:r>
              <w:rPr>
                <w:rFonts w:ascii="Calibri" w:hAnsi="Calibri" w:cs="Calibri"/>
                <w:bCs/>
                <w:color w:val="000000"/>
                <w:szCs w:val="20"/>
              </w:rPr>
              <w:t>±</w:t>
            </w:r>
            <w:r w:rsidRPr="008A2373">
              <w:rPr>
                <w:rFonts w:ascii="Calibri" w:hAnsi="Calibri" w:cs="Calibri"/>
                <w:bCs/>
                <w:color w:val="000000"/>
                <w:szCs w:val="20"/>
              </w:rPr>
              <w:t xml:space="preserve"> 0.86) cannabis use sessions per day, and the placebo group reported an average of 3.14 (</w:t>
            </w:r>
            <w:r>
              <w:rPr>
                <w:rFonts w:ascii="Calibri" w:hAnsi="Calibri" w:cs="Calibri"/>
                <w:bCs/>
                <w:color w:val="000000"/>
                <w:szCs w:val="20"/>
              </w:rPr>
              <w:t xml:space="preserve">± </w:t>
            </w:r>
            <w:r w:rsidRPr="008A2373">
              <w:rPr>
                <w:rFonts w:ascii="Calibri" w:hAnsi="Calibri" w:cs="Calibri"/>
                <w:bCs/>
                <w:color w:val="000000"/>
                <w:szCs w:val="20"/>
              </w:rPr>
              <w:t xml:space="preserve">1.91) cannabis use sessions per day. </w:t>
            </w:r>
          </w:p>
          <w:p w14:paraId="41CB3045" w14:textId="77777777" w:rsidR="00B80B9A" w:rsidRPr="008A2373"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sidRPr="008A2373">
              <w:rPr>
                <w:rFonts w:ascii="Calibri" w:hAnsi="Calibri" w:cs="Calibri"/>
                <w:bCs/>
                <w:color w:val="000000"/>
                <w:szCs w:val="20"/>
              </w:rPr>
              <w:t xml:space="preserve">There was no significant effect of the treatment on changes in cannabis use sessions for the nabilone group compared with the placebo group at the end of treatment (z = -1.05, p = 0.29) or at the 4-week follow-up (z = 0.63, p = 0.53). </w:t>
            </w:r>
          </w:p>
          <w:p w14:paraId="2B07A6E7" w14:textId="77777777" w:rsidR="00B80B9A" w:rsidRPr="008A2373"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sidRPr="008A2373">
              <w:rPr>
                <w:rFonts w:ascii="Calibri" w:hAnsi="Calibri" w:cs="Calibri"/>
                <w:bCs/>
                <w:color w:val="000000"/>
                <w:szCs w:val="20"/>
              </w:rPr>
              <w:t>There was no significant effect of the treatment on changes in urine cannabinoid levels for the nabilone group compared with the placebo group at the end of treatment (z = 1.39, p = 0.17) or at the 4-week follow-up (z = 0.96, p = 0.34).</w:t>
            </w:r>
          </w:p>
          <w:p w14:paraId="5F9AAB9B" w14:textId="1873757D" w:rsidR="00B80B9A" w:rsidRPr="008A2373"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sidRPr="008A2373">
              <w:rPr>
                <w:rFonts w:ascii="Calibri" w:hAnsi="Calibri" w:cs="Calibri"/>
                <w:bCs/>
                <w:color w:val="000000"/>
                <w:szCs w:val="20"/>
              </w:rPr>
              <w:t>A reduction in cannabis craving (as measured by the MCQ) was observed in both the nabilone and placebo group; however, there were no significant between-group differences at the end of treatment (z = -0.34, p = 0.74) or at the 4-week follow-up (z = -0.40, p = 0.69).</w:t>
            </w:r>
          </w:p>
          <w:p w14:paraId="2A19B05B" w14:textId="3D309C18" w:rsidR="00B80B9A" w:rsidRPr="00B04CBE" w:rsidRDefault="00B80B9A" w:rsidP="00B04CBE">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sidRPr="00B04CBE">
              <w:rPr>
                <w:rFonts w:ascii="Calibri" w:hAnsi="Calibri" w:cs="Calibri"/>
                <w:bCs/>
                <w:color w:val="000000"/>
                <w:szCs w:val="20"/>
              </w:rPr>
              <w:t>There were no significant changes in anxiety symptoms (as measured by the BAI) between the two groups at the end of treatment</w:t>
            </w:r>
            <w:r w:rsidR="00B04CBE">
              <w:rPr>
                <w:rFonts w:ascii="Calibri" w:hAnsi="Calibri" w:cs="Calibri"/>
                <w:bCs/>
                <w:color w:val="000000"/>
                <w:szCs w:val="20"/>
              </w:rPr>
              <w:t xml:space="preserve"> </w:t>
            </w:r>
            <w:r w:rsidRPr="00B04CBE">
              <w:rPr>
                <w:rFonts w:ascii="Calibri" w:hAnsi="Calibri" w:cs="Calibri"/>
                <w:bCs/>
                <w:color w:val="000000"/>
                <w:szCs w:val="20"/>
              </w:rPr>
              <w:t xml:space="preserve">(z = 0.68, p = 0.50) or at the 4-week follow-up (z = -0.10, p = 0.92). </w:t>
            </w:r>
          </w:p>
          <w:p w14:paraId="368F51A0" w14:textId="445A992C" w:rsidR="00B80B9A" w:rsidRPr="008A2373" w:rsidRDefault="00B04CBE" w:rsidP="00F62917">
            <w:pPr>
              <w:numPr>
                <w:ilvl w:val="0"/>
                <w:numId w:val="91"/>
              </w:numPr>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Pr>
                <w:rFonts w:ascii="Calibri" w:hAnsi="Calibri" w:cs="Calibri"/>
                <w:bCs/>
                <w:color w:val="000000"/>
                <w:szCs w:val="20"/>
              </w:rPr>
              <w:t>T</w:t>
            </w:r>
            <w:r w:rsidR="00B80B9A" w:rsidRPr="008A2373">
              <w:rPr>
                <w:rFonts w:ascii="Calibri" w:hAnsi="Calibri" w:cs="Calibri"/>
                <w:bCs/>
                <w:color w:val="000000"/>
                <w:szCs w:val="20"/>
              </w:rPr>
              <w:t>here was no significant difference in depressive symptoms (as measured by the QIDS) between groups at the end of treatment (z = 0.76, p = 0.46) or at the 4-week follow-up (z = 0.91, p = 0.36).</w:t>
            </w:r>
          </w:p>
        </w:tc>
      </w:tr>
      <w:tr w:rsidR="00B80B9A" w:rsidRPr="002F020F" w14:paraId="70C47ABD"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01524B43" w14:textId="77777777" w:rsidR="00B80B9A" w:rsidRPr="002F020F" w:rsidRDefault="00B80B9A" w:rsidP="004361E5">
            <w:pPr>
              <w:contextualSpacing/>
            </w:pPr>
            <w:r w:rsidRPr="002F020F">
              <w:t>Safety and Adverse Events</w:t>
            </w:r>
          </w:p>
        </w:tc>
        <w:tc>
          <w:tcPr>
            <w:tcW w:w="3884" w:type="pct"/>
          </w:tcPr>
          <w:p w14:paraId="4D1E0249" w14:textId="77777777" w:rsidR="00B80B9A" w:rsidRDefault="00B80B9A" w:rsidP="00B80B9A">
            <w:pPr>
              <w:numPr>
                <w:ilvl w:val="0"/>
                <w:numId w:val="92"/>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Cs w:val="20"/>
              </w:rPr>
            </w:pPr>
            <w:r>
              <w:rPr>
                <w:rFonts w:ascii="Calibri" w:hAnsi="Calibri" w:cs="Calibri"/>
                <w:bCs/>
                <w:color w:val="000000"/>
                <w:szCs w:val="20"/>
              </w:rPr>
              <w:t>No serious adverse events were reported.</w:t>
            </w:r>
          </w:p>
          <w:p w14:paraId="134A8629" w14:textId="77777777" w:rsidR="00B80B9A" w:rsidRPr="00276F0F" w:rsidRDefault="00B80B9A" w:rsidP="00B80B9A">
            <w:pPr>
              <w:numPr>
                <w:ilvl w:val="0"/>
                <w:numId w:val="92"/>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Cs w:val="20"/>
              </w:rPr>
            </w:pPr>
            <w:r w:rsidRPr="00276F0F">
              <w:rPr>
                <w:rFonts w:ascii="Calibri" w:hAnsi="Calibri" w:cs="Calibri"/>
                <w:bCs/>
                <w:color w:val="000000"/>
                <w:szCs w:val="20"/>
              </w:rPr>
              <w:t xml:space="preserve">All reported adverse events were rated mild-to-moderate. </w:t>
            </w:r>
          </w:p>
          <w:p w14:paraId="2D099775" w14:textId="77777777" w:rsidR="00B80B9A" w:rsidRPr="00276F0F" w:rsidRDefault="00B80B9A" w:rsidP="00B80B9A">
            <w:pPr>
              <w:numPr>
                <w:ilvl w:val="0"/>
                <w:numId w:val="92"/>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Cs w:val="20"/>
              </w:rPr>
            </w:pPr>
            <w:r w:rsidRPr="00276F0F">
              <w:rPr>
                <w:rFonts w:ascii="Calibri" w:hAnsi="Calibri" w:cs="Calibri"/>
                <w:bCs/>
                <w:color w:val="000000"/>
                <w:szCs w:val="20"/>
              </w:rPr>
              <w:t>Eight adverse events were reported by two participants in the nabilone group.</w:t>
            </w:r>
          </w:p>
          <w:p w14:paraId="64041EB2" w14:textId="77777777" w:rsidR="00B80B9A" w:rsidRPr="00276F0F" w:rsidRDefault="00B80B9A" w:rsidP="00B80B9A">
            <w:pPr>
              <w:numPr>
                <w:ilvl w:val="0"/>
                <w:numId w:val="92"/>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Cs w:val="20"/>
              </w:rPr>
            </w:pPr>
            <w:r w:rsidRPr="00276F0F">
              <w:rPr>
                <w:rFonts w:ascii="Calibri" w:hAnsi="Calibri" w:cs="Calibri"/>
                <w:bCs/>
                <w:color w:val="000000"/>
                <w:szCs w:val="20"/>
              </w:rPr>
              <w:t xml:space="preserve">Six adverse events were reported by four participants in the placebo group. </w:t>
            </w:r>
          </w:p>
          <w:p w14:paraId="0D1A7F8A" w14:textId="77777777" w:rsidR="00B80B9A" w:rsidRPr="0028233B" w:rsidRDefault="00B80B9A" w:rsidP="00B80B9A">
            <w:pPr>
              <w:numPr>
                <w:ilvl w:val="0"/>
                <w:numId w:val="92"/>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8233B">
              <w:rPr>
                <w:rFonts w:ascii="Calibri" w:hAnsi="Calibri" w:cs="Calibri"/>
                <w:color w:val="000000"/>
                <w:szCs w:val="20"/>
              </w:rPr>
              <w:t>Nausea, vomiting, and sedation were the most reported adverse events</w:t>
            </w:r>
            <w:r>
              <w:rPr>
                <w:rFonts w:ascii="Calibri" w:hAnsi="Calibri" w:cs="Calibri"/>
                <w:color w:val="000000"/>
                <w:szCs w:val="20"/>
              </w:rPr>
              <w:t>:</w:t>
            </w:r>
          </w:p>
          <w:p w14:paraId="4C9B81B0" w14:textId="77777777" w:rsidR="00B80B9A" w:rsidRPr="0028233B" w:rsidRDefault="00B80B9A" w:rsidP="00B80B9A">
            <w:pPr>
              <w:numPr>
                <w:ilvl w:val="1"/>
                <w:numId w:val="92"/>
              </w:numPr>
              <w:ind w:left="714" w:hanging="357"/>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8233B">
              <w:rPr>
                <w:rFonts w:ascii="Calibri" w:hAnsi="Calibri" w:cs="Calibri"/>
                <w:color w:val="000000"/>
                <w:szCs w:val="20"/>
              </w:rPr>
              <w:t>nausea was reported by one participant in both the nabilone</w:t>
            </w:r>
            <w:r>
              <w:rPr>
                <w:rFonts w:ascii="Calibri" w:hAnsi="Calibri" w:cs="Calibri"/>
                <w:color w:val="000000"/>
                <w:szCs w:val="20"/>
              </w:rPr>
              <w:t xml:space="preserve"> </w:t>
            </w:r>
            <w:r w:rsidRPr="0028233B">
              <w:rPr>
                <w:rFonts w:ascii="Calibri" w:hAnsi="Calibri" w:cs="Calibri"/>
                <w:color w:val="000000"/>
                <w:szCs w:val="20"/>
              </w:rPr>
              <w:t>and the placebo groups</w:t>
            </w:r>
            <w:r>
              <w:rPr>
                <w:rFonts w:ascii="Calibri" w:hAnsi="Calibri" w:cs="Calibri"/>
                <w:color w:val="000000"/>
                <w:szCs w:val="20"/>
              </w:rPr>
              <w:t>.</w:t>
            </w:r>
          </w:p>
          <w:p w14:paraId="04CB0B64" w14:textId="77777777" w:rsidR="00B80B9A" w:rsidRPr="0028233B" w:rsidRDefault="00B80B9A" w:rsidP="00B80B9A">
            <w:pPr>
              <w:numPr>
                <w:ilvl w:val="1"/>
                <w:numId w:val="92"/>
              </w:numPr>
              <w:ind w:left="714" w:hanging="357"/>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8233B">
              <w:rPr>
                <w:rFonts w:ascii="Calibri" w:hAnsi="Calibri" w:cs="Calibri"/>
                <w:color w:val="000000"/>
                <w:szCs w:val="20"/>
              </w:rPr>
              <w:t>vomiting was reported by two</w:t>
            </w:r>
            <w:r>
              <w:rPr>
                <w:rFonts w:ascii="Calibri" w:hAnsi="Calibri" w:cs="Calibri"/>
                <w:color w:val="000000"/>
                <w:szCs w:val="20"/>
              </w:rPr>
              <w:t xml:space="preserve"> </w:t>
            </w:r>
            <w:r w:rsidRPr="0028233B">
              <w:rPr>
                <w:rFonts w:ascii="Calibri" w:hAnsi="Calibri" w:cs="Calibri"/>
                <w:color w:val="000000"/>
                <w:szCs w:val="20"/>
              </w:rPr>
              <w:t>participants in the placebo group</w:t>
            </w:r>
            <w:r>
              <w:rPr>
                <w:rFonts w:ascii="Calibri" w:hAnsi="Calibri" w:cs="Calibri"/>
                <w:color w:val="000000"/>
                <w:szCs w:val="20"/>
              </w:rPr>
              <w:t>.</w:t>
            </w:r>
          </w:p>
          <w:p w14:paraId="7C80B59E" w14:textId="77777777" w:rsidR="00B80B9A" w:rsidRPr="001219BC" w:rsidRDefault="00B80B9A" w:rsidP="00F62917">
            <w:pPr>
              <w:numPr>
                <w:ilvl w:val="1"/>
                <w:numId w:val="92"/>
              </w:numPr>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8233B">
              <w:rPr>
                <w:rFonts w:ascii="Calibri" w:hAnsi="Calibri" w:cs="Calibri"/>
                <w:color w:val="000000"/>
                <w:szCs w:val="20"/>
              </w:rPr>
              <w:t>sedation was reported</w:t>
            </w:r>
            <w:r>
              <w:rPr>
                <w:rFonts w:ascii="Calibri" w:hAnsi="Calibri" w:cs="Calibri"/>
                <w:color w:val="000000"/>
                <w:szCs w:val="20"/>
              </w:rPr>
              <w:t xml:space="preserve"> </w:t>
            </w:r>
            <w:r w:rsidRPr="0028233B">
              <w:rPr>
                <w:rFonts w:ascii="Calibri" w:hAnsi="Calibri" w:cs="Calibri"/>
                <w:color w:val="000000"/>
                <w:szCs w:val="20"/>
              </w:rPr>
              <w:t>by one participant in both groups.</w:t>
            </w:r>
          </w:p>
        </w:tc>
      </w:tr>
    </w:tbl>
    <w:p w14:paraId="3CA586BE" w14:textId="77777777" w:rsidR="00B80B9A" w:rsidRDefault="00B80B9A" w:rsidP="00B80B9A"/>
    <w:p w14:paraId="352EF806" w14:textId="77777777" w:rsidR="00B80B9A" w:rsidRPr="00F9372F" w:rsidRDefault="00B80B9A" w:rsidP="00B80B9A">
      <w:pPr>
        <w:keepNext/>
        <w:keepLines/>
        <w:numPr>
          <w:ilvl w:val="0"/>
          <w:numId w:val="70"/>
        </w:numPr>
        <w:spacing w:before="40" w:after="40"/>
        <w:outlineLvl w:val="1"/>
        <w:rPr>
          <w:rFonts w:ascii="Calibri Light" w:eastAsia="Times New Roman" w:hAnsi="Calibri Light" w:cs="Times New Roman"/>
          <w:color w:val="2E74B5"/>
          <w:sz w:val="26"/>
          <w:szCs w:val="26"/>
        </w:rPr>
      </w:pPr>
      <w:bookmarkStart w:id="327" w:name="_Toc165018249"/>
      <w:r w:rsidRPr="52D68EB9">
        <w:rPr>
          <w:rFonts w:ascii="Calibri Light" w:eastAsia="Times New Roman" w:hAnsi="Calibri Light" w:cs="Times New Roman"/>
          <w:color w:val="2E74B5" w:themeColor="accent1" w:themeShade="BF"/>
          <w:sz w:val="26"/>
          <w:szCs w:val="26"/>
        </w:rPr>
        <w:lastRenderedPageBreak/>
        <w:t xml:space="preserve">Synthetic Cannabidiol </w:t>
      </w:r>
      <w:r>
        <w:rPr>
          <w:rFonts w:ascii="Calibri Light" w:eastAsia="Times New Roman" w:hAnsi="Calibri Light" w:cs="Times New Roman"/>
          <w:color w:val="2E74B5" w:themeColor="accent1" w:themeShade="BF"/>
          <w:sz w:val="26"/>
          <w:szCs w:val="26"/>
        </w:rPr>
        <w:t xml:space="preserve">(CBD) </w:t>
      </w:r>
      <w:r w:rsidRPr="52D68EB9">
        <w:rPr>
          <w:rFonts w:ascii="Calibri Light" w:eastAsia="Times New Roman" w:hAnsi="Calibri Light" w:cs="Times New Roman"/>
          <w:color w:val="2E74B5" w:themeColor="accent1" w:themeShade="BF"/>
          <w:sz w:val="26"/>
          <w:szCs w:val="26"/>
        </w:rPr>
        <w:t>for Cocaine Use disorder (</w:t>
      </w:r>
      <w:r w:rsidRPr="13C231D3">
        <w:rPr>
          <w:rFonts w:ascii="Calibri Light" w:eastAsia="Times New Roman" w:hAnsi="Calibri Light" w:cs="Times New Roman"/>
          <w:color w:val="2E74B5" w:themeColor="accent1" w:themeShade="BF"/>
          <w:sz w:val="26"/>
          <w:szCs w:val="26"/>
        </w:rPr>
        <w:t>CocUD):</w:t>
      </w:r>
      <w:r w:rsidRPr="52D68EB9">
        <w:rPr>
          <w:rFonts w:ascii="Calibri Light" w:eastAsia="Times New Roman" w:hAnsi="Calibri Light" w:cs="Times New Roman"/>
          <w:color w:val="2E74B5" w:themeColor="accent1" w:themeShade="BF"/>
          <w:sz w:val="26"/>
          <w:szCs w:val="26"/>
        </w:rPr>
        <w:t xml:space="preserve"> Combined intervention</w:t>
      </w:r>
      <w:bookmarkEnd w:id="327"/>
    </w:p>
    <w:tbl>
      <w:tblPr>
        <w:tblStyle w:val="GridTable5Dark-Accent5"/>
        <w:tblW w:w="5000" w:type="pct"/>
        <w:tblLook w:val="04A0" w:firstRow="1" w:lastRow="0" w:firstColumn="1" w:lastColumn="0" w:noHBand="0" w:noVBand="1"/>
      </w:tblPr>
      <w:tblGrid>
        <w:gridCol w:w="2012"/>
        <w:gridCol w:w="7004"/>
      </w:tblGrid>
      <w:tr w:rsidR="00B80B9A" w:rsidRPr="002F020F" w14:paraId="25BEEFFE" w14:textId="77777777" w:rsidTr="004F2F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65EDBF37" w14:textId="77777777" w:rsidR="00B80B9A" w:rsidRPr="002F020F" w:rsidRDefault="00B80B9A" w:rsidP="004361E5">
            <w:r w:rsidRPr="002F020F">
              <w:t>Citation</w:t>
            </w:r>
          </w:p>
        </w:tc>
        <w:tc>
          <w:tcPr>
            <w:tcW w:w="3884" w:type="pct"/>
          </w:tcPr>
          <w:p w14:paraId="6CCD944B" w14:textId="77777777" w:rsidR="00B80B9A" w:rsidRPr="00911AB5" w:rsidRDefault="00B80B9A" w:rsidP="004361E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rPr>
            </w:pPr>
            <w:r w:rsidRPr="00911AB5">
              <w:rPr>
                <w:rFonts w:cstheme="minorHAnsi"/>
                <w:szCs w:val="20"/>
              </w:rPr>
              <w:t>Meneses-Gaya et al. (2021)</w:t>
            </w:r>
          </w:p>
        </w:tc>
      </w:tr>
      <w:tr w:rsidR="00B80B9A" w:rsidRPr="002F020F" w14:paraId="3DEAEF62"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2909A8BC" w14:textId="77777777" w:rsidR="00B80B9A" w:rsidRPr="002F020F" w:rsidRDefault="00B80B9A" w:rsidP="004361E5">
            <w:r w:rsidRPr="002F020F">
              <w:t>Study Design</w:t>
            </w:r>
          </w:p>
        </w:tc>
        <w:tc>
          <w:tcPr>
            <w:tcW w:w="3884" w:type="pct"/>
          </w:tcPr>
          <w:p w14:paraId="729AF662" w14:textId="77777777" w:rsidR="00B80B9A" w:rsidRPr="00EA2C4B" w:rsidRDefault="00B80B9A" w:rsidP="00B80B9A">
            <w:pPr>
              <w:pStyle w:val="ListParagraph"/>
              <w:numPr>
                <w:ilvl w:val="0"/>
                <w:numId w:val="9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Pr>
                <w:rFonts w:cstheme="minorHAnsi"/>
                <w:szCs w:val="20"/>
              </w:rPr>
              <w:t>D</w:t>
            </w:r>
            <w:r w:rsidRPr="00192E5D">
              <w:rPr>
                <w:rFonts w:cstheme="minorHAnsi"/>
                <w:szCs w:val="20"/>
              </w:rPr>
              <w:t xml:space="preserve">ouble-blind, randomised, </w:t>
            </w:r>
            <w:r>
              <w:rPr>
                <w:rFonts w:cstheme="minorHAnsi"/>
                <w:szCs w:val="20"/>
              </w:rPr>
              <w:t>placebo-controlled, trial.</w:t>
            </w:r>
          </w:p>
        </w:tc>
      </w:tr>
      <w:tr w:rsidR="00B80B9A" w:rsidRPr="002F020F" w14:paraId="32949FF1"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78EE5E16" w14:textId="77777777" w:rsidR="00B80B9A" w:rsidRPr="002F020F" w:rsidRDefault="00B80B9A" w:rsidP="004361E5">
            <w:r w:rsidRPr="002F020F">
              <w:t>Sample Size</w:t>
            </w:r>
          </w:p>
        </w:tc>
        <w:tc>
          <w:tcPr>
            <w:tcW w:w="3884" w:type="pct"/>
          </w:tcPr>
          <w:p w14:paraId="6B9C69E0" w14:textId="77777777" w:rsidR="00B80B9A"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Pr>
                <w:szCs w:val="20"/>
              </w:rPr>
              <w:t>31 participants (intention-to-treat sample).</w:t>
            </w:r>
          </w:p>
          <w:p w14:paraId="5E330B27" w14:textId="77777777" w:rsidR="00D200F4" w:rsidRPr="00D200F4" w:rsidRDefault="00D200F4" w:rsidP="00B80B9A">
            <w:pPr>
              <w:pStyle w:val="ListParagraph"/>
              <w:numPr>
                <w:ilvl w:val="0"/>
                <w:numId w:val="93"/>
              </w:numPr>
              <w:spacing w:after="120"/>
              <w:cnfStyle w:val="000000000000" w:firstRow="0" w:lastRow="0" w:firstColumn="0" w:lastColumn="0" w:oddVBand="0" w:evenVBand="0" w:oddHBand="0" w:evenHBand="0" w:firstRowFirstColumn="0" w:firstRowLastColumn="0" w:lastRowFirstColumn="0" w:lastRowLastColumn="0"/>
              <w:rPr>
                <w:szCs w:val="20"/>
              </w:rPr>
            </w:pPr>
            <w:r>
              <w:rPr>
                <w:color w:val="000000" w:themeColor="text1"/>
              </w:rPr>
              <w:t xml:space="preserve">6 participants dropped out of the study and left the </w:t>
            </w:r>
            <w:r>
              <w:t>specialis</w:t>
            </w:r>
            <w:r w:rsidRPr="34A993A7">
              <w:t>ed therapeutic community unit</w:t>
            </w:r>
            <w:r>
              <w:t>.</w:t>
            </w:r>
          </w:p>
          <w:p w14:paraId="6A96A830" w14:textId="40B7EEA1" w:rsidR="00B80B9A" w:rsidRPr="0023155A" w:rsidRDefault="00B80B9A" w:rsidP="00B80B9A">
            <w:pPr>
              <w:pStyle w:val="ListParagraph"/>
              <w:numPr>
                <w:ilvl w:val="0"/>
                <w:numId w:val="93"/>
              </w:numPr>
              <w:spacing w:after="120"/>
              <w:cnfStyle w:val="000000000000" w:firstRow="0" w:lastRow="0" w:firstColumn="0" w:lastColumn="0" w:oddVBand="0" w:evenVBand="0" w:oddHBand="0" w:evenHBand="0" w:firstRowFirstColumn="0" w:firstRowLastColumn="0" w:lastRowFirstColumn="0" w:lastRowLastColumn="0"/>
              <w:rPr>
                <w:szCs w:val="20"/>
              </w:rPr>
            </w:pPr>
            <w:r>
              <w:rPr>
                <w:szCs w:val="20"/>
              </w:rPr>
              <w:t>CBD group</w:t>
            </w:r>
            <w:r w:rsidRPr="0023155A">
              <w:rPr>
                <w:szCs w:val="20"/>
              </w:rPr>
              <w:t xml:space="preserve">: </w:t>
            </w:r>
            <w:r>
              <w:rPr>
                <w:szCs w:val="20"/>
              </w:rPr>
              <w:t xml:space="preserve">14 participants randomised; 3 </w:t>
            </w:r>
            <w:r w:rsidRPr="0023155A">
              <w:rPr>
                <w:szCs w:val="20"/>
              </w:rPr>
              <w:t xml:space="preserve">participants </w:t>
            </w:r>
            <w:r>
              <w:rPr>
                <w:szCs w:val="20"/>
              </w:rPr>
              <w:t>did not complete the</w:t>
            </w:r>
            <w:r w:rsidRPr="0023155A">
              <w:rPr>
                <w:szCs w:val="20"/>
              </w:rPr>
              <w:t xml:space="preserve"> </w:t>
            </w:r>
            <w:r>
              <w:rPr>
                <w:szCs w:val="20"/>
              </w:rPr>
              <w:t>10</w:t>
            </w:r>
            <w:r w:rsidRPr="0023155A">
              <w:rPr>
                <w:szCs w:val="20"/>
              </w:rPr>
              <w:t>-</w:t>
            </w:r>
            <w:r>
              <w:rPr>
                <w:szCs w:val="20"/>
              </w:rPr>
              <w:t>day</w:t>
            </w:r>
            <w:r w:rsidRPr="0023155A">
              <w:rPr>
                <w:szCs w:val="20"/>
              </w:rPr>
              <w:t xml:space="preserve"> trial protocol.</w:t>
            </w:r>
          </w:p>
          <w:p w14:paraId="30BF3658" w14:textId="77777777" w:rsidR="00B80B9A" w:rsidRPr="00125963"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sidRPr="0023155A">
              <w:rPr>
                <w:szCs w:val="20"/>
              </w:rPr>
              <w:t xml:space="preserve">Placebo group: </w:t>
            </w:r>
            <w:r>
              <w:rPr>
                <w:szCs w:val="20"/>
              </w:rPr>
              <w:t xml:space="preserve">17 </w:t>
            </w:r>
            <w:r w:rsidRPr="0023155A">
              <w:rPr>
                <w:szCs w:val="20"/>
              </w:rPr>
              <w:t xml:space="preserve">participants </w:t>
            </w:r>
            <w:r>
              <w:rPr>
                <w:szCs w:val="20"/>
              </w:rPr>
              <w:t>randomised; 3 participants did not complete the 10</w:t>
            </w:r>
            <w:r w:rsidRPr="0023155A">
              <w:rPr>
                <w:szCs w:val="20"/>
              </w:rPr>
              <w:t>-</w:t>
            </w:r>
            <w:r>
              <w:rPr>
                <w:szCs w:val="20"/>
              </w:rPr>
              <w:t>day</w:t>
            </w:r>
            <w:r w:rsidRPr="0023155A">
              <w:rPr>
                <w:szCs w:val="20"/>
              </w:rPr>
              <w:t xml:space="preserve"> trial protocol.</w:t>
            </w:r>
          </w:p>
        </w:tc>
      </w:tr>
      <w:tr w:rsidR="00B80B9A" w:rsidRPr="002F020F" w14:paraId="14FBB4D7"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0AC8AF74" w14:textId="77777777" w:rsidR="00B80B9A" w:rsidRPr="0094024F" w:rsidRDefault="00B80B9A" w:rsidP="004361E5">
            <w:pPr>
              <w:rPr>
                <w:b w:val="0"/>
                <w:bCs w:val="0"/>
              </w:rPr>
            </w:pPr>
            <w:r w:rsidRPr="002F020F">
              <w:t>Population</w:t>
            </w:r>
          </w:p>
        </w:tc>
        <w:tc>
          <w:tcPr>
            <w:tcW w:w="3884" w:type="pct"/>
          </w:tcPr>
          <w:p w14:paraId="4FFFB2E2" w14:textId="77777777" w:rsidR="00B80B9A" w:rsidRPr="00D601AF"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601AF">
              <w:rPr>
                <w:rFonts w:cstheme="minorHAnsi"/>
                <w:color w:val="000000"/>
                <w:szCs w:val="20"/>
              </w:rPr>
              <w:t>Brazil</w:t>
            </w:r>
            <w:r>
              <w:rPr>
                <w:rFonts w:cstheme="minorHAnsi"/>
                <w:color w:val="000000"/>
                <w:szCs w:val="20"/>
              </w:rPr>
              <w:t>.</w:t>
            </w:r>
          </w:p>
          <w:p w14:paraId="1F7E555B" w14:textId="77777777" w:rsidR="00B80B9A"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601AF">
              <w:rPr>
                <w:rFonts w:cstheme="minorHAnsi"/>
                <w:color w:val="000000"/>
                <w:szCs w:val="20"/>
              </w:rPr>
              <w:t>Crack-cocaine dependence (DSM-IV criteria)</w:t>
            </w:r>
            <w:r>
              <w:rPr>
                <w:rFonts w:cstheme="minorHAnsi"/>
                <w:color w:val="000000"/>
                <w:szCs w:val="20"/>
              </w:rPr>
              <w:t>.</w:t>
            </w:r>
          </w:p>
          <w:p w14:paraId="4C9D41F3" w14:textId="77777777" w:rsidR="00B80B9A" w:rsidRPr="00D601AF"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T</w:t>
            </w:r>
            <w:r w:rsidRPr="00D601AF">
              <w:rPr>
                <w:rFonts w:cstheme="minorHAnsi"/>
                <w:color w:val="000000"/>
                <w:szCs w:val="20"/>
              </w:rPr>
              <w:t>reatment</w:t>
            </w:r>
            <w:r>
              <w:rPr>
                <w:rFonts w:cstheme="minorHAnsi"/>
                <w:color w:val="000000"/>
                <w:szCs w:val="20"/>
              </w:rPr>
              <w:t xml:space="preserve"> </w:t>
            </w:r>
            <w:r w:rsidRPr="00D601AF">
              <w:rPr>
                <w:rFonts w:cstheme="minorHAnsi"/>
                <w:color w:val="000000"/>
                <w:szCs w:val="20"/>
              </w:rPr>
              <w:t>seeking.</w:t>
            </w:r>
          </w:p>
          <w:p w14:paraId="47F7E277" w14:textId="77777777" w:rsidR="00B80B9A" w:rsidRPr="00D601AF"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601AF">
              <w:rPr>
                <w:rFonts w:cstheme="minorHAnsi"/>
                <w:color w:val="000000"/>
                <w:szCs w:val="20"/>
              </w:rPr>
              <w:t xml:space="preserve">100% male. </w:t>
            </w:r>
          </w:p>
          <w:p w14:paraId="0BB7CB3F" w14:textId="77777777" w:rsidR="00B80B9A" w:rsidRPr="00D601AF"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D601AF">
              <w:rPr>
                <w:rFonts w:cstheme="minorHAnsi"/>
                <w:color w:val="000000"/>
                <w:szCs w:val="20"/>
              </w:rPr>
              <w:t xml:space="preserve">I [CBD]: </w:t>
            </w:r>
            <w:r>
              <w:rPr>
                <w:rFonts w:cstheme="minorHAnsi"/>
                <w:color w:val="000000"/>
                <w:szCs w:val="20"/>
              </w:rPr>
              <w:t xml:space="preserve">M = </w:t>
            </w:r>
            <w:r w:rsidRPr="00D601AF">
              <w:rPr>
                <w:rFonts w:cstheme="minorHAnsi"/>
                <w:color w:val="000000"/>
                <w:szCs w:val="20"/>
              </w:rPr>
              <w:t>32.5 years (</w:t>
            </w:r>
            <w:r>
              <w:rPr>
                <w:rFonts w:cstheme="minorHAnsi"/>
                <w:color w:val="000000"/>
                <w:szCs w:val="20"/>
              </w:rPr>
              <w:t xml:space="preserve">SD = </w:t>
            </w:r>
            <w:r w:rsidRPr="00D601AF">
              <w:rPr>
                <w:rFonts w:cstheme="minorHAnsi"/>
                <w:color w:val="000000"/>
                <w:szCs w:val="20"/>
              </w:rPr>
              <w:t>6.9).</w:t>
            </w:r>
          </w:p>
          <w:p w14:paraId="24FCE576" w14:textId="77777777" w:rsidR="00B80B9A" w:rsidRPr="002F020F" w:rsidRDefault="00B80B9A" w:rsidP="00B80B9A">
            <w:pPr>
              <w:pStyle w:val="ListParagraph"/>
              <w:numPr>
                <w:ilvl w:val="0"/>
                <w:numId w:val="94"/>
              </w:numPr>
              <w:spacing w:after="120"/>
              <w:cnfStyle w:val="000000100000" w:firstRow="0" w:lastRow="0" w:firstColumn="0" w:lastColumn="0" w:oddVBand="0" w:evenVBand="0" w:oddHBand="1" w:evenHBand="0" w:firstRowFirstColumn="0" w:firstRowLastColumn="0" w:lastRowFirstColumn="0" w:lastRowLastColumn="0"/>
            </w:pPr>
            <w:r>
              <w:rPr>
                <w:rFonts w:cstheme="minorHAnsi"/>
                <w:color w:val="000000"/>
                <w:szCs w:val="20"/>
              </w:rPr>
              <w:t>C [placebo]: M = 33.2 years (SD = 6.9).</w:t>
            </w:r>
          </w:p>
        </w:tc>
      </w:tr>
      <w:tr w:rsidR="00B80B9A" w:rsidRPr="002F020F" w14:paraId="360F70E2"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17554ED6" w14:textId="77777777" w:rsidR="00B80B9A" w:rsidRPr="002F020F" w:rsidRDefault="00B80B9A" w:rsidP="004361E5">
            <w:pPr>
              <w:rPr>
                <w:b w:val="0"/>
                <w:bCs w:val="0"/>
              </w:rPr>
            </w:pPr>
            <w:r w:rsidRPr="002F020F">
              <w:t xml:space="preserve">Intervention/s (I) and </w:t>
            </w:r>
          </w:p>
          <w:p w14:paraId="3EBE1A18" w14:textId="77777777" w:rsidR="00B80B9A" w:rsidRPr="002F020F" w:rsidRDefault="00B80B9A" w:rsidP="004361E5">
            <w:r w:rsidRPr="002F020F">
              <w:t xml:space="preserve">Comparator/s (C) </w:t>
            </w:r>
          </w:p>
        </w:tc>
        <w:tc>
          <w:tcPr>
            <w:tcW w:w="3884" w:type="pct"/>
          </w:tcPr>
          <w:p w14:paraId="1DFBE6F5" w14:textId="77777777" w:rsidR="00B80B9A" w:rsidRPr="00EA2C4B" w:rsidRDefault="00B80B9A" w:rsidP="00B80B9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Pr>
                <w:rFonts w:cstheme="minorHAnsi"/>
                <w:color w:val="000000"/>
                <w:szCs w:val="20"/>
              </w:rPr>
              <w:t>All participants received two (150 mg) oral capsules per day and were offered weekly group psychotherapy.</w:t>
            </w:r>
          </w:p>
          <w:p w14:paraId="63D80F7B" w14:textId="77777777" w:rsidR="00B80B9A" w:rsidRPr="00EA2C4B" w:rsidRDefault="00B80B9A" w:rsidP="00B80B9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EA2C4B">
              <w:rPr>
                <w:rFonts w:cstheme="minorHAnsi"/>
                <w:color w:val="000000"/>
                <w:szCs w:val="20"/>
              </w:rPr>
              <w:t xml:space="preserve">I (n = 14): </w:t>
            </w:r>
            <w:r>
              <w:rPr>
                <w:rFonts w:cstheme="minorHAnsi"/>
                <w:color w:val="000000"/>
                <w:szCs w:val="20"/>
              </w:rPr>
              <w:t xml:space="preserve">300 mg </w:t>
            </w:r>
            <w:r w:rsidRPr="00EA2C4B">
              <w:rPr>
                <w:rFonts w:cstheme="minorHAnsi"/>
                <w:color w:val="000000"/>
                <w:szCs w:val="20"/>
              </w:rPr>
              <w:t>CBD (99.9% pure CBD powder).</w:t>
            </w:r>
          </w:p>
          <w:p w14:paraId="72D6D0A6" w14:textId="77777777" w:rsidR="00B80B9A" w:rsidRPr="002F020F" w:rsidRDefault="00B80B9A" w:rsidP="00B80B9A">
            <w:pPr>
              <w:pStyle w:val="ListParagraph"/>
              <w:numPr>
                <w:ilvl w:val="0"/>
                <w:numId w:val="95"/>
              </w:numPr>
              <w:spacing w:after="120"/>
              <w:cnfStyle w:val="000000000000" w:firstRow="0" w:lastRow="0" w:firstColumn="0" w:lastColumn="0" w:oddVBand="0" w:evenVBand="0" w:oddHBand="0" w:evenHBand="0" w:firstRowFirstColumn="0" w:firstRowLastColumn="0" w:lastRowFirstColumn="0" w:lastRowLastColumn="0"/>
            </w:pPr>
            <w:r w:rsidRPr="006E2808">
              <w:rPr>
                <w:rFonts w:cstheme="minorHAnsi"/>
                <w:color w:val="000000"/>
                <w:szCs w:val="20"/>
              </w:rPr>
              <w:t>C</w:t>
            </w:r>
            <w:r>
              <w:rPr>
                <w:rFonts w:cstheme="minorHAnsi"/>
                <w:color w:val="000000"/>
                <w:szCs w:val="20"/>
              </w:rPr>
              <w:t xml:space="preserve"> (n = 17)</w:t>
            </w:r>
            <w:r w:rsidRPr="006E2808">
              <w:rPr>
                <w:rFonts w:cstheme="minorHAnsi"/>
                <w:color w:val="000000"/>
                <w:szCs w:val="20"/>
              </w:rPr>
              <w:t xml:space="preserve">: </w:t>
            </w:r>
            <w:r>
              <w:rPr>
                <w:rFonts w:cstheme="minorHAnsi"/>
                <w:color w:val="000000"/>
                <w:szCs w:val="20"/>
              </w:rPr>
              <w:t>p</w:t>
            </w:r>
            <w:r w:rsidRPr="006E2808">
              <w:rPr>
                <w:rFonts w:cstheme="minorHAnsi"/>
                <w:color w:val="000000"/>
                <w:szCs w:val="20"/>
              </w:rPr>
              <w:t>lacebo</w:t>
            </w:r>
            <w:r>
              <w:rPr>
                <w:rFonts w:cstheme="minorHAnsi"/>
                <w:color w:val="000000"/>
                <w:szCs w:val="20"/>
              </w:rPr>
              <w:t xml:space="preserve"> (corn oil).</w:t>
            </w:r>
            <w:r w:rsidRPr="006E2808">
              <w:rPr>
                <w:rFonts w:cstheme="minorHAnsi"/>
                <w:color w:val="000000"/>
                <w:szCs w:val="20"/>
              </w:rPr>
              <w:t xml:space="preserve"> </w:t>
            </w:r>
          </w:p>
        </w:tc>
      </w:tr>
      <w:tr w:rsidR="00B80B9A" w:rsidRPr="002F020F" w14:paraId="580BC2ED"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096A5C41" w14:textId="77777777" w:rsidR="00B80B9A" w:rsidRPr="002F020F" w:rsidRDefault="00B80B9A" w:rsidP="004361E5">
            <w:r w:rsidRPr="002F020F">
              <w:t>Outcome Measure/s</w:t>
            </w:r>
          </w:p>
        </w:tc>
        <w:tc>
          <w:tcPr>
            <w:tcW w:w="3884" w:type="pct"/>
          </w:tcPr>
          <w:p w14:paraId="5061EE66" w14:textId="77777777" w:rsidR="00B80B9A" w:rsidRPr="00C7429C" w:rsidRDefault="00B80B9A" w:rsidP="004361E5">
            <w:pPr>
              <w:spacing w:after="0"/>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C7429C">
              <w:rPr>
                <w:rFonts w:cstheme="minorHAnsi"/>
                <w:bCs/>
                <w:color w:val="000000"/>
                <w:szCs w:val="20"/>
              </w:rPr>
              <w:t>Primary</w:t>
            </w:r>
            <w:r>
              <w:rPr>
                <w:rFonts w:cstheme="minorHAnsi"/>
                <w:bCs/>
                <w:color w:val="000000"/>
                <w:szCs w:val="20"/>
              </w:rPr>
              <w:t>: Crack cocaine craving</w:t>
            </w:r>
          </w:p>
          <w:p w14:paraId="58038F27" w14:textId="77777777" w:rsidR="00B80B9A" w:rsidRDefault="00B80B9A" w:rsidP="00B80B9A">
            <w:pPr>
              <w:pStyle w:val="ListParagraph"/>
              <w:numPr>
                <w:ilvl w:val="0"/>
                <w:numId w:val="64"/>
              </w:numPr>
              <w:ind w:left="357"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8169F">
              <w:rPr>
                <w:rFonts w:cstheme="minorHAnsi"/>
                <w:color w:val="000000"/>
                <w:szCs w:val="20"/>
              </w:rPr>
              <w:t>Cocaine Craving Questionnaire – Brief (CCQ-Brief)</w:t>
            </w:r>
            <w:r>
              <w:rPr>
                <w:rFonts w:cstheme="minorHAnsi"/>
                <w:color w:val="000000"/>
                <w:szCs w:val="20"/>
              </w:rPr>
              <w:t>.</w:t>
            </w:r>
          </w:p>
          <w:p w14:paraId="1B97ABAE" w14:textId="77777777" w:rsidR="00B80B9A" w:rsidRPr="007767E4" w:rsidRDefault="00B80B9A" w:rsidP="00B80B9A">
            <w:pPr>
              <w:pStyle w:val="ListParagraph"/>
              <w:numPr>
                <w:ilvl w:val="0"/>
                <w:numId w:val="64"/>
              </w:numPr>
              <w:ind w:left="357"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8169F">
              <w:rPr>
                <w:rFonts w:cstheme="minorHAnsi"/>
                <w:color w:val="000000"/>
                <w:szCs w:val="20"/>
              </w:rPr>
              <w:t>Minnesota Cocaine Craving Scale (MCCS)</w:t>
            </w:r>
            <w:r>
              <w:rPr>
                <w:rFonts w:cstheme="minorHAnsi"/>
                <w:color w:val="000000"/>
                <w:szCs w:val="20"/>
              </w:rPr>
              <w:t>.</w:t>
            </w:r>
          </w:p>
          <w:p w14:paraId="24A1E3E4" w14:textId="77777777" w:rsidR="00B80B9A" w:rsidRPr="00C7429C" w:rsidRDefault="00B80B9A" w:rsidP="004361E5">
            <w:pPr>
              <w:spacing w:after="0"/>
              <w:contextualSpacing/>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C7429C">
              <w:rPr>
                <w:rFonts w:cstheme="minorHAnsi"/>
                <w:bCs/>
                <w:color w:val="000000"/>
                <w:szCs w:val="20"/>
              </w:rPr>
              <w:t>Secondary</w:t>
            </w:r>
            <w:r>
              <w:rPr>
                <w:rFonts w:cstheme="minorHAnsi"/>
                <w:bCs/>
                <w:color w:val="000000"/>
                <w:szCs w:val="20"/>
              </w:rPr>
              <w:t>:</w:t>
            </w:r>
          </w:p>
          <w:p w14:paraId="71B065B6" w14:textId="77777777" w:rsidR="00B80B9A" w:rsidRPr="00E8169F" w:rsidRDefault="00B80B9A" w:rsidP="00B80B9A">
            <w:pPr>
              <w:pStyle w:val="ListParagraph"/>
              <w:numPr>
                <w:ilvl w:val="0"/>
                <w:numId w:val="64"/>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8169F">
              <w:rPr>
                <w:rFonts w:cstheme="minorHAnsi"/>
                <w:color w:val="000000"/>
                <w:szCs w:val="20"/>
              </w:rPr>
              <w:t>Alcohol, Smoking, and Substance Involvement Screening Test (ASSIST)</w:t>
            </w:r>
            <w:r>
              <w:rPr>
                <w:rFonts w:cstheme="minorHAnsi"/>
                <w:color w:val="000000"/>
                <w:szCs w:val="20"/>
              </w:rPr>
              <w:t>.</w:t>
            </w:r>
          </w:p>
          <w:p w14:paraId="173AE6B0" w14:textId="77777777" w:rsidR="00B80B9A" w:rsidRPr="00E8169F" w:rsidRDefault="00B80B9A" w:rsidP="00B80B9A">
            <w:pPr>
              <w:pStyle w:val="ListParagraph"/>
              <w:numPr>
                <w:ilvl w:val="0"/>
                <w:numId w:val="64"/>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8169F">
              <w:rPr>
                <w:rFonts w:cstheme="minorHAnsi"/>
                <w:color w:val="000000"/>
                <w:szCs w:val="20"/>
              </w:rPr>
              <w:t>Beck Depression Inventory (BDI)</w:t>
            </w:r>
            <w:r>
              <w:rPr>
                <w:rFonts w:cstheme="minorHAnsi"/>
                <w:color w:val="000000"/>
                <w:szCs w:val="20"/>
              </w:rPr>
              <w:t>.</w:t>
            </w:r>
          </w:p>
          <w:p w14:paraId="49B0B33F" w14:textId="77777777" w:rsidR="00B80B9A" w:rsidRPr="00E8169F" w:rsidRDefault="00B80B9A" w:rsidP="00B80B9A">
            <w:pPr>
              <w:pStyle w:val="ListParagraph"/>
              <w:numPr>
                <w:ilvl w:val="0"/>
                <w:numId w:val="64"/>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8169F">
              <w:rPr>
                <w:rFonts w:cstheme="minorHAnsi"/>
                <w:color w:val="000000"/>
                <w:szCs w:val="20"/>
              </w:rPr>
              <w:t>Beck Anxiety Inventory (BAI)</w:t>
            </w:r>
            <w:r>
              <w:rPr>
                <w:rFonts w:cstheme="minorHAnsi"/>
                <w:color w:val="000000"/>
                <w:szCs w:val="20"/>
              </w:rPr>
              <w:t>.</w:t>
            </w:r>
          </w:p>
          <w:p w14:paraId="1AD95267" w14:textId="2E30772D" w:rsidR="00B80B9A" w:rsidRPr="003C2E69" w:rsidRDefault="00B80B9A" w:rsidP="00B80B9A">
            <w:pPr>
              <w:pStyle w:val="ListParagraph"/>
              <w:numPr>
                <w:ilvl w:val="0"/>
                <w:numId w:val="89"/>
              </w:numPr>
              <w:spacing w:after="120"/>
              <w:cnfStyle w:val="000000100000" w:firstRow="0" w:lastRow="0" w:firstColumn="0" w:lastColumn="0" w:oddVBand="0" w:evenVBand="0" w:oddHBand="1" w:evenHBand="0" w:firstRowFirstColumn="0" w:firstRowLastColumn="0" w:lastRowFirstColumn="0" w:lastRowLastColumn="0"/>
            </w:pPr>
            <w:r w:rsidRPr="00E8169F">
              <w:rPr>
                <w:rFonts w:cstheme="minorHAnsi"/>
                <w:color w:val="000000"/>
                <w:szCs w:val="20"/>
              </w:rPr>
              <w:t>Visual Analog</w:t>
            </w:r>
            <w:r>
              <w:rPr>
                <w:rFonts w:cstheme="minorHAnsi"/>
                <w:color w:val="000000"/>
                <w:szCs w:val="20"/>
              </w:rPr>
              <w:t xml:space="preserve"> Sleep</w:t>
            </w:r>
            <w:r w:rsidRPr="00E8169F">
              <w:rPr>
                <w:rFonts w:cstheme="minorHAnsi"/>
                <w:color w:val="000000"/>
                <w:szCs w:val="20"/>
              </w:rPr>
              <w:t xml:space="preserve"> Scales</w:t>
            </w:r>
            <w:r>
              <w:rPr>
                <w:rFonts w:cstheme="minorHAnsi"/>
                <w:color w:val="000000"/>
                <w:szCs w:val="20"/>
              </w:rPr>
              <w:t xml:space="preserve">: </w:t>
            </w:r>
            <w:r>
              <w:rPr>
                <w:rFonts w:ascii="Calibri" w:hAnsi="Calibri" w:cs="Calibri"/>
                <w:color w:val="000000"/>
                <w:szCs w:val="20"/>
              </w:rPr>
              <w:t>sleep disturbance; sleep effectiveness; and sleep supplementation</w:t>
            </w:r>
            <w:r>
              <w:rPr>
                <w:rFonts w:cstheme="minorHAnsi"/>
                <w:color w:val="000000"/>
                <w:szCs w:val="20"/>
              </w:rPr>
              <w:t>.</w:t>
            </w:r>
          </w:p>
          <w:p w14:paraId="1E3AFD15" w14:textId="77777777" w:rsidR="00B80B9A" w:rsidRPr="002F020F" w:rsidRDefault="00B80B9A" w:rsidP="00B80B9A">
            <w:pPr>
              <w:pStyle w:val="ListParagraph"/>
              <w:numPr>
                <w:ilvl w:val="0"/>
                <w:numId w:val="89"/>
              </w:numPr>
              <w:spacing w:after="120"/>
              <w:cnfStyle w:val="000000100000" w:firstRow="0" w:lastRow="0" w:firstColumn="0" w:lastColumn="0" w:oddVBand="0" w:evenVBand="0" w:oddHBand="1" w:evenHBand="0" w:firstRowFirstColumn="0" w:firstRowLastColumn="0" w:lastRowFirstColumn="0" w:lastRowLastColumn="0"/>
            </w:pPr>
            <w:r w:rsidRPr="00FD4D69">
              <w:t>UKU Side Effects Rating Scale (UKU-SERS)</w:t>
            </w:r>
            <w:r>
              <w:t>.</w:t>
            </w:r>
          </w:p>
        </w:tc>
      </w:tr>
      <w:tr w:rsidR="00B80B9A" w:rsidRPr="002F020F" w14:paraId="05977F42"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5641F60F" w14:textId="77777777" w:rsidR="00B80B9A" w:rsidRPr="002F020F" w:rsidRDefault="00B80B9A" w:rsidP="004361E5">
            <w:r w:rsidRPr="002F020F">
              <w:t>General</w:t>
            </w:r>
          </w:p>
        </w:tc>
        <w:tc>
          <w:tcPr>
            <w:tcW w:w="3884" w:type="pct"/>
          </w:tcPr>
          <w:p w14:paraId="3B896FDF" w14:textId="77777777" w:rsidR="00B80B9A" w:rsidRPr="000435B0" w:rsidRDefault="00B80B9A" w:rsidP="00B80B9A">
            <w:pPr>
              <w:numPr>
                <w:ilvl w:val="0"/>
                <w:numId w:val="88"/>
              </w:numPr>
              <w:ind w:left="357" w:hanging="357"/>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0435B0">
              <w:rPr>
                <w:rFonts w:cstheme="minorHAnsi"/>
                <w:color w:val="000000"/>
                <w:szCs w:val="20"/>
              </w:rPr>
              <w:t>The trial site was a therapeutic community unit specialising in the treatment of substance-related disorders</w:t>
            </w:r>
            <w:r>
              <w:rPr>
                <w:rFonts w:cstheme="minorHAnsi"/>
                <w:color w:val="000000"/>
                <w:szCs w:val="20"/>
              </w:rPr>
              <w:t xml:space="preserve">, which </w:t>
            </w:r>
            <w:r w:rsidRPr="000435B0">
              <w:rPr>
                <w:rFonts w:cstheme="minorHAnsi"/>
                <w:color w:val="000000"/>
                <w:szCs w:val="20"/>
              </w:rPr>
              <w:t>receives patient</w:t>
            </w:r>
            <w:r>
              <w:rPr>
                <w:rFonts w:cstheme="minorHAnsi"/>
                <w:color w:val="000000"/>
                <w:szCs w:val="20"/>
              </w:rPr>
              <w:t xml:space="preserve"> referrals</w:t>
            </w:r>
            <w:r w:rsidRPr="000435B0">
              <w:rPr>
                <w:rFonts w:cstheme="minorHAnsi"/>
                <w:color w:val="000000"/>
                <w:szCs w:val="20"/>
              </w:rPr>
              <w:t xml:space="preserve"> from the Brazilian public health system. </w:t>
            </w:r>
          </w:p>
          <w:p w14:paraId="2295905C" w14:textId="77777777" w:rsidR="00B80B9A" w:rsidRPr="00641ABF" w:rsidRDefault="00B80B9A" w:rsidP="00B80B9A">
            <w:pPr>
              <w:numPr>
                <w:ilvl w:val="0"/>
                <w:numId w:val="88"/>
              </w:numPr>
              <w:ind w:left="357" w:hanging="357"/>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0435B0">
              <w:rPr>
                <w:rFonts w:cstheme="minorHAnsi"/>
                <w:color w:val="000000"/>
                <w:szCs w:val="20"/>
              </w:rPr>
              <w:t xml:space="preserve">During the study, participants </w:t>
            </w:r>
            <w:r>
              <w:rPr>
                <w:rFonts w:cstheme="minorHAnsi"/>
                <w:color w:val="000000"/>
                <w:szCs w:val="20"/>
              </w:rPr>
              <w:t>were offered</w:t>
            </w:r>
            <w:r w:rsidRPr="000435B0">
              <w:rPr>
                <w:rFonts w:cstheme="minorHAnsi"/>
                <w:color w:val="000000"/>
                <w:szCs w:val="20"/>
              </w:rPr>
              <w:t xml:space="preserve"> </w:t>
            </w:r>
            <w:r>
              <w:rPr>
                <w:rFonts w:cstheme="minorHAnsi"/>
                <w:color w:val="000000"/>
                <w:szCs w:val="20"/>
              </w:rPr>
              <w:t xml:space="preserve">weekly </w:t>
            </w:r>
            <w:r w:rsidRPr="000435B0">
              <w:rPr>
                <w:rFonts w:cstheme="minorHAnsi"/>
                <w:color w:val="000000"/>
                <w:szCs w:val="20"/>
              </w:rPr>
              <w:t>group psychotherapy as the standard psychosocial intervention provided by the institution.</w:t>
            </w:r>
          </w:p>
          <w:p w14:paraId="5ECFE4CC" w14:textId="77777777" w:rsidR="00B80B9A"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szCs w:val="20"/>
              </w:rPr>
            </w:pPr>
            <w:r w:rsidRPr="00641ABF">
              <w:rPr>
                <w:rFonts w:cstheme="minorHAnsi"/>
                <w:bCs/>
                <w:color w:val="000000"/>
                <w:szCs w:val="20"/>
              </w:rPr>
              <w:t>For the craving induction procedure, participants were shown a (3-minute) video with "places (areas of drug use known by users), scenes of real crack use, and objects related to crack use (crack rocks, handling of the drug, preparation of the pipe, other instruments involved in the use of crack-cocaine)" (p. 469).</w:t>
            </w:r>
          </w:p>
          <w:p w14:paraId="68895BF8" w14:textId="604541F8" w:rsidR="00B80B9A"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szCs w:val="20"/>
              </w:rPr>
            </w:pPr>
            <w:r w:rsidRPr="00AD40C1">
              <w:rPr>
                <w:rFonts w:cstheme="minorHAnsi"/>
                <w:bCs/>
                <w:color w:val="000000"/>
                <w:szCs w:val="20"/>
              </w:rPr>
              <w:t>The study employed a</w:t>
            </w:r>
            <w:r w:rsidR="00425DE1">
              <w:rPr>
                <w:rFonts w:cstheme="minorHAnsi"/>
                <w:bCs/>
                <w:color w:val="000000"/>
                <w:szCs w:val="20"/>
              </w:rPr>
              <w:t xml:space="preserve"> modified</w:t>
            </w:r>
            <w:r w:rsidRPr="00AD40C1">
              <w:rPr>
                <w:rFonts w:cstheme="minorHAnsi"/>
                <w:bCs/>
                <w:color w:val="000000"/>
                <w:szCs w:val="20"/>
              </w:rPr>
              <w:t xml:space="preserve"> intention-to-treat </w:t>
            </w:r>
            <w:r>
              <w:rPr>
                <w:rFonts w:cstheme="minorHAnsi"/>
                <w:bCs/>
                <w:color w:val="000000"/>
                <w:szCs w:val="20"/>
              </w:rPr>
              <w:t>analysis</w:t>
            </w:r>
            <w:r w:rsidRPr="00AD40C1">
              <w:rPr>
                <w:rFonts w:cstheme="minorHAnsi"/>
                <w:bCs/>
                <w:color w:val="000000"/>
                <w:szCs w:val="20"/>
              </w:rPr>
              <w:t xml:space="preserve"> (defined as all participants with at least one post-baseline craving assessment)</w:t>
            </w:r>
            <w:r>
              <w:rPr>
                <w:rFonts w:cstheme="minorHAnsi"/>
                <w:bCs/>
                <w:color w:val="000000"/>
                <w:szCs w:val="20"/>
              </w:rPr>
              <w:t>.</w:t>
            </w:r>
          </w:p>
          <w:p w14:paraId="789A2E94" w14:textId="77777777" w:rsidR="00B80B9A" w:rsidRPr="00641ABF" w:rsidRDefault="00B80B9A" w:rsidP="00B80B9A">
            <w:pPr>
              <w:numPr>
                <w:ilvl w:val="0"/>
                <w:numId w:val="88"/>
              </w:numPr>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szCs w:val="20"/>
              </w:rPr>
            </w:pPr>
            <w:r>
              <w:rPr>
                <w:rFonts w:cstheme="minorHAnsi"/>
                <w:bCs/>
                <w:color w:val="000000"/>
                <w:szCs w:val="20"/>
              </w:rPr>
              <w:t>T</w:t>
            </w:r>
            <w:r w:rsidRPr="00AD40C1">
              <w:rPr>
                <w:rFonts w:cstheme="minorHAnsi"/>
                <w:bCs/>
                <w:color w:val="000000"/>
                <w:szCs w:val="20"/>
              </w:rPr>
              <w:t>he efficacy of the treatment (CBD vs. placebo) was tested using a mixed model repeated-measures analysis of variance (RMANOVA), which allows patients with incomplete data to be included, and utili</w:t>
            </w:r>
            <w:r>
              <w:rPr>
                <w:rFonts w:cstheme="minorHAnsi"/>
                <w:bCs/>
                <w:color w:val="000000"/>
                <w:szCs w:val="20"/>
              </w:rPr>
              <w:t>s</w:t>
            </w:r>
            <w:r w:rsidRPr="00AD40C1">
              <w:rPr>
                <w:rFonts w:cstheme="minorHAnsi"/>
                <w:bCs/>
                <w:color w:val="000000"/>
                <w:szCs w:val="20"/>
              </w:rPr>
              <w:t>es the data that is available for all pa</w:t>
            </w:r>
            <w:r>
              <w:rPr>
                <w:rFonts w:cstheme="minorHAnsi"/>
                <w:bCs/>
                <w:color w:val="000000"/>
                <w:szCs w:val="20"/>
              </w:rPr>
              <w:t>rticipants</w:t>
            </w:r>
            <w:r w:rsidRPr="00AD40C1">
              <w:rPr>
                <w:rFonts w:cstheme="minorHAnsi"/>
                <w:bCs/>
                <w:color w:val="000000"/>
                <w:szCs w:val="20"/>
              </w:rPr>
              <w:t>.</w:t>
            </w:r>
          </w:p>
          <w:p w14:paraId="4DF9DCC6" w14:textId="77777777" w:rsidR="00B80B9A" w:rsidRPr="009E7281" w:rsidRDefault="00B80B9A" w:rsidP="00B80B9A">
            <w:pPr>
              <w:numPr>
                <w:ilvl w:val="0"/>
                <w:numId w:val="88"/>
              </w:numPr>
              <w:ind w:left="357" w:hanging="357"/>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794E60">
              <w:rPr>
                <w:rFonts w:cstheme="minorHAnsi"/>
                <w:color w:val="000000"/>
                <w:szCs w:val="20"/>
              </w:rPr>
              <w:t xml:space="preserve">Period study was conducted: </w:t>
            </w:r>
            <w:r>
              <w:rPr>
                <w:rFonts w:cstheme="minorHAnsi"/>
                <w:color w:val="000000"/>
                <w:szCs w:val="20"/>
              </w:rPr>
              <w:t>not reported.</w:t>
            </w:r>
          </w:p>
        </w:tc>
      </w:tr>
      <w:tr w:rsidR="00B80B9A" w:rsidRPr="002F020F" w14:paraId="65FD5049"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FF9CCF6" w14:textId="77777777" w:rsidR="00B80B9A" w:rsidRPr="002F020F" w:rsidRDefault="00B80B9A" w:rsidP="004361E5">
            <w:r w:rsidRPr="002F020F">
              <w:t>Inclusion Criteria</w:t>
            </w:r>
          </w:p>
        </w:tc>
        <w:tc>
          <w:tcPr>
            <w:tcW w:w="3884" w:type="pct"/>
          </w:tcPr>
          <w:p w14:paraId="4D38C5DE" w14:textId="77777777" w:rsidR="00B80B9A" w:rsidRPr="004D1B19"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Pr>
                <w:rFonts w:cstheme="minorHAnsi"/>
                <w:color w:val="000000"/>
                <w:szCs w:val="20"/>
              </w:rPr>
              <w:t>18 years of age and older.</w:t>
            </w:r>
          </w:p>
          <w:p w14:paraId="160BC0F3" w14:textId="77777777" w:rsidR="00B80B9A" w:rsidRPr="00AE260E"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Pr>
                <w:rFonts w:cstheme="minorHAnsi"/>
                <w:color w:val="000000"/>
                <w:szCs w:val="20"/>
              </w:rPr>
              <w:t xml:space="preserve">DSM-IV diagnosis of crack-cocaine dependence as determined by the </w:t>
            </w:r>
            <w:r w:rsidRPr="00AE260E">
              <w:rPr>
                <w:rFonts w:cstheme="minorHAnsi"/>
                <w:color w:val="000000"/>
                <w:szCs w:val="20"/>
              </w:rPr>
              <w:t>Structured Clinical Interview for DSM</w:t>
            </w:r>
            <w:r>
              <w:rPr>
                <w:rFonts w:cstheme="minorHAnsi"/>
                <w:color w:val="000000"/>
                <w:szCs w:val="20"/>
              </w:rPr>
              <w:t>-</w:t>
            </w:r>
            <w:r w:rsidRPr="00AE260E">
              <w:rPr>
                <w:rFonts w:cstheme="minorHAnsi"/>
                <w:color w:val="000000"/>
                <w:szCs w:val="20"/>
              </w:rPr>
              <w:t>IV</w:t>
            </w:r>
            <w:r>
              <w:rPr>
                <w:rFonts w:cstheme="minorHAnsi"/>
                <w:color w:val="000000"/>
                <w:szCs w:val="20"/>
              </w:rPr>
              <w:t xml:space="preserve"> A</w:t>
            </w:r>
            <w:r w:rsidRPr="00AE260E">
              <w:rPr>
                <w:rFonts w:cstheme="minorHAnsi"/>
                <w:color w:val="000000"/>
                <w:szCs w:val="20"/>
              </w:rPr>
              <w:t>xis I Disorders (SCID-</w:t>
            </w:r>
            <w:r>
              <w:rPr>
                <w:rFonts w:cstheme="minorHAnsi"/>
                <w:color w:val="000000"/>
                <w:szCs w:val="20"/>
              </w:rPr>
              <w:t>I</w:t>
            </w:r>
            <w:r w:rsidRPr="00AE260E">
              <w:rPr>
                <w:rFonts w:cstheme="minorHAnsi"/>
                <w:color w:val="000000"/>
                <w:szCs w:val="20"/>
              </w:rPr>
              <w:t>)</w:t>
            </w:r>
            <w:r>
              <w:rPr>
                <w:rFonts w:cstheme="minorHAnsi"/>
                <w:color w:val="000000"/>
                <w:szCs w:val="20"/>
              </w:rPr>
              <w:t>.</w:t>
            </w:r>
          </w:p>
          <w:p w14:paraId="5BF5E1F3" w14:textId="77777777" w:rsidR="00B80B9A" w:rsidRPr="007E397B" w:rsidRDefault="00B80B9A" w:rsidP="00B80B9A">
            <w:pPr>
              <w:numPr>
                <w:ilvl w:val="0"/>
                <w:numId w:val="90"/>
              </w:numPr>
              <w:contextualSpacing/>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sidRPr="007E397B">
              <w:rPr>
                <w:rFonts w:cstheme="minorHAnsi"/>
                <w:color w:val="000000"/>
                <w:szCs w:val="20"/>
              </w:rPr>
              <w:t>Abstinence for a maximum of 30 days (ranging from 8 to</w:t>
            </w:r>
            <w:r>
              <w:rPr>
                <w:rFonts w:cstheme="minorHAnsi"/>
                <w:color w:val="000000"/>
                <w:szCs w:val="20"/>
              </w:rPr>
              <w:t xml:space="preserve"> </w:t>
            </w:r>
            <w:r w:rsidRPr="007E397B">
              <w:rPr>
                <w:rFonts w:cstheme="minorHAnsi"/>
                <w:color w:val="000000"/>
                <w:szCs w:val="20"/>
              </w:rPr>
              <w:t>30 days)</w:t>
            </w:r>
            <w:r>
              <w:rPr>
                <w:rFonts w:cstheme="minorHAnsi"/>
                <w:color w:val="000000"/>
                <w:szCs w:val="20"/>
              </w:rPr>
              <w:t>.</w:t>
            </w:r>
          </w:p>
          <w:p w14:paraId="02E9FF8C" w14:textId="77777777" w:rsidR="00B80B9A" w:rsidRPr="00B8244D" w:rsidRDefault="00B80B9A" w:rsidP="00B80B9A">
            <w:pPr>
              <w:numPr>
                <w:ilvl w:val="0"/>
                <w:numId w:val="90"/>
              </w:numPr>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sidRPr="008D0301">
              <w:rPr>
                <w:rFonts w:cstheme="minorHAnsi"/>
                <w:color w:val="000000"/>
                <w:szCs w:val="20"/>
              </w:rPr>
              <w:lastRenderedPageBreak/>
              <w:t>Ag</w:t>
            </w:r>
            <w:r w:rsidRPr="007E397B">
              <w:rPr>
                <w:rFonts w:cstheme="minorHAnsi"/>
                <w:color w:val="000000"/>
                <w:szCs w:val="20"/>
              </w:rPr>
              <w:t>reed to participate by signing an informed</w:t>
            </w:r>
            <w:r>
              <w:rPr>
                <w:rFonts w:cstheme="minorHAnsi"/>
                <w:color w:val="000000"/>
                <w:szCs w:val="20"/>
              </w:rPr>
              <w:t xml:space="preserve"> </w:t>
            </w:r>
            <w:r w:rsidRPr="007E397B">
              <w:rPr>
                <w:rFonts w:cstheme="minorHAnsi"/>
                <w:color w:val="000000"/>
                <w:szCs w:val="20"/>
              </w:rPr>
              <w:t>consent form.</w:t>
            </w:r>
          </w:p>
        </w:tc>
      </w:tr>
      <w:tr w:rsidR="00B80B9A" w:rsidRPr="002F020F" w14:paraId="44B51993"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41FDE3BA" w14:textId="77777777" w:rsidR="00B80B9A" w:rsidRPr="002F020F" w:rsidRDefault="00B80B9A" w:rsidP="004361E5">
            <w:r w:rsidRPr="002F020F">
              <w:lastRenderedPageBreak/>
              <w:t>Exclusion Criteria</w:t>
            </w:r>
          </w:p>
        </w:tc>
        <w:tc>
          <w:tcPr>
            <w:tcW w:w="3884" w:type="pct"/>
          </w:tcPr>
          <w:p w14:paraId="441633EE" w14:textId="77777777" w:rsidR="00B80B9A" w:rsidRPr="008F1049"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Pr>
                <w:rFonts w:cstheme="minorHAnsi"/>
                <w:color w:val="000000"/>
                <w:szCs w:val="20"/>
              </w:rPr>
              <w:t>C</w:t>
            </w:r>
            <w:r w:rsidRPr="00741E69">
              <w:rPr>
                <w:rFonts w:cstheme="minorHAnsi"/>
                <w:color w:val="000000"/>
                <w:szCs w:val="20"/>
              </w:rPr>
              <w:t>urrent major psychiatric comorbidity (DSM-IV</w:t>
            </w:r>
            <w:r>
              <w:rPr>
                <w:rFonts w:cstheme="minorHAnsi"/>
                <w:color w:val="000000"/>
                <w:szCs w:val="20"/>
              </w:rPr>
              <w:t xml:space="preserve"> criteria</w:t>
            </w:r>
            <w:r w:rsidRPr="00741E69">
              <w:rPr>
                <w:rFonts w:cstheme="minorHAnsi"/>
                <w:color w:val="000000"/>
                <w:szCs w:val="20"/>
              </w:rPr>
              <w:t>)</w:t>
            </w:r>
            <w:r>
              <w:rPr>
                <w:rFonts w:cstheme="minorHAnsi"/>
                <w:color w:val="000000"/>
                <w:szCs w:val="20"/>
              </w:rPr>
              <w:t>.</w:t>
            </w:r>
          </w:p>
          <w:p w14:paraId="22D317BD" w14:textId="77777777" w:rsidR="00B80B9A" w:rsidRPr="00F67B39"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Pr>
                <w:rFonts w:cstheme="minorHAnsi"/>
                <w:color w:val="000000"/>
                <w:szCs w:val="20"/>
              </w:rPr>
              <w:t>Currently taking</w:t>
            </w:r>
            <w:r w:rsidRPr="00741E69">
              <w:rPr>
                <w:rFonts w:cstheme="minorHAnsi"/>
                <w:color w:val="000000"/>
                <w:szCs w:val="20"/>
              </w:rPr>
              <w:t xml:space="preserve"> antidepressants</w:t>
            </w:r>
            <w:r>
              <w:rPr>
                <w:rFonts w:cstheme="minorHAnsi"/>
                <w:color w:val="000000"/>
                <w:szCs w:val="20"/>
              </w:rPr>
              <w:t xml:space="preserve"> </w:t>
            </w:r>
            <w:r w:rsidRPr="00741E69">
              <w:rPr>
                <w:rFonts w:cstheme="minorHAnsi"/>
                <w:color w:val="000000"/>
                <w:szCs w:val="20"/>
              </w:rPr>
              <w:t>or antipsychotics</w:t>
            </w:r>
            <w:r>
              <w:rPr>
                <w:rFonts w:cstheme="minorHAnsi"/>
                <w:color w:val="000000"/>
                <w:szCs w:val="20"/>
              </w:rPr>
              <w:t>.</w:t>
            </w:r>
            <w:r w:rsidRPr="00741E69">
              <w:rPr>
                <w:rFonts w:cstheme="minorHAnsi"/>
                <w:color w:val="000000"/>
                <w:szCs w:val="20"/>
              </w:rPr>
              <w:t xml:space="preserve"> </w:t>
            </w:r>
          </w:p>
          <w:p w14:paraId="1742852E" w14:textId="77777777" w:rsidR="00B80B9A" w:rsidRPr="00741E69"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Pr>
                <w:rFonts w:cstheme="minorHAnsi"/>
                <w:color w:val="000000"/>
                <w:szCs w:val="20"/>
              </w:rPr>
              <w:t>S</w:t>
            </w:r>
            <w:r w:rsidRPr="00741E69">
              <w:rPr>
                <w:rFonts w:cstheme="minorHAnsi"/>
                <w:color w:val="000000"/>
                <w:szCs w:val="20"/>
              </w:rPr>
              <w:t>evere or unstable medical conditions</w:t>
            </w:r>
            <w:r w:rsidRPr="00F67B39">
              <w:rPr>
                <w:rFonts w:cstheme="minorHAnsi"/>
                <w:color w:val="000000"/>
                <w:szCs w:val="20"/>
              </w:rPr>
              <w:t xml:space="preserve"> </w:t>
            </w:r>
            <w:r>
              <w:rPr>
                <w:rFonts w:cstheme="minorHAnsi"/>
                <w:color w:val="000000"/>
                <w:szCs w:val="20"/>
              </w:rPr>
              <w:t xml:space="preserve">including </w:t>
            </w:r>
            <w:r w:rsidRPr="00741E69">
              <w:rPr>
                <w:rFonts w:cstheme="minorHAnsi"/>
                <w:color w:val="000000"/>
                <w:szCs w:val="20"/>
              </w:rPr>
              <w:t>chronic infectious disease</w:t>
            </w:r>
            <w:r>
              <w:rPr>
                <w:rFonts w:cstheme="minorHAnsi"/>
                <w:color w:val="000000"/>
                <w:szCs w:val="20"/>
              </w:rPr>
              <w:t>.</w:t>
            </w:r>
            <w:r w:rsidRPr="00741E69">
              <w:rPr>
                <w:rFonts w:cstheme="minorHAnsi"/>
                <w:color w:val="000000"/>
                <w:szCs w:val="20"/>
              </w:rPr>
              <w:t xml:space="preserve"> </w:t>
            </w:r>
          </w:p>
          <w:p w14:paraId="6DFBEF2E" w14:textId="77777777" w:rsidR="00B80B9A" w:rsidRPr="00741E69"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741E69">
              <w:rPr>
                <w:rFonts w:cstheme="minorHAnsi"/>
                <w:color w:val="000000"/>
                <w:szCs w:val="20"/>
              </w:rPr>
              <w:t>History of brain injury with loss of consciousness</w:t>
            </w:r>
            <w:r>
              <w:rPr>
                <w:rFonts w:cstheme="minorHAnsi"/>
                <w:color w:val="000000"/>
                <w:szCs w:val="20"/>
              </w:rPr>
              <w:t>.</w:t>
            </w:r>
          </w:p>
          <w:p w14:paraId="75139DC3" w14:textId="77777777" w:rsidR="00B80B9A" w:rsidRPr="00741E69"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741E69">
              <w:rPr>
                <w:rFonts w:cstheme="minorHAnsi"/>
                <w:color w:val="000000"/>
                <w:szCs w:val="20"/>
              </w:rPr>
              <w:t>History of allergies or idiosyncratic reactions to Cannabis sativa</w:t>
            </w:r>
            <w:r>
              <w:rPr>
                <w:rFonts w:cstheme="minorHAnsi"/>
                <w:color w:val="000000"/>
                <w:szCs w:val="20"/>
              </w:rPr>
              <w:t>.</w:t>
            </w:r>
          </w:p>
          <w:p w14:paraId="0C982AF8" w14:textId="77777777" w:rsidR="00B80B9A" w:rsidRPr="00B8244D" w:rsidRDefault="00B80B9A" w:rsidP="00B80B9A">
            <w:pPr>
              <w:numPr>
                <w:ilvl w:val="0"/>
                <w:numId w:val="91"/>
              </w:numPr>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Pr>
                <w:rFonts w:cstheme="minorHAnsi"/>
                <w:color w:val="000000"/>
                <w:szCs w:val="20"/>
              </w:rPr>
              <w:t>I</w:t>
            </w:r>
            <w:r w:rsidRPr="00741E69">
              <w:rPr>
                <w:rFonts w:cstheme="minorHAnsi"/>
                <w:color w:val="000000"/>
                <w:szCs w:val="20"/>
              </w:rPr>
              <w:t>llitera</w:t>
            </w:r>
            <w:r>
              <w:rPr>
                <w:rFonts w:cstheme="minorHAnsi"/>
                <w:color w:val="000000"/>
                <w:szCs w:val="20"/>
              </w:rPr>
              <w:t>te</w:t>
            </w:r>
            <w:r w:rsidRPr="00741E69">
              <w:rPr>
                <w:rFonts w:cstheme="minorHAnsi"/>
                <w:color w:val="000000"/>
                <w:szCs w:val="20"/>
              </w:rPr>
              <w:t xml:space="preserve"> or functional</w:t>
            </w:r>
            <w:r>
              <w:rPr>
                <w:rFonts w:cstheme="minorHAnsi"/>
                <w:color w:val="000000"/>
                <w:szCs w:val="20"/>
              </w:rPr>
              <w:t>ly</w:t>
            </w:r>
            <w:r w:rsidRPr="00741E69">
              <w:rPr>
                <w:rFonts w:cstheme="minorHAnsi"/>
                <w:color w:val="000000"/>
                <w:szCs w:val="20"/>
              </w:rPr>
              <w:t xml:space="preserve"> illitera</w:t>
            </w:r>
            <w:r>
              <w:rPr>
                <w:rFonts w:cstheme="minorHAnsi"/>
                <w:color w:val="000000"/>
                <w:szCs w:val="20"/>
              </w:rPr>
              <w:t>te.</w:t>
            </w:r>
          </w:p>
        </w:tc>
      </w:tr>
      <w:tr w:rsidR="00B80B9A" w:rsidRPr="002F020F" w14:paraId="51C9C86A"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2A3000E" w14:textId="77777777" w:rsidR="00B80B9A" w:rsidRPr="002F020F" w:rsidRDefault="00B80B9A" w:rsidP="004361E5">
            <w:r w:rsidRPr="002F020F">
              <w:t>Assessment Time-</w:t>
            </w:r>
            <w:r>
              <w:t>P</w:t>
            </w:r>
            <w:r w:rsidRPr="002F020F">
              <w:t>oint/s</w:t>
            </w:r>
          </w:p>
        </w:tc>
        <w:tc>
          <w:tcPr>
            <w:tcW w:w="3884" w:type="pct"/>
          </w:tcPr>
          <w:p w14:paraId="72460940" w14:textId="77777777" w:rsidR="00B80B9A" w:rsidRPr="00C7429C" w:rsidRDefault="00B80B9A" w:rsidP="00B80B9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bCs/>
                <w:color w:val="000000"/>
                <w:szCs w:val="20"/>
              </w:rPr>
              <w:t>Baseline:</w:t>
            </w:r>
            <w:r w:rsidRPr="00C7429C">
              <w:rPr>
                <w:rFonts w:cstheme="minorHAnsi"/>
                <w:color w:val="000000"/>
                <w:szCs w:val="20"/>
              </w:rPr>
              <w:t xml:space="preserve"> ASSIST, CCQ-Brief,</w:t>
            </w:r>
            <w:r>
              <w:rPr>
                <w:rFonts w:cstheme="minorHAnsi"/>
                <w:color w:val="000000"/>
                <w:szCs w:val="20"/>
              </w:rPr>
              <w:t xml:space="preserve"> MCCS, BDI,</w:t>
            </w:r>
            <w:r w:rsidRPr="00C7429C">
              <w:rPr>
                <w:rFonts w:cstheme="minorHAnsi"/>
                <w:color w:val="000000"/>
                <w:szCs w:val="20"/>
              </w:rPr>
              <w:t xml:space="preserve"> BAI, VAS.</w:t>
            </w:r>
          </w:p>
          <w:p w14:paraId="03DDD94F" w14:textId="77777777" w:rsidR="00B80B9A" w:rsidRPr="00C7429C" w:rsidRDefault="00B80B9A" w:rsidP="00B80B9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C7429C">
              <w:rPr>
                <w:rFonts w:cstheme="minorHAnsi"/>
                <w:bCs/>
                <w:color w:val="000000"/>
                <w:szCs w:val="20"/>
              </w:rPr>
              <w:t>Day 1</w:t>
            </w:r>
            <w:r>
              <w:rPr>
                <w:rFonts w:cstheme="minorHAnsi"/>
                <w:bCs/>
                <w:color w:val="000000"/>
                <w:szCs w:val="20"/>
              </w:rPr>
              <w:t xml:space="preserve"> to </w:t>
            </w:r>
            <w:r w:rsidRPr="00C7429C">
              <w:rPr>
                <w:rFonts w:cstheme="minorHAnsi"/>
                <w:bCs/>
                <w:color w:val="000000"/>
                <w:szCs w:val="20"/>
              </w:rPr>
              <w:t>10:</w:t>
            </w:r>
            <w:r>
              <w:rPr>
                <w:rFonts w:cstheme="minorHAnsi"/>
                <w:bCs/>
                <w:color w:val="000000"/>
                <w:szCs w:val="20"/>
              </w:rPr>
              <w:t xml:space="preserve"> D</w:t>
            </w:r>
            <w:r w:rsidRPr="00C7429C">
              <w:rPr>
                <w:rFonts w:cstheme="minorHAnsi"/>
                <w:color w:val="000000"/>
                <w:szCs w:val="20"/>
              </w:rPr>
              <w:t>aily assessment of crack-cocaine craving (</w:t>
            </w:r>
            <w:r>
              <w:rPr>
                <w:rFonts w:cstheme="minorHAnsi"/>
                <w:color w:val="000000"/>
                <w:szCs w:val="20"/>
              </w:rPr>
              <w:t>before and after the</w:t>
            </w:r>
            <w:r w:rsidRPr="00C7429C">
              <w:rPr>
                <w:rFonts w:cstheme="minorHAnsi"/>
                <w:color w:val="000000"/>
                <w:szCs w:val="20"/>
              </w:rPr>
              <w:t xml:space="preserve"> craving</w:t>
            </w:r>
            <w:r>
              <w:rPr>
                <w:rFonts w:cstheme="minorHAnsi"/>
                <w:color w:val="000000"/>
                <w:szCs w:val="20"/>
              </w:rPr>
              <w:t>-</w:t>
            </w:r>
            <w:r w:rsidRPr="00C7429C">
              <w:rPr>
                <w:rFonts w:cstheme="minorHAnsi"/>
                <w:color w:val="000000"/>
                <w:szCs w:val="20"/>
              </w:rPr>
              <w:t>induction</w:t>
            </w:r>
            <w:r>
              <w:rPr>
                <w:rFonts w:cstheme="minorHAnsi"/>
                <w:color w:val="000000"/>
                <w:szCs w:val="20"/>
              </w:rPr>
              <w:t xml:space="preserve"> procedure): </w:t>
            </w:r>
            <w:r w:rsidRPr="00C7429C">
              <w:rPr>
                <w:rFonts w:cstheme="minorHAnsi"/>
                <w:color w:val="000000"/>
                <w:szCs w:val="20"/>
              </w:rPr>
              <w:t>CCQ-Brief</w:t>
            </w:r>
            <w:r>
              <w:rPr>
                <w:rFonts w:cstheme="minorHAnsi"/>
                <w:color w:val="000000"/>
                <w:szCs w:val="20"/>
              </w:rPr>
              <w:t xml:space="preserve">, </w:t>
            </w:r>
            <w:r w:rsidRPr="00C7429C">
              <w:rPr>
                <w:rFonts w:cstheme="minorHAnsi"/>
                <w:color w:val="000000"/>
                <w:szCs w:val="20"/>
              </w:rPr>
              <w:t>MCCS</w:t>
            </w:r>
            <w:r>
              <w:rPr>
                <w:rFonts w:cstheme="minorHAnsi"/>
                <w:color w:val="000000"/>
                <w:szCs w:val="20"/>
              </w:rPr>
              <w:t xml:space="preserve">. </w:t>
            </w:r>
          </w:p>
          <w:p w14:paraId="70E66551" w14:textId="77777777" w:rsidR="00B80B9A" w:rsidRPr="002F020F" w:rsidRDefault="00B80B9A" w:rsidP="00B80B9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pPr>
            <w:r w:rsidRPr="00C7429C">
              <w:rPr>
                <w:rFonts w:cstheme="minorHAnsi"/>
                <w:bCs/>
                <w:color w:val="000000"/>
                <w:szCs w:val="20"/>
              </w:rPr>
              <w:t>Day 10:</w:t>
            </w:r>
            <w:r w:rsidRPr="00C7429C">
              <w:rPr>
                <w:rFonts w:cstheme="minorHAnsi"/>
                <w:color w:val="000000"/>
                <w:szCs w:val="20"/>
              </w:rPr>
              <w:t xml:space="preserve"> CCQ-Brief</w:t>
            </w:r>
            <w:r>
              <w:rPr>
                <w:rFonts w:cstheme="minorHAnsi"/>
                <w:color w:val="000000"/>
                <w:szCs w:val="20"/>
              </w:rPr>
              <w:t xml:space="preserve">, MCCS, BDI, </w:t>
            </w:r>
            <w:r w:rsidRPr="00C7429C">
              <w:rPr>
                <w:rFonts w:cstheme="minorHAnsi"/>
                <w:color w:val="000000"/>
                <w:szCs w:val="20"/>
              </w:rPr>
              <w:t>BAI, VAS, and UKU</w:t>
            </w:r>
            <w:r>
              <w:rPr>
                <w:rFonts w:cstheme="minorHAnsi"/>
                <w:color w:val="000000"/>
                <w:szCs w:val="20"/>
              </w:rPr>
              <w:t>-</w:t>
            </w:r>
            <w:r w:rsidRPr="00C7429C">
              <w:rPr>
                <w:rFonts w:cstheme="minorHAnsi"/>
                <w:color w:val="000000"/>
                <w:szCs w:val="20"/>
              </w:rPr>
              <w:t>SERS</w:t>
            </w:r>
            <w:r>
              <w:rPr>
                <w:rFonts w:cstheme="minorHAnsi"/>
                <w:color w:val="000000"/>
                <w:szCs w:val="20"/>
              </w:rPr>
              <w:t>.</w:t>
            </w:r>
          </w:p>
        </w:tc>
      </w:tr>
      <w:tr w:rsidR="00B80B9A" w:rsidRPr="002F020F" w14:paraId="113404A3"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451A6B3E" w14:textId="77777777" w:rsidR="00B80B9A" w:rsidRPr="002F020F" w:rsidRDefault="00B80B9A" w:rsidP="004361E5">
            <w:r w:rsidRPr="002F020F">
              <w:t>Main Findings</w:t>
            </w:r>
          </w:p>
        </w:tc>
        <w:tc>
          <w:tcPr>
            <w:tcW w:w="3884" w:type="pct"/>
          </w:tcPr>
          <w:p w14:paraId="2190F01C" w14:textId="77777777" w:rsidR="00B80B9A" w:rsidRPr="000855DD"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Pr>
                <w:rFonts w:ascii="Calibri" w:hAnsi="Calibri" w:cs="Calibri"/>
                <w:color w:val="000000"/>
                <w:szCs w:val="20"/>
              </w:rPr>
              <w:t>Primary: Cocaine craving (as measured by the CCQ-Brief and MCCS):</w:t>
            </w:r>
          </w:p>
          <w:p w14:paraId="505819B1" w14:textId="77777777" w:rsidR="00B80B9A" w:rsidRPr="009A6924"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AE5887">
              <w:rPr>
                <w:rFonts w:ascii="Calibri" w:hAnsi="Calibri" w:cs="Calibri"/>
                <w:color w:val="000000"/>
                <w:szCs w:val="20"/>
              </w:rPr>
              <w:t>Cocaine craving significantly decreased over the 10-day trial (CCQ-Brief: p &lt; 0.001; MCCS: p &lt; 0.001). However, no between-group difference in craving was observed (CCQ-Brief: p = 0.116; MCCS: p = 0.130), and craving did not significantly differ for the CBD and placebo groups over time (CCQ-Brief: p = 0.897; MCCS: p = 0.113).</w:t>
            </w:r>
          </w:p>
          <w:p w14:paraId="5EDE8BFE" w14:textId="77777777" w:rsidR="00B80B9A" w:rsidRPr="00562476"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Pr>
                <w:rFonts w:ascii="Calibri" w:hAnsi="Calibri" w:cs="Calibri"/>
                <w:color w:val="000000"/>
                <w:szCs w:val="20"/>
              </w:rPr>
              <w:t>Secondary:</w:t>
            </w:r>
          </w:p>
          <w:p w14:paraId="1AAD704F" w14:textId="77777777" w:rsidR="00B80B9A" w:rsidRPr="000415E8"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1F72F6">
              <w:rPr>
                <w:rFonts w:ascii="Calibri" w:hAnsi="Calibri" w:cs="Calibri"/>
                <w:color w:val="000000"/>
                <w:szCs w:val="20"/>
              </w:rPr>
              <w:t>Significant reduction</w:t>
            </w:r>
            <w:r>
              <w:rPr>
                <w:rFonts w:ascii="Calibri" w:hAnsi="Calibri" w:cs="Calibri"/>
                <w:color w:val="000000"/>
                <w:szCs w:val="20"/>
              </w:rPr>
              <w:t>s</w:t>
            </w:r>
            <w:r w:rsidRPr="001F72F6">
              <w:rPr>
                <w:rFonts w:ascii="Calibri" w:hAnsi="Calibri" w:cs="Calibri"/>
                <w:color w:val="000000"/>
                <w:szCs w:val="20"/>
              </w:rPr>
              <w:t xml:space="preserve"> in anxiety </w:t>
            </w:r>
            <w:r>
              <w:rPr>
                <w:rFonts w:ascii="Calibri" w:hAnsi="Calibri" w:cs="Calibri"/>
                <w:color w:val="000000"/>
                <w:szCs w:val="20"/>
              </w:rPr>
              <w:t xml:space="preserve">symptoms </w:t>
            </w:r>
            <w:r w:rsidRPr="001F72F6">
              <w:rPr>
                <w:rFonts w:ascii="Calibri" w:hAnsi="Calibri" w:cs="Calibri"/>
                <w:color w:val="000000"/>
                <w:szCs w:val="20"/>
              </w:rPr>
              <w:t>(</w:t>
            </w:r>
            <w:r>
              <w:rPr>
                <w:rFonts w:ascii="Calibri" w:hAnsi="Calibri" w:cs="Calibri"/>
                <w:color w:val="000000"/>
                <w:szCs w:val="20"/>
              </w:rPr>
              <w:t xml:space="preserve">as measured by the </w:t>
            </w:r>
            <w:r w:rsidRPr="001F72F6">
              <w:rPr>
                <w:rFonts w:ascii="Calibri" w:hAnsi="Calibri" w:cs="Calibri"/>
                <w:color w:val="000000"/>
                <w:szCs w:val="20"/>
              </w:rPr>
              <w:t xml:space="preserve">BAI) </w:t>
            </w:r>
            <w:r>
              <w:rPr>
                <w:rFonts w:ascii="Calibri" w:hAnsi="Calibri" w:cs="Calibri"/>
                <w:color w:val="000000"/>
                <w:szCs w:val="20"/>
              </w:rPr>
              <w:t>were observed in both groups (CBD group: p = 0.02; placebo group: p &lt; 0.01), but no significant differences were observed between groups (p = 0.80).</w:t>
            </w:r>
          </w:p>
          <w:p w14:paraId="0ABA42CC" w14:textId="77777777" w:rsidR="00B80B9A" w:rsidRPr="001F72F6"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Pr>
                <w:rFonts w:ascii="Calibri" w:hAnsi="Calibri" w:cs="Calibri"/>
                <w:color w:val="000000"/>
                <w:szCs w:val="20"/>
              </w:rPr>
              <w:t xml:space="preserve">Significant reductions in </w:t>
            </w:r>
            <w:r w:rsidRPr="001F72F6">
              <w:rPr>
                <w:rFonts w:ascii="Calibri" w:hAnsi="Calibri" w:cs="Calibri"/>
                <w:color w:val="000000"/>
                <w:szCs w:val="20"/>
              </w:rPr>
              <w:t>depression</w:t>
            </w:r>
            <w:r>
              <w:rPr>
                <w:rFonts w:ascii="Calibri" w:hAnsi="Calibri" w:cs="Calibri"/>
                <w:color w:val="000000"/>
                <w:szCs w:val="20"/>
              </w:rPr>
              <w:t xml:space="preserve"> symptoms</w:t>
            </w:r>
            <w:r w:rsidRPr="001F72F6">
              <w:rPr>
                <w:rFonts w:ascii="Calibri" w:hAnsi="Calibri" w:cs="Calibri"/>
                <w:color w:val="000000"/>
                <w:szCs w:val="20"/>
              </w:rPr>
              <w:t xml:space="preserve"> (</w:t>
            </w:r>
            <w:r>
              <w:rPr>
                <w:rFonts w:ascii="Calibri" w:hAnsi="Calibri" w:cs="Calibri"/>
                <w:color w:val="000000"/>
                <w:szCs w:val="20"/>
              </w:rPr>
              <w:t xml:space="preserve">as measured by the </w:t>
            </w:r>
            <w:r w:rsidRPr="001F72F6">
              <w:rPr>
                <w:rFonts w:ascii="Calibri" w:hAnsi="Calibri" w:cs="Calibri"/>
                <w:color w:val="000000"/>
                <w:szCs w:val="20"/>
              </w:rPr>
              <w:t>BDI) w</w:t>
            </w:r>
            <w:r>
              <w:rPr>
                <w:rFonts w:ascii="Calibri" w:hAnsi="Calibri" w:cs="Calibri"/>
                <w:color w:val="000000"/>
                <w:szCs w:val="20"/>
              </w:rPr>
              <w:t>ere</w:t>
            </w:r>
            <w:r w:rsidRPr="001F72F6">
              <w:rPr>
                <w:rFonts w:ascii="Calibri" w:hAnsi="Calibri" w:cs="Calibri"/>
                <w:color w:val="000000"/>
                <w:szCs w:val="20"/>
              </w:rPr>
              <w:t xml:space="preserve"> </w:t>
            </w:r>
            <w:r>
              <w:rPr>
                <w:rFonts w:ascii="Calibri" w:hAnsi="Calibri" w:cs="Calibri"/>
                <w:color w:val="000000"/>
                <w:szCs w:val="20"/>
              </w:rPr>
              <w:t>observed in both groups (CBD group: p = 0.06; placebo group: p &lt; 0.01)</w:t>
            </w:r>
            <w:r w:rsidRPr="001F72F6">
              <w:rPr>
                <w:rFonts w:ascii="Calibri" w:hAnsi="Calibri" w:cs="Calibri"/>
                <w:color w:val="000000"/>
                <w:szCs w:val="20"/>
              </w:rPr>
              <w:t xml:space="preserve">, </w:t>
            </w:r>
            <w:r>
              <w:rPr>
                <w:rFonts w:ascii="Calibri" w:hAnsi="Calibri" w:cs="Calibri"/>
                <w:color w:val="000000"/>
                <w:szCs w:val="20"/>
              </w:rPr>
              <w:t>but no</w:t>
            </w:r>
            <w:r w:rsidRPr="001F72F6">
              <w:rPr>
                <w:rFonts w:ascii="Calibri" w:hAnsi="Calibri" w:cs="Calibri"/>
                <w:color w:val="000000"/>
                <w:szCs w:val="20"/>
              </w:rPr>
              <w:t xml:space="preserve"> significant difference</w:t>
            </w:r>
            <w:r>
              <w:rPr>
                <w:rFonts w:ascii="Calibri" w:hAnsi="Calibri" w:cs="Calibri"/>
                <w:color w:val="000000"/>
                <w:szCs w:val="20"/>
              </w:rPr>
              <w:t>s were observed between groups (p = 0.46).</w:t>
            </w:r>
          </w:p>
          <w:p w14:paraId="26A13326" w14:textId="40552269" w:rsidR="00B80B9A" w:rsidRPr="0065188D"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1F72F6">
              <w:rPr>
                <w:rFonts w:ascii="Calibri" w:hAnsi="Calibri" w:cs="Calibri"/>
                <w:color w:val="000000"/>
                <w:szCs w:val="20"/>
              </w:rPr>
              <w:t>No significant difference</w:t>
            </w:r>
            <w:r>
              <w:rPr>
                <w:rFonts w:ascii="Calibri" w:hAnsi="Calibri" w:cs="Calibri"/>
                <w:color w:val="000000"/>
                <w:szCs w:val="20"/>
              </w:rPr>
              <w:t>s</w:t>
            </w:r>
            <w:r w:rsidRPr="001F72F6">
              <w:rPr>
                <w:rFonts w:ascii="Calibri" w:hAnsi="Calibri" w:cs="Calibri"/>
                <w:color w:val="000000"/>
                <w:szCs w:val="20"/>
              </w:rPr>
              <w:t xml:space="preserve"> w</w:t>
            </w:r>
            <w:r>
              <w:rPr>
                <w:rFonts w:ascii="Calibri" w:hAnsi="Calibri" w:cs="Calibri"/>
                <w:color w:val="000000"/>
                <w:szCs w:val="20"/>
              </w:rPr>
              <w:t>ere</w:t>
            </w:r>
            <w:r w:rsidRPr="001F72F6">
              <w:rPr>
                <w:rFonts w:ascii="Calibri" w:hAnsi="Calibri" w:cs="Calibri"/>
                <w:color w:val="000000"/>
                <w:szCs w:val="20"/>
              </w:rPr>
              <w:t xml:space="preserve"> observed in sleep </w:t>
            </w:r>
            <w:r>
              <w:rPr>
                <w:rFonts w:ascii="Calibri" w:hAnsi="Calibri" w:cs="Calibri"/>
                <w:color w:val="000000"/>
                <w:szCs w:val="20"/>
              </w:rPr>
              <w:t xml:space="preserve">disturbance, sleep effectiveness, or sleep supplementation </w:t>
            </w:r>
            <w:r w:rsidRPr="001F72F6">
              <w:rPr>
                <w:rFonts w:ascii="Calibri" w:hAnsi="Calibri" w:cs="Calibri"/>
                <w:color w:val="000000"/>
                <w:szCs w:val="20"/>
              </w:rPr>
              <w:t>(</w:t>
            </w:r>
            <w:r>
              <w:rPr>
                <w:rFonts w:ascii="Calibri" w:hAnsi="Calibri" w:cs="Calibri"/>
                <w:color w:val="000000"/>
                <w:szCs w:val="20"/>
              </w:rPr>
              <w:t xml:space="preserve">as measured by the </w:t>
            </w:r>
            <w:r w:rsidRPr="001F72F6">
              <w:rPr>
                <w:rFonts w:ascii="Calibri" w:hAnsi="Calibri" w:cs="Calibri"/>
                <w:color w:val="000000"/>
                <w:szCs w:val="20"/>
              </w:rPr>
              <w:t>V</w:t>
            </w:r>
            <w:r w:rsidR="00D029D3">
              <w:rPr>
                <w:rFonts w:ascii="Calibri" w:hAnsi="Calibri" w:cs="Calibri"/>
                <w:color w:val="000000"/>
                <w:szCs w:val="20"/>
              </w:rPr>
              <w:t xml:space="preserve">isual </w:t>
            </w:r>
            <w:r w:rsidRPr="001F72F6">
              <w:rPr>
                <w:rFonts w:ascii="Calibri" w:hAnsi="Calibri" w:cs="Calibri"/>
                <w:color w:val="000000"/>
                <w:szCs w:val="20"/>
              </w:rPr>
              <w:t>A</w:t>
            </w:r>
            <w:r w:rsidR="00D029D3">
              <w:rPr>
                <w:rFonts w:ascii="Calibri" w:hAnsi="Calibri" w:cs="Calibri"/>
                <w:color w:val="000000"/>
                <w:szCs w:val="20"/>
              </w:rPr>
              <w:t xml:space="preserve">nalogue </w:t>
            </w:r>
            <w:r w:rsidRPr="001F72F6">
              <w:rPr>
                <w:rFonts w:ascii="Calibri" w:hAnsi="Calibri" w:cs="Calibri"/>
                <w:color w:val="000000"/>
                <w:szCs w:val="20"/>
              </w:rPr>
              <w:t>S</w:t>
            </w:r>
            <w:r w:rsidR="00D029D3">
              <w:rPr>
                <w:rFonts w:ascii="Calibri" w:hAnsi="Calibri" w:cs="Calibri"/>
                <w:color w:val="000000"/>
                <w:szCs w:val="20"/>
              </w:rPr>
              <w:t>leep Scales</w:t>
            </w:r>
            <w:r w:rsidRPr="001F72F6">
              <w:rPr>
                <w:rFonts w:ascii="Calibri" w:hAnsi="Calibri" w:cs="Calibri"/>
                <w:color w:val="000000"/>
                <w:szCs w:val="20"/>
              </w:rPr>
              <w:t>) in both groups</w:t>
            </w:r>
            <w:r>
              <w:rPr>
                <w:rFonts w:ascii="Calibri" w:hAnsi="Calibri" w:cs="Calibri"/>
                <w:color w:val="000000"/>
                <w:szCs w:val="20"/>
              </w:rPr>
              <w:t xml:space="preserve"> (all p’s &gt; 0.05), and no significant differences were observed between groups (all p’s &gt; 0.05)</w:t>
            </w:r>
            <w:r w:rsidRPr="001F72F6">
              <w:rPr>
                <w:rFonts w:ascii="Calibri" w:hAnsi="Calibri" w:cs="Calibri"/>
                <w:color w:val="000000"/>
                <w:szCs w:val="20"/>
              </w:rPr>
              <w:t>.</w:t>
            </w:r>
          </w:p>
        </w:tc>
      </w:tr>
      <w:tr w:rsidR="00B80B9A" w:rsidRPr="002F020F" w14:paraId="53E8EA36"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3A28DCD" w14:textId="4467F9E5" w:rsidR="00B80B9A" w:rsidRPr="002F020F" w:rsidRDefault="00B80B9A" w:rsidP="004361E5">
            <w:r w:rsidRPr="002F020F">
              <w:t>Safety and Adverse Events</w:t>
            </w:r>
          </w:p>
        </w:tc>
        <w:tc>
          <w:tcPr>
            <w:tcW w:w="3884" w:type="pct"/>
          </w:tcPr>
          <w:p w14:paraId="5E26A7DE" w14:textId="77777777" w:rsidR="00B80B9A" w:rsidRDefault="00B80B9A" w:rsidP="00B80B9A">
            <w:pPr>
              <w:pStyle w:val="ListParagraph"/>
              <w:numPr>
                <w:ilvl w:val="0"/>
                <w:numId w:val="92"/>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02F27">
              <w:rPr>
                <w:rFonts w:ascii="Calibri" w:hAnsi="Calibri" w:cs="Calibri"/>
                <w:color w:val="000000"/>
                <w:szCs w:val="20"/>
              </w:rPr>
              <w:t xml:space="preserve">No serious adverse event occurred during the trial. </w:t>
            </w:r>
          </w:p>
          <w:p w14:paraId="0C02EAE9" w14:textId="77777777" w:rsidR="00B80B9A" w:rsidRPr="00F02F27" w:rsidRDefault="00B80B9A" w:rsidP="00B80B9A">
            <w:pPr>
              <w:pStyle w:val="ListParagraph"/>
              <w:numPr>
                <w:ilvl w:val="0"/>
                <w:numId w:val="92"/>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02F27">
              <w:rPr>
                <w:rFonts w:ascii="Calibri" w:hAnsi="Calibri" w:cs="Calibri"/>
                <w:color w:val="000000"/>
                <w:szCs w:val="20"/>
              </w:rPr>
              <w:t xml:space="preserve">All adverse events were of mild or moderate severity. </w:t>
            </w:r>
          </w:p>
          <w:p w14:paraId="66FA9867" w14:textId="77777777" w:rsidR="00B80B9A" w:rsidRDefault="00B80B9A" w:rsidP="00B80B9A">
            <w:pPr>
              <w:pStyle w:val="ListParagraph"/>
              <w:numPr>
                <w:ilvl w:val="0"/>
                <w:numId w:val="92"/>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5B0DB1">
              <w:rPr>
                <w:rFonts w:ascii="Calibri" w:hAnsi="Calibri" w:cs="Calibri"/>
                <w:color w:val="000000"/>
                <w:szCs w:val="20"/>
              </w:rPr>
              <w:t>The adverse events</w:t>
            </w:r>
            <w:r>
              <w:rPr>
                <w:rFonts w:ascii="Calibri" w:hAnsi="Calibri" w:cs="Calibri"/>
                <w:color w:val="000000"/>
                <w:szCs w:val="20"/>
              </w:rPr>
              <w:t xml:space="preserve"> (as measured by the </w:t>
            </w:r>
            <w:r w:rsidRPr="005B0DB1">
              <w:rPr>
                <w:rFonts w:ascii="Calibri" w:hAnsi="Calibri" w:cs="Calibri"/>
                <w:color w:val="000000"/>
                <w:szCs w:val="20"/>
              </w:rPr>
              <w:t>UKU-SERS</w:t>
            </w:r>
            <w:r>
              <w:rPr>
                <w:rFonts w:ascii="Calibri" w:hAnsi="Calibri" w:cs="Calibri"/>
                <w:color w:val="000000"/>
                <w:szCs w:val="20"/>
              </w:rPr>
              <w:t>)</w:t>
            </w:r>
            <w:r w:rsidRPr="005B0DB1">
              <w:rPr>
                <w:rFonts w:ascii="Calibri" w:hAnsi="Calibri" w:cs="Calibri"/>
                <w:color w:val="000000"/>
                <w:szCs w:val="20"/>
              </w:rPr>
              <w:t xml:space="preserve"> were</w:t>
            </w:r>
            <w:r>
              <w:rPr>
                <w:rFonts w:ascii="Calibri" w:hAnsi="Calibri" w:cs="Calibri"/>
                <w:color w:val="000000"/>
                <w:szCs w:val="20"/>
              </w:rPr>
              <w:t>:</w:t>
            </w:r>
          </w:p>
          <w:p w14:paraId="36B58441" w14:textId="77777777" w:rsidR="00B80B9A" w:rsidRDefault="00B80B9A" w:rsidP="00B80B9A">
            <w:pPr>
              <w:pStyle w:val="ListParagraph"/>
              <w:numPr>
                <w:ilvl w:val="1"/>
                <w:numId w:val="92"/>
              </w:numPr>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5B0DB1">
              <w:rPr>
                <w:rFonts w:ascii="Calibri" w:hAnsi="Calibri" w:cs="Calibri"/>
                <w:color w:val="000000"/>
                <w:szCs w:val="20"/>
              </w:rPr>
              <w:t>sleepiness and increased sleep duration (five participants in the CBD group and three participants in the placebo group; p = 0.45)</w:t>
            </w:r>
            <w:r>
              <w:rPr>
                <w:rFonts w:ascii="Calibri" w:hAnsi="Calibri" w:cs="Calibri"/>
                <w:color w:val="000000"/>
                <w:szCs w:val="20"/>
              </w:rPr>
              <w:t>;</w:t>
            </w:r>
            <w:r w:rsidRPr="005B0DB1">
              <w:rPr>
                <w:rFonts w:ascii="Calibri" w:hAnsi="Calibri" w:cs="Calibri"/>
                <w:color w:val="000000"/>
                <w:szCs w:val="20"/>
              </w:rPr>
              <w:t xml:space="preserve"> </w:t>
            </w:r>
          </w:p>
          <w:p w14:paraId="6C9F8D79" w14:textId="77777777" w:rsidR="00B80B9A" w:rsidRDefault="00B80B9A" w:rsidP="00B80B9A">
            <w:pPr>
              <w:pStyle w:val="ListParagraph"/>
              <w:numPr>
                <w:ilvl w:val="1"/>
                <w:numId w:val="92"/>
              </w:numPr>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5B0DB1">
              <w:rPr>
                <w:rFonts w:ascii="Calibri" w:hAnsi="Calibri" w:cs="Calibri"/>
                <w:color w:val="000000"/>
                <w:szCs w:val="20"/>
              </w:rPr>
              <w:t>nausea (two participants in the CBD group and one participant in the placebo group; p = 0.59)</w:t>
            </w:r>
            <w:r>
              <w:rPr>
                <w:rFonts w:ascii="Calibri" w:hAnsi="Calibri" w:cs="Calibri"/>
                <w:color w:val="000000"/>
                <w:szCs w:val="20"/>
              </w:rPr>
              <w:t>; and</w:t>
            </w:r>
          </w:p>
          <w:p w14:paraId="40034F52" w14:textId="77777777" w:rsidR="00B80B9A" w:rsidRPr="005B0DB1" w:rsidRDefault="00B80B9A" w:rsidP="00B80B9A">
            <w:pPr>
              <w:pStyle w:val="ListParagraph"/>
              <w:numPr>
                <w:ilvl w:val="1"/>
                <w:numId w:val="92"/>
              </w:numPr>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5B0DB1">
              <w:rPr>
                <w:rFonts w:ascii="Calibri" w:hAnsi="Calibri" w:cs="Calibri"/>
                <w:color w:val="000000"/>
                <w:szCs w:val="20"/>
              </w:rPr>
              <w:t xml:space="preserve">headache (two participants in the CBD group and one participant in the placebo group; p = 0.59). </w:t>
            </w:r>
          </w:p>
          <w:p w14:paraId="5A06DA13" w14:textId="77777777" w:rsidR="00B80B9A" w:rsidRPr="00B8244D" w:rsidRDefault="00B80B9A" w:rsidP="00B80B9A">
            <w:pPr>
              <w:pStyle w:val="ListParagraph"/>
              <w:numPr>
                <w:ilvl w:val="0"/>
                <w:numId w:val="9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5B0DB1">
              <w:rPr>
                <w:rFonts w:ascii="Calibri" w:hAnsi="Calibri" w:cs="Calibri"/>
                <w:color w:val="000000"/>
                <w:szCs w:val="20"/>
              </w:rPr>
              <w:t>The frequency of adverse events did not differ between groups (p = 0.34)</w:t>
            </w:r>
            <w:r>
              <w:rPr>
                <w:rFonts w:ascii="Calibri" w:hAnsi="Calibri" w:cs="Calibri"/>
                <w:color w:val="000000"/>
                <w:szCs w:val="20"/>
              </w:rPr>
              <w:t>.</w:t>
            </w:r>
          </w:p>
        </w:tc>
      </w:tr>
    </w:tbl>
    <w:p w14:paraId="296DF542" w14:textId="77777777" w:rsidR="00B80B9A" w:rsidRDefault="00B80B9A" w:rsidP="00B80B9A">
      <w:r w:rsidRPr="52D68EB9">
        <w:t xml:space="preserve"> </w:t>
      </w:r>
    </w:p>
    <w:p w14:paraId="7A669E12" w14:textId="77777777" w:rsidR="00B80B9A" w:rsidRDefault="00B80B9A" w:rsidP="00B80B9A">
      <w:pPr>
        <w:pStyle w:val="Heading2"/>
        <w:numPr>
          <w:ilvl w:val="0"/>
          <w:numId w:val="71"/>
        </w:numPr>
      </w:pPr>
      <w:bookmarkStart w:id="328" w:name="_Toc165018250"/>
      <w:r>
        <w:t>Synthetic C</w:t>
      </w:r>
      <w:r w:rsidRPr="000F0FB7">
        <w:t xml:space="preserve">annabidiol </w:t>
      </w:r>
      <w:r>
        <w:t xml:space="preserve">(CBD) </w:t>
      </w:r>
      <w:r w:rsidRPr="000F0FB7">
        <w:t xml:space="preserve">for Cocaine Use </w:t>
      </w:r>
      <w:r>
        <w:t>Disorder (CocUD): Combined intervention</w:t>
      </w:r>
      <w:bookmarkEnd w:id="328"/>
    </w:p>
    <w:tbl>
      <w:tblPr>
        <w:tblStyle w:val="GridTable5Dark-Accent5"/>
        <w:tblW w:w="5000" w:type="pct"/>
        <w:tblLook w:val="04A0" w:firstRow="1" w:lastRow="0" w:firstColumn="1" w:lastColumn="0" w:noHBand="0" w:noVBand="1"/>
      </w:tblPr>
      <w:tblGrid>
        <w:gridCol w:w="2012"/>
        <w:gridCol w:w="7004"/>
      </w:tblGrid>
      <w:tr w:rsidR="00B80B9A" w:rsidRPr="002F020F" w14:paraId="704334F1" w14:textId="77777777" w:rsidTr="004F2F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4DCB021D" w14:textId="77777777" w:rsidR="00B80B9A" w:rsidRPr="002F020F" w:rsidRDefault="00B80B9A" w:rsidP="004361E5">
            <w:r w:rsidRPr="002F020F">
              <w:t>Citation</w:t>
            </w:r>
          </w:p>
        </w:tc>
        <w:tc>
          <w:tcPr>
            <w:tcW w:w="3884" w:type="pct"/>
          </w:tcPr>
          <w:p w14:paraId="001CE9D5" w14:textId="77777777" w:rsidR="00B80B9A" w:rsidRPr="00C26170" w:rsidRDefault="00B80B9A" w:rsidP="004361E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rPr>
            </w:pPr>
            <w:r w:rsidRPr="00C26170">
              <w:rPr>
                <w:rFonts w:cstheme="minorHAnsi"/>
                <w:szCs w:val="20"/>
              </w:rPr>
              <w:t>Mongeau-Pérusse et al. (2021)</w:t>
            </w:r>
          </w:p>
        </w:tc>
      </w:tr>
      <w:tr w:rsidR="00B80B9A" w:rsidRPr="002F020F" w14:paraId="37DA1591"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5D52F3F7" w14:textId="77777777" w:rsidR="00B80B9A" w:rsidRPr="002F020F" w:rsidRDefault="00B80B9A" w:rsidP="004361E5">
            <w:r w:rsidRPr="002F020F">
              <w:t>Study Design</w:t>
            </w:r>
          </w:p>
        </w:tc>
        <w:tc>
          <w:tcPr>
            <w:tcW w:w="3884" w:type="pct"/>
          </w:tcPr>
          <w:p w14:paraId="5266410B" w14:textId="77777777" w:rsidR="00B80B9A" w:rsidRPr="002F020F" w:rsidRDefault="00B80B9A" w:rsidP="00B80B9A">
            <w:pPr>
              <w:pStyle w:val="ListParagraph"/>
              <w:numPr>
                <w:ilvl w:val="0"/>
                <w:numId w:val="9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Pr>
                <w:rFonts w:cstheme="minorHAnsi"/>
                <w:szCs w:val="20"/>
              </w:rPr>
              <w:t>Double-blind, r</w:t>
            </w:r>
            <w:r w:rsidRPr="004153AB">
              <w:rPr>
                <w:rFonts w:cstheme="minorHAnsi"/>
                <w:szCs w:val="20"/>
              </w:rPr>
              <w:t>andomi</w:t>
            </w:r>
            <w:r>
              <w:rPr>
                <w:rFonts w:cstheme="minorHAnsi"/>
                <w:szCs w:val="20"/>
              </w:rPr>
              <w:t>s</w:t>
            </w:r>
            <w:r w:rsidRPr="004153AB">
              <w:rPr>
                <w:rFonts w:cstheme="minorHAnsi"/>
                <w:szCs w:val="20"/>
              </w:rPr>
              <w:t xml:space="preserve">ed, </w:t>
            </w:r>
            <w:r>
              <w:rPr>
                <w:rFonts w:cstheme="minorHAnsi"/>
                <w:szCs w:val="20"/>
              </w:rPr>
              <w:t>placebo-</w:t>
            </w:r>
            <w:r w:rsidRPr="004153AB">
              <w:rPr>
                <w:rFonts w:cstheme="minorHAnsi"/>
                <w:szCs w:val="20"/>
              </w:rPr>
              <w:t>controlled</w:t>
            </w:r>
            <w:r>
              <w:rPr>
                <w:rFonts w:cstheme="minorHAnsi"/>
                <w:szCs w:val="20"/>
              </w:rPr>
              <w:t>,</w:t>
            </w:r>
            <w:r w:rsidRPr="004153AB">
              <w:rPr>
                <w:rFonts w:cstheme="minorHAnsi"/>
                <w:szCs w:val="20"/>
              </w:rPr>
              <w:t xml:space="preserve"> trial</w:t>
            </w:r>
            <w:r>
              <w:rPr>
                <w:rFonts w:cstheme="minorHAnsi"/>
                <w:szCs w:val="20"/>
              </w:rPr>
              <w:t>.</w:t>
            </w:r>
          </w:p>
        </w:tc>
      </w:tr>
      <w:tr w:rsidR="00B80B9A" w:rsidRPr="002F020F" w14:paraId="402A7533"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447A3BF5" w14:textId="77777777" w:rsidR="00B80B9A" w:rsidRPr="002F020F" w:rsidRDefault="00B80B9A" w:rsidP="004361E5">
            <w:r w:rsidRPr="002F020F">
              <w:t>Sample Size</w:t>
            </w:r>
          </w:p>
        </w:tc>
        <w:tc>
          <w:tcPr>
            <w:tcW w:w="3884" w:type="pct"/>
          </w:tcPr>
          <w:p w14:paraId="205B0F81" w14:textId="77777777" w:rsidR="00B80B9A"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Pr>
                <w:szCs w:val="20"/>
              </w:rPr>
              <w:t>50 participants (per-protocol sample).</w:t>
            </w:r>
          </w:p>
          <w:p w14:paraId="31DCBB8B" w14:textId="04A47087" w:rsidR="002257EC" w:rsidRDefault="002257EC"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Pr>
                <w:szCs w:val="20"/>
              </w:rPr>
              <w:t>78 participants randomised</w:t>
            </w:r>
            <w:r w:rsidR="0043378D">
              <w:rPr>
                <w:szCs w:val="20"/>
              </w:rPr>
              <w:t xml:space="preserve"> and 28 participants did not complete</w:t>
            </w:r>
            <w:r w:rsidR="00B03DCB">
              <w:rPr>
                <w:szCs w:val="20"/>
              </w:rPr>
              <w:t xml:space="preserve"> the trial</w:t>
            </w:r>
            <w:r w:rsidR="0043378D">
              <w:rPr>
                <w:szCs w:val="20"/>
              </w:rPr>
              <w:t xml:space="preserve"> for various reasons (</w:t>
            </w:r>
            <w:r w:rsidR="00CE6473">
              <w:rPr>
                <w:szCs w:val="20"/>
              </w:rPr>
              <w:t>i.e.</w:t>
            </w:r>
            <w:r w:rsidR="0043378D">
              <w:rPr>
                <w:szCs w:val="20"/>
              </w:rPr>
              <w:t xml:space="preserve">, </w:t>
            </w:r>
            <w:r w:rsidR="00B03DCB">
              <w:rPr>
                <w:szCs w:val="20"/>
              </w:rPr>
              <w:t xml:space="preserve">treatment refusal; investigator decision; lost to follow-up; </w:t>
            </w:r>
            <w:r w:rsidR="00CE6473">
              <w:rPr>
                <w:szCs w:val="20"/>
              </w:rPr>
              <w:t xml:space="preserve">study </w:t>
            </w:r>
            <w:r w:rsidR="00B03DCB">
              <w:rPr>
                <w:szCs w:val="20"/>
              </w:rPr>
              <w:t>withdrawal)</w:t>
            </w:r>
            <w:r>
              <w:rPr>
                <w:szCs w:val="20"/>
              </w:rPr>
              <w:t>.</w:t>
            </w:r>
          </w:p>
          <w:p w14:paraId="606E981C" w14:textId="3D243A48" w:rsidR="00B80B9A"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Pr>
                <w:szCs w:val="20"/>
              </w:rPr>
              <w:lastRenderedPageBreak/>
              <w:t>CBD group: 40 participants randomised and 13 participants excluded for various reasons (5 participants did not complete Phase I; and 8 participants did not complete Phase II).</w:t>
            </w:r>
          </w:p>
          <w:p w14:paraId="0DCE589F" w14:textId="77777777" w:rsidR="00B80B9A" w:rsidRPr="003306C8"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Pr>
                <w:szCs w:val="20"/>
              </w:rPr>
              <w:t>Placebo group: 38 participants randomised and 15 participants excluded for various reasons (11 participants did not complete Phase I; and 4 participants did not complete Phase II).</w:t>
            </w:r>
          </w:p>
        </w:tc>
      </w:tr>
      <w:tr w:rsidR="00B80B9A" w:rsidRPr="002F020F" w14:paraId="5A948D1E"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37DEEA2A" w14:textId="77777777" w:rsidR="00B80B9A" w:rsidRPr="0094024F" w:rsidRDefault="00B80B9A" w:rsidP="004361E5">
            <w:pPr>
              <w:rPr>
                <w:b w:val="0"/>
                <w:bCs w:val="0"/>
              </w:rPr>
            </w:pPr>
            <w:r w:rsidRPr="002F020F">
              <w:lastRenderedPageBreak/>
              <w:t>Population</w:t>
            </w:r>
          </w:p>
        </w:tc>
        <w:tc>
          <w:tcPr>
            <w:tcW w:w="3884" w:type="pct"/>
          </w:tcPr>
          <w:p w14:paraId="7DCA0F6B" w14:textId="77777777" w:rsidR="00B80B9A" w:rsidRPr="00E171ED" w:rsidRDefault="00B80B9A" w:rsidP="00B80B9A">
            <w:pPr>
              <w:pStyle w:val="ListParagraph"/>
              <w:numPr>
                <w:ilvl w:val="0"/>
                <w:numId w:val="93"/>
              </w:num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171ED">
              <w:rPr>
                <w:rFonts w:cstheme="minorHAnsi"/>
                <w:color w:val="000000"/>
                <w:szCs w:val="20"/>
              </w:rPr>
              <w:t>Canada</w:t>
            </w:r>
            <w:r>
              <w:rPr>
                <w:rFonts w:cstheme="minorHAnsi"/>
                <w:color w:val="000000"/>
                <w:szCs w:val="20"/>
              </w:rPr>
              <w:t>.</w:t>
            </w:r>
            <w:r w:rsidRPr="00E171ED">
              <w:rPr>
                <w:rFonts w:cstheme="minorHAnsi"/>
                <w:color w:val="000000"/>
                <w:szCs w:val="20"/>
              </w:rPr>
              <w:t xml:space="preserve"> </w:t>
            </w:r>
          </w:p>
          <w:p w14:paraId="4BBE649F" w14:textId="77777777" w:rsidR="00B80B9A" w:rsidRDefault="00B80B9A" w:rsidP="00B80B9A">
            <w:pPr>
              <w:pStyle w:val="ListParagraph"/>
              <w:numPr>
                <w:ilvl w:val="0"/>
                <w:numId w:val="93"/>
              </w:num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171ED">
              <w:rPr>
                <w:rFonts w:cstheme="minorHAnsi"/>
                <w:color w:val="000000"/>
                <w:szCs w:val="20"/>
              </w:rPr>
              <w:t>Cocaine use disorder (</w:t>
            </w:r>
            <w:r>
              <w:rPr>
                <w:rFonts w:cstheme="minorHAnsi"/>
                <w:color w:val="000000"/>
                <w:szCs w:val="20"/>
              </w:rPr>
              <w:t>DSM-5</w:t>
            </w:r>
            <w:r w:rsidRPr="00E171ED">
              <w:rPr>
                <w:rFonts w:cstheme="minorHAnsi"/>
                <w:color w:val="000000"/>
                <w:szCs w:val="20"/>
              </w:rPr>
              <w:t xml:space="preserve"> criteria)</w:t>
            </w:r>
            <w:r>
              <w:rPr>
                <w:rFonts w:cstheme="minorHAnsi"/>
                <w:color w:val="000000"/>
                <w:szCs w:val="20"/>
              </w:rPr>
              <w:t>.</w:t>
            </w:r>
            <w:r w:rsidRPr="00E171ED">
              <w:rPr>
                <w:rFonts w:cstheme="minorHAnsi"/>
                <w:color w:val="000000"/>
                <w:szCs w:val="20"/>
              </w:rPr>
              <w:t xml:space="preserve"> </w:t>
            </w:r>
          </w:p>
          <w:p w14:paraId="6226FF34" w14:textId="77777777" w:rsidR="00B80B9A" w:rsidRPr="00E171ED" w:rsidRDefault="00B80B9A" w:rsidP="00B80B9A">
            <w:pPr>
              <w:pStyle w:val="ListParagraph"/>
              <w:numPr>
                <w:ilvl w:val="0"/>
                <w:numId w:val="93"/>
              </w:num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T</w:t>
            </w:r>
            <w:r w:rsidRPr="00E171ED">
              <w:rPr>
                <w:rFonts w:cstheme="minorHAnsi"/>
                <w:color w:val="000000"/>
                <w:szCs w:val="20"/>
              </w:rPr>
              <w:t>reatment</w:t>
            </w:r>
            <w:r>
              <w:rPr>
                <w:rFonts w:cstheme="minorHAnsi"/>
                <w:color w:val="000000"/>
                <w:szCs w:val="20"/>
              </w:rPr>
              <w:t xml:space="preserve"> </w:t>
            </w:r>
            <w:r w:rsidRPr="00E171ED">
              <w:rPr>
                <w:rFonts w:cstheme="minorHAnsi"/>
                <w:color w:val="000000"/>
                <w:szCs w:val="20"/>
              </w:rPr>
              <w:t>seeking.</w:t>
            </w:r>
          </w:p>
          <w:p w14:paraId="0D1946C2" w14:textId="77777777" w:rsidR="00B80B9A" w:rsidRPr="00E171ED" w:rsidRDefault="00B80B9A" w:rsidP="00B80B9A">
            <w:pPr>
              <w:pStyle w:val="ListParagraph"/>
              <w:numPr>
                <w:ilvl w:val="0"/>
                <w:numId w:val="93"/>
              </w:num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E171ED">
              <w:rPr>
                <w:rFonts w:cstheme="minorHAnsi"/>
                <w:color w:val="000000"/>
                <w:szCs w:val="20"/>
              </w:rPr>
              <w:t xml:space="preserve">I [CBD]: </w:t>
            </w:r>
            <w:r>
              <w:rPr>
                <w:rFonts w:cstheme="minorHAnsi"/>
                <w:color w:val="000000"/>
                <w:szCs w:val="20"/>
              </w:rPr>
              <w:t xml:space="preserve">M = </w:t>
            </w:r>
            <w:r w:rsidRPr="00E171ED">
              <w:rPr>
                <w:rFonts w:cstheme="minorHAnsi"/>
                <w:color w:val="000000"/>
                <w:szCs w:val="20"/>
              </w:rPr>
              <w:t>46.0 years (</w:t>
            </w:r>
            <w:r>
              <w:rPr>
                <w:rFonts w:cstheme="minorHAnsi"/>
                <w:color w:val="000000"/>
                <w:szCs w:val="20"/>
              </w:rPr>
              <w:t xml:space="preserve">SD = </w:t>
            </w:r>
            <w:r w:rsidRPr="00E171ED">
              <w:rPr>
                <w:rFonts w:cstheme="minorHAnsi"/>
                <w:color w:val="000000"/>
                <w:szCs w:val="20"/>
              </w:rPr>
              <w:t>10.7); 82.5% male.</w:t>
            </w:r>
          </w:p>
          <w:p w14:paraId="1DBC444A" w14:textId="77777777" w:rsidR="00B80B9A" w:rsidRPr="002F020F" w:rsidRDefault="00B80B9A" w:rsidP="00B80B9A">
            <w:pPr>
              <w:pStyle w:val="ListParagraph"/>
              <w:numPr>
                <w:ilvl w:val="0"/>
                <w:numId w:val="93"/>
              </w:numPr>
              <w:spacing w:after="120"/>
              <w:cnfStyle w:val="000000100000" w:firstRow="0" w:lastRow="0" w:firstColumn="0" w:lastColumn="0" w:oddVBand="0" w:evenVBand="0" w:oddHBand="1" w:evenHBand="0" w:firstRowFirstColumn="0" w:firstRowLastColumn="0" w:lastRowFirstColumn="0" w:lastRowLastColumn="0"/>
            </w:pPr>
            <w:r w:rsidRPr="00F730BF">
              <w:rPr>
                <w:rFonts w:cstheme="minorHAnsi"/>
                <w:color w:val="000000"/>
                <w:szCs w:val="20"/>
              </w:rPr>
              <w:t xml:space="preserve">C [placebo]: </w:t>
            </w:r>
            <w:r>
              <w:rPr>
                <w:rFonts w:cstheme="minorHAnsi"/>
                <w:color w:val="000000"/>
                <w:szCs w:val="20"/>
              </w:rPr>
              <w:t>M = 45.8</w:t>
            </w:r>
            <w:r w:rsidRPr="00F730BF">
              <w:rPr>
                <w:rFonts w:cstheme="minorHAnsi"/>
                <w:color w:val="000000"/>
                <w:szCs w:val="20"/>
              </w:rPr>
              <w:t xml:space="preserve"> years (</w:t>
            </w:r>
            <w:r>
              <w:rPr>
                <w:rFonts w:cstheme="minorHAnsi"/>
                <w:color w:val="000000"/>
                <w:szCs w:val="20"/>
              </w:rPr>
              <w:t>SD = 11.8</w:t>
            </w:r>
            <w:r w:rsidRPr="00F730BF">
              <w:rPr>
                <w:rFonts w:cstheme="minorHAnsi"/>
                <w:color w:val="000000"/>
                <w:szCs w:val="20"/>
              </w:rPr>
              <w:t>)</w:t>
            </w:r>
            <w:r>
              <w:rPr>
                <w:rFonts w:cstheme="minorHAnsi"/>
                <w:color w:val="000000"/>
                <w:szCs w:val="20"/>
              </w:rPr>
              <w:t>; 81.6% male.</w:t>
            </w:r>
          </w:p>
        </w:tc>
      </w:tr>
      <w:tr w:rsidR="00B80B9A" w:rsidRPr="002F020F" w14:paraId="0184B276"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0FF6A79F" w14:textId="77777777" w:rsidR="00B80B9A" w:rsidRPr="002F020F" w:rsidRDefault="00B80B9A" w:rsidP="004361E5">
            <w:pPr>
              <w:spacing w:line="259" w:lineRule="auto"/>
              <w:rPr>
                <w:b w:val="0"/>
                <w:bCs w:val="0"/>
              </w:rPr>
            </w:pPr>
            <w:r w:rsidRPr="002F020F">
              <w:t xml:space="preserve">Intervention/s (I) and </w:t>
            </w:r>
          </w:p>
          <w:p w14:paraId="04892B93" w14:textId="77777777" w:rsidR="00B80B9A" w:rsidRPr="002F020F" w:rsidRDefault="00B80B9A" w:rsidP="004361E5">
            <w:pPr>
              <w:spacing w:line="259" w:lineRule="auto"/>
            </w:pPr>
            <w:r w:rsidRPr="002F020F">
              <w:t xml:space="preserve">Comparator/s (C) </w:t>
            </w:r>
          </w:p>
        </w:tc>
        <w:tc>
          <w:tcPr>
            <w:tcW w:w="3884" w:type="pct"/>
          </w:tcPr>
          <w:p w14:paraId="1D594B58" w14:textId="28EDE022" w:rsidR="00B80B9A" w:rsidRPr="001419A5" w:rsidRDefault="00B80B9A" w:rsidP="00B80B9A">
            <w:pPr>
              <w:pStyle w:val="ListParagraph"/>
              <w:numPr>
                <w:ilvl w:val="0"/>
                <w:numId w:val="94"/>
              </w:numPr>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1419A5">
              <w:rPr>
                <w:rFonts w:cstheme="minorHAnsi"/>
                <w:color w:val="000000"/>
                <w:szCs w:val="20"/>
              </w:rPr>
              <w:t xml:space="preserve">All participants received </w:t>
            </w:r>
            <w:r>
              <w:rPr>
                <w:rFonts w:cstheme="minorHAnsi"/>
                <w:color w:val="000000"/>
                <w:szCs w:val="20"/>
              </w:rPr>
              <w:t xml:space="preserve">an oral solution and were offered </w:t>
            </w:r>
            <w:r w:rsidR="00D171A5">
              <w:rPr>
                <w:rFonts w:cstheme="minorHAnsi"/>
                <w:color w:val="000000"/>
                <w:szCs w:val="20"/>
              </w:rPr>
              <w:t xml:space="preserve">group </w:t>
            </w:r>
            <w:r w:rsidRPr="001419A5">
              <w:rPr>
                <w:rFonts w:cstheme="minorHAnsi"/>
                <w:color w:val="000000"/>
                <w:szCs w:val="20"/>
              </w:rPr>
              <w:t>psychotherapy.</w:t>
            </w:r>
          </w:p>
          <w:p w14:paraId="05AC3781" w14:textId="77777777" w:rsidR="00B80B9A" w:rsidRPr="00144B5B" w:rsidRDefault="00B80B9A" w:rsidP="00B80B9A">
            <w:pPr>
              <w:pStyle w:val="ListParagraph"/>
              <w:numPr>
                <w:ilvl w:val="0"/>
                <w:numId w:val="94"/>
              </w:numPr>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144B5B">
              <w:rPr>
                <w:rFonts w:cstheme="minorHAnsi"/>
                <w:color w:val="000000"/>
                <w:szCs w:val="20"/>
              </w:rPr>
              <w:t>Phase I (10</w:t>
            </w:r>
            <w:r>
              <w:rPr>
                <w:rFonts w:cstheme="minorHAnsi"/>
                <w:color w:val="000000"/>
                <w:szCs w:val="20"/>
              </w:rPr>
              <w:t>-day inpatient detoxification</w:t>
            </w:r>
            <w:r w:rsidRPr="00144B5B">
              <w:rPr>
                <w:rFonts w:cstheme="minorHAnsi"/>
                <w:color w:val="000000"/>
                <w:szCs w:val="20"/>
              </w:rPr>
              <w:t xml:space="preserve">): </w:t>
            </w:r>
            <w:r>
              <w:rPr>
                <w:rFonts w:cstheme="minorHAnsi"/>
                <w:color w:val="000000"/>
                <w:szCs w:val="20"/>
              </w:rPr>
              <w:t>nurse-administered medication</w:t>
            </w:r>
            <w:r w:rsidRPr="00144B5B">
              <w:rPr>
                <w:rFonts w:cstheme="minorHAnsi"/>
                <w:color w:val="000000"/>
                <w:szCs w:val="20"/>
              </w:rPr>
              <w:t xml:space="preserve"> </w:t>
            </w:r>
            <w:r>
              <w:rPr>
                <w:rFonts w:cstheme="minorHAnsi"/>
                <w:color w:val="000000"/>
                <w:szCs w:val="20"/>
              </w:rPr>
              <w:t>provided</w:t>
            </w:r>
            <w:r w:rsidRPr="00144B5B">
              <w:rPr>
                <w:rFonts w:cstheme="minorHAnsi"/>
                <w:color w:val="000000"/>
                <w:szCs w:val="20"/>
              </w:rPr>
              <w:t xml:space="preserve"> every day with group</w:t>
            </w:r>
            <w:r>
              <w:rPr>
                <w:rFonts w:cstheme="minorHAnsi"/>
                <w:color w:val="000000"/>
                <w:szCs w:val="20"/>
              </w:rPr>
              <w:t xml:space="preserve"> psychoeducation </w:t>
            </w:r>
            <w:r w:rsidRPr="00144B5B">
              <w:rPr>
                <w:rFonts w:cstheme="minorHAnsi"/>
                <w:color w:val="000000"/>
                <w:szCs w:val="20"/>
              </w:rPr>
              <w:t>session</w:t>
            </w:r>
            <w:r>
              <w:rPr>
                <w:rFonts w:cstheme="minorHAnsi"/>
                <w:color w:val="000000"/>
                <w:szCs w:val="20"/>
              </w:rPr>
              <w:t xml:space="preserve"> and standard medical care</w:t>
            </w:r>
            <w:r w:rsidRPr="00144B5B">
              <w:rPr>
                <w:rFonts w:cstheme="minorHAnsi"/>
                <w:color w:val="000000"/>
                <w:szCs w:val="20"/>
              </w:rPr>
              <w:t>.</w:t>
            </w:r>
          </w:p>
          <w:p w14:paraId="3AD9FCBF" w14:textId="77777777" w:rsidR="00B80B9A" w:rsidRDefault="00B80B9A" w:rsidP="00B80B9A">
            <w:pPr>
              <w:pStyle w:val="ListParagraph"/>
              <w:numPr>
                <w:ilvl w:val="0"/>
                <w:numId w:val="94"/>
              </w:numPr>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144B5B">
              <w:rPr>
                <w:rFonts w:cstheme="minorHAnsi"/>
                <w:color w:val="000000"/>
                <w:szCs w:val="20"/>
              </w:rPr>
              <w:t>Phase II (12</w:t>
            </w:r>
            <w:r>
              <w:rPr>
                <w:rFonts w:cstheme="minorHAnsi"/>
                <w:color w:val="000000"/>
                <w:szCs w:val="20"/>
              </w:rPr>
              <w:t>-</w:t>
            </w:r>
            <w:r w:rsidRPr="00144B5B">
              <w:rPr>
                <w:rFonts w:cstheme="minorHAnsi"/>
                <w:color w:val="000000"/>
                <w:szCs w:val="20"/>
              </w:rPr>
              <w:t>week</w:t>
            </w:r>
            <w:r>
              <w:rPr>
                <w:rFonts w:cstheme="minorHAnsi"/>
                <w:color w:val="000000"/>
                <w:szCs w:val="20"/>
              </w:rPr>
              <w:t xml:space="preserve"> outpatient follow-up</w:t>
            </w:r>
            <w:r w:rsidRPr="00144B5B">
              <w:rPr>
                <w:rFonts w:cstheme="minorHAnsi"/>
                <w:color w:val="000000"/>
                <w:szCs w:val="20"/>
              </w:rPr>
              <w:t xml:space="preserve">): </w:t>
            </w:r>
            <w:r>
              <w:rPr>
                <w:rFonts w:cstheme="minorHAnsi"/>
                <w:color w:val="000000"/>
                <w:szCs w:val="20"/>
              </w:rPr>
              <w:t xml:space="preserve">self-administered </w:t>
            </w:r>
            <w:r w:rsidRPr="00144B5B">
              <w:rPr>
                <w:rFonts w:cstheme="minorHAnsi"/>
                <w:color w:val="000000"/>
                <w:szCs w:val="20"/>
              </w:rPr>
              <w:t>medication</w:t>
            </w:r>
            <w:r>
              <w:rPr>
                <w:rFonts w:cstheme="minorHAnsi"/>
                <w:color w:val="000000"/>
                <w:szCs w:val="20"/>
              </w:rPr>
              <w:t xml:space="preserve"> </w:t>
            </w:r>
            <w:r w:rsidRPr="00144B5B">
              <w:rPr>
                <w:rFonts w:cstheme="minorHAnsi"/>
                <w:color w:val="000000"/>
                <w:szCs w:val="20"/>
              </w:rPr>
              <w:t xml:space="preserve">provided every week </w:t>
            </w:r>
            <w:r>
              <w:rPr>
                <w:rFonts w:cstheme="minorHAnsi"/>
                <w:color w:val="000000"/>
                <w:szCs w:val="20"/>
              </w:rPr>
              <w:t>w</w:t>
            </w:r>
            <w:r w:rsidRPr="00144B5B">
              <w:rPr>
                <w:rFonts w:cstheme="minorHAnsi"/>
                <w:color w:val="000000"/>
                <w:szCs w:val="20"/>
              </w:rPr>
              <w:t xml:space="preserve">ith </w:t>
            </w:r>
            <w:r>
              <w:rPr>
                <w:rFonts w:cstheme="minorHAnsi"/>
                <w:color w:val="000000"/>
                <w:szCs w:val="20"/>
              </w:rPr>
              <w:t xml:space="preserve">group </w:t>
            </w:r>
            <w:r w:rsidRPr="00144B5B">
              <w:rPr>
                <w:rFonts w:cstheme="minorHAnsi"/>
                <w:color w:val="000000"/>
                <w:szCs w:val="20"/>
              </w:rPr>
              <w:t>relapse</w:t>
            </w:r>
            <w:r>
              <w:rPr>
                <w:rFonts w:cstheme="minorHAnsi"/>
                <w:color w:val="000000"/>
                <w:szCs w:val="20"/>
              </w:rPr>
              <w:t xml:space="preserve"> </w:t>
            </w:r>
            <w:r w:rsidRPr="00144B5B">
              <w:rPr>
                <w:rFonts w:cstheme="minorHAnsi"/>
                <w:color w:val="000000"/>
                <w:szCs w:val="20"/>
              </w:rPr>
              <w:t>prevention session and standard medical follow-up.</w:t>
            </w:r>
          </w:p>
          <w:p w14:paraId="57C1FDA8" w14:textId="77777777" w:rsidR="00B80B9A" w:rsidRPr="00144B5B" w:rsidRDefault="00B80B9A" w:rsidP="00B80B9A">
            <w:pPr>
              <w:pStyle w:val="ListParagraph"/>
              <w:numPr>
                <w:ilvl w:val="0"/>
                <w:numId w:val="94"/>
              </w:numPr>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144B5B">
              <w:rPr>
                <w:rFonts w:cstheme="minorHAnsi"/>
                <w:color w:val="000000"/>
                <w:szCs w:val="20"/>
              </w:rPr>
              <w:t>I (n = 40): 800 mg</w:t>
            </w:r>
            <w:r>
              <w:rPr>
                <w:rFonts w:cstheme="minorHAnsi"/>
                <w:color w:val="000000"/>
                <w:szCs w:val="20"/>
              </w:rPr>
              <w:t xml:space="preserve"> CBD</w:t>
            </w:r>
            <w:r w:rsidRPr="00144B5B">
              <w:rPr>
                <w:rFonts w:cstheme="minorHAnsi"/>
                <w:color w:val="000000"/>
                <w:szCs w:val="20"/>
              </w:rPr>
              <w:t>.</w:t>
            </w:r>
          </w:p>
          <w:p w14:paraId="482D00CE" w14:textId="77777777" w:rsidR="00B80B9A" w:rsidRPr="002F020F" w:rsidRDefault="00B80B9A" w:rsidP="00B80B9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pPr>
            <w:r>
              <w:rPr>
                <w:rFonts w:cstheme="minorHAnsi"/>
                <w:color w:val="000000"/>
                <w:szCs w:val="20"/>
              </w:rPr>
              <w:t xml:space="preserve">C </w:t>
            </w:r>
            <w:r w:rsidRPr="00F84337">
              <w:rPr>
                <w:rFonts w:cstheme="minorHAnsi"/>
                <w:color w:val="000000"/>
                <w:szCs w:val="20"/>
              </w:rPr>
              <w:t>(n = 38)</w:t>
            </w:r>
            <w:r>
              <w:rPr>
                <w:rFonts w:cstheme="minorHAnsi"/>
                <w:color w:val="000000"/>
                <w:szCs w:val="20"/>
              </w:rPr>
              <w:t xml:space="preserve">: matched </w:t>
            </w:r>
            <w:r w:rsidRPr="00F84337">
              <w:rPr>
                <w:rFonts w:cstheme="minorHAnsi"/>
                <w:color w:val="000000"/>
                <w:szCs w:val="20"/>
              </w:rPr>
              <w:t>placebo</w:t>
            </w:r>
            <w:r>
              <w:rPr>
                <w:rFonts w:cstheme="minorHAnsi"/>
                <w:color w:val="000000"/>
                <w:szCs w:val="20"/>
              </w:rPr>
              <w:t>.</w:t>
            </w:r>
            <w:r w:rsidRPr="00F84337">
              <w:rPr>
                <w:rFonts w:cstheme="minorHAnsi"/>
                <w:color w:val="000000"/>
                <w:szCs w:val="20"/>
              </w:rPr>
              <w:t xml:space="preserve"> </w:t>
            </w:r>
          </w:p>
        </w:tc>
      </w:tr>
      <w:tr w:rsidR="00B80B9A" w:rsidRPr="002F020F" w14:paraId="2FB24B23"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5ABF0141" w14:textId="77777777" w:rsidR="00B80B9A" w:rsidRPr="002F020F" w:rsidRDefault="00B80B9A" w:rsidP="004361E5">
            <w:pPr>
              <w:spacing w:line="259" w:lineRule="auto"/>
            </w:pPr>
            <w:r w:rsidRPr="002F020F">
              <w:t>Outcome Measure/s</w:t>
            </w:r>
          </w:p>
        </w:tc>
        <w:tc>
          <w:tcPr>
            <w:tcW w:w="3884" w:type="pct"/>
          </w:tcPr>
          <w:p w14:paraId="6C9FF0C8" w14:textId="77777777" w:rsidR="00B80B9A" w:rsidRDefault="00B80B9A" w:rsidP="00B80B9A">
            <w:pPr>
              <w:pStyle w:val="ListParagraph"/>
              <w:numPr>
                <w:ilvl w:val="0"/>
                <w:numId w:val="89"/>
              </w:num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 xml:space="preserve">Phase I (10-day inpatient detoxification): </w:t>
            </w:r>
          </w:p>
          <w:p w14:paraId="4EE5099D" w14:textId="77777777" w:rsidR="00B80B9A" w:rsidRDefault="00B80B9A" w:rsidP="00B80B9A">
            <w:pPr>
              <w:pStyle w:val="ListParagraph"/>
              <w:numPr>
                <w:ilvl w:val="1"/>
                <w:numId w:val="89"/>
              </w:numPr>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 xml:space="preserve">Primary: drug-cue-induced craving as measured by the </w:t>
            </w:r>
            <w:r w:rsidRPr="00E8169F">
              <w:rPr>
                <w:rFonts w:cstheme="minorHAnsi"/>
                <w:color w:val="000000"/>
                <w:szCs w:val="20"/>
              </w:rPr>
              <w:t xml:space="preserve">Visual Analog Scale for </w:t>
            </w:r>
            <w:r>
              <w:rPr>
                <w:rFonts w:cstheme="minorHAnsi"/>
                <w:color w:val="000000"/>
                <w:szCs w:val="20"/>
              </w:rPr>
              <w:t>C</w:t>
            </w:r>
            <w:r w:rsidRPr="00E8169F">
              <w:rPr>
                <w:rFonts w:cstheme="minorHAnsi"/>
                <w:color w:val="000000"/>
                <w:szCs w:val="20"/>
              </w:rPr>
              <w:t>raving (VAS-C</w:t>
            </w:r>
            <w:r>
              <w:rPr>
                <w:rFonts w:cstheme="minorHAnsi"/>
                <w:color w:val="000000"/>
                <w:szCs w:val="20"/>
              </w:rPr>
              <w:t>; self-report</w:t>
            </w:r>
            <w:r w:rsidRPr="00E8169F">
              <w:rPr>
                <w:rFonts w:cstheme="minorHAnsi"/>
                <w:color w:val="000000"/>
                <w:szCs w:val="20"/>
              </w:rPr>
              <w:t>)</w:t>
            </w:r>
            <w:r>
              <w:rPr>
                <w:rFonts w:cstheme="minorHAnsi"/>
                <w:color w:val="000000"/>
                <w:szCs w:val="20"/>
              </w:rPr>
              <w:t xml:space="preserve"> during a guided-imagery session (drug, stress, and neutral cues) on day 8.</w:t>
            </w:r>
          </w:p>
          <w:p w14:paraId="43AEA7AC" w14:textId="77777777" w:rsidR="00B80B9A" w:rsidRPr="00E8169F" w:rsidRDefault="00B80B9A" w:rsidP="00B80B9A">
            <w:pPr>
              <w:pStyle w:val="ListParagraph"/>
              <w:numPr>
                <w:ilvl w:val="1"/>
                <w:numId w:val="89"/>
              </w:numPr>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 xml:space="preserve">Secondary: stress-cue-induced craving as measured by the </w:t>
            </w:r>
            <w:r w:rsidRPr="00E8169F">
              <w:rPr>
                <w:rFonts w:cstheme="minorHAnsi"/>
                <w:color w:val="000000"/>
                <w:szCs w:val="20"/>
              </w:rPr>
              <w:t xml:space="preserve">Visual Analog Scale for </w:t>
            </w:r>
            <w:r>
              <w:rPr>
                <w:rFonts w:cstheme="minorHAnsi"/>
                <w:color w:val="000000"/>
                <w:szCs w:val="20"/>
              </w:rPr>
              <w:t>C</w:t>
            </w:r>
            <w:r w:rsidRPr="00E8169F">
              <w:rPr>
                <w:rFonts w:cstheme="minorHAnsi"/>
                <w:color w:val="000000"/>
                <w:szCs w:val="20"/>
              </w:rPr>
              <w:t>raving (VAS-C</w:t>
            </w:r>
            <w:r>
              <w:rPr>
                <w:rFonts w:cstheme="minorHAnsi"/>
                <w:color w:val="000000"/>
                <w:szCs w:val="20"/>
              </w:rPr>
              <w:t>; self-report</w:t>
            </w:r>
            <w:r w:rsidRPr="00E8169F">
              <w:rPr>
                <w:rFonts w:cstheme="minorHAnsi"/>
                <w:color w:val="000000"/>
                <w:szCs w:val="20"/>
              </w:rPr>
              <w:t>)</w:t>
            </w:r>
            <w:r>
              <w:rPr>
                <w:rFonts w:cstheme="minorHAnsi"/>
                <w:color w:val="000000"/>
                <w:szCs w:val="20"/>
              </w:rPr>
              <w:t xml:space="preserve"> during a guided-imagery session (drug, stress, and neutral cues) on day 8. </w:t>
            </w:r>
          </w:p>
          <w:p w14:paraId="1E6350F2" w14:textId="77777777" w:rsidR="00B80B9A" w:rsidRPr="00344986" w:rsidRDefault="00B80B9A" w:rsidP="00B80B9A">
            <w:pPr>
              <w:pStyle w:val="ListParagraph"/>
              <w:numPr>
                <w:ilvl w:val="0"/>
                <w:numId w:val="89"/>
              </w:numPr>
              <w:spacing w:after="120"/>
              <w:cnfStyle w:val="000000100000" w:firstRow="0" w:lastRow="0" w:firstColumn="0" w:lastColumn="0" w:oddVBand="0" w:evenVBand="0" w:oddHBand="1" w:evenHBand="0" w:firstRowFirstColumn="0" w:firstRowLastColumn="0" w:lastRowFirstColumn="0" w:lastRowLastColumn="0"/>
            </w:pPr>
            <w:r>
              <w:rPr>
                <w:rFonts w:cstheme="minorHAnsi"/>
                <w:color w:val="000000"/>
                <w:szCs w:val="20"/>
              </w:rPr>
              <w:t xml:space="preserve">Phase II (12-week outpatient): </w:t>
            </w:r>
          </w:p>
          <w:p w14:paraId="6325171F" w14:textId="77777777" w:rsidR="00B80B9A" w:rsidRPr="009E6C1B" w:rsidRDefault="00B80B9A" w:rsidP="00B80B9A">
            <w:pPr>
              <w:pStyle w:val="ListParagraph"/>
              <w:numPr>
                <w:ilvl w:val="1"/>
                <w:numId w:val="89"/>
              </w:numPr>
              <w:spacing w:after="120"/>
              <w:ind w:left="714" w:hanging="357"/>
              <w:cnfStyle w:val="000000100000" w:firstRow="0" w:lastRow="0" w:firstColumn="0" w:lastColumn="0" w:oddVBand="0" w:evenVBand="0" w:oddHBand="1" w:evenHBand="0" w:firstRowFirstColumn="0" w:firstRowLastColumn="0" w:lastRowFirstColumn="0" w:lastRowLastColumn="0"/>
            </w:pPr>
            <w:r>
              <w:rPr>
                <w:rFonts w:cstheme="minorHAnsi"/>
                <w:color w:val="000000"/>
                <w:szCs w:val="20"/>
              </w:rPr>
              <w:t xml:space="preserve">Primary: </w:t>
            </w:r>
            <w:r w:rsidRPr="00E8169F">
              <w:rPr>
                <w:rFonts w:cstheme="minorHAnsi"/>
                <w:color w:val="000000"/>
                <w:szCs w:val="20"/>
              </w:rPr>
              <w:t xml:space="preserve">Time-to-relapse </w:t>
            </w:r>
            <w:r>
              <w:rPr>
                <w:rFonts w:cstheme="minorHAnsi"/>
                <w:color w:val="000000"/>
                <w:szCs w:val="20"/>
              </w:rPr>
              <w:t>cocaine use (number of days from inpatient discharge to first cocaine use) using the Timeline Followback (TLFB) method (self-report) and weekly urinalysis</w:t>
            </w:r>
            <w:r w:rsidRPr="00E8169F">
              <w:rPr>
                <w:rFonts w:cstheme="minorHAnsi"/>
                <w:color w:val="000000"/>
                <w:szCs w:val="20"/>
              </w:rPr>
              <w:t>.</w:t>
            </w:r>
          </w:p>
          <w:p w14:paraId="20F4FDD8" w14:textId="77777777" w:rsidR="00B80B9A" w:rsidRDefault="00B80B9A" w:rsidP="00B80B9A">
            <w:pPr>
              <w:pStyle w:val="ListParagraph"/>
              <w:numPr>
                <w:ilvl w:val="1"/>
                <w:numId w:val="89"/>
              </w:numPr>
              <w:spacing w:after="120"/>
              <w:ind w:left="714" w:hanging="357"/>
              <w:cnfStyle w:val="000000100000" w:firstRow="0" w:lastRow="0" w:firstColumn="0" w:lastColumn="0" w:oddVBand="0" w:evenVBand="0" w:oddHBand="1" w:evenHBand="0" w:firstRowFirstColumn="0" w:firstRowLastColumn="0" w:lastRowFirstColumn="0" w:lastRowLastColumn="0"/>
            </w:pPr>
            <w:r>
              <w:t xml:space="preserve">Secondary: Cocaine use (% positive </w:t>
            </w:r>
            <w:r w:rsidRPr="00D1639E">
              <w:t>urine tests out of the 12 urine samples collected during follow-up</w:t>
            </w:r>
            <w:r>
              <w:t xml:space="preserve">). </w:t>
            </w:r>
          </w:p>
          <w:p w14:paraId="71BB0B6D" w14:textId="77777777" w:rsidR="00B80B9A" w:rsidRPr="002F020F" w:rsidRDefault="00B80B9A" w:rsidP="00B80B9A">
            <w:pPr>
              <w:pStyle w:val="ListParagraph"/>
              <w:numPr>
                <w:ilvl w:val="0"/>
                <w:numId w:val="89"/>
              </w:numPr>
              <w:spacing w:after="120"/>
              <w:cnfStyle w:val="000000100000" w:firstRow="0" w:lastRow="0" w:firstColumn="0" w:lastColumn="0" w:oddVBand="0" w:evenVBand="0" w:oddHBand="1" w:evenHBand="0" w:firstRowFirstColumn="0" w:firstRowLastColumn="0" w:lastRowFirstColumn="0" w:lastRowLastColumn="0"/>
            </w:pPr>
            <w:r>
              <w:t>Blood pressure (BP) and heart rate (HR).</w:t>
            </w:r>
          </w:p>
        </w:tc>
      </w:tr>
      <w:tr w:rsidR="00B80B9A" w:rsidRPr="002F020F" w14:paraId="02539F48"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65F93EFA" w14:textId="77777777" w:rsidR="00B80B9A" w:rsidRPr="002F020F" w:rsidRDefault="00B80B9A" w:rsidP="004361E5">
            <w:r w:rsidRPr="002F020F">
              <w:t>General</w:t>
            </w:r>
          </w:p>
        </w:tc>
        <w:tc>
          <w:tcPr>
            <w:tcW w:w="3884" w:type="pct"/>
          </w:tcPr>
          <w:p w14:paraId="25F1DEAE" w14:textId="77777777" w:rsidR="00B80B9A" w:rsidRPr="006E43F1" w:rsidRDefault="00B80B9A" w:rsidP="00B80B9A">
            <w:pPr>
              <w:pStyle w:val="ListParagraph"/>
              <w:numPr>
                <w:ilvl w:val="0"/>
                <w:numId w:val="8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6E43F1">
              <w:rPr>
                <w:rFonts w:cstheme="minorHAnsi"/>
                <w:color w:val="000000"/>
                <w:szCs w:val="20"/>
              </w:rPr>
              <w:t xml:space="preserve">The trial was divided into two phases: a 10-day inpatient detoxification (Phase I) followed by a 12-week outpatient follow-up (Phase II). </w:t>
            </w:r>
          </w:p>
          <w:p w14:paraId="4AF8753A" w14:textId="77777777" w:rsidR="00B80B9A" w:rsidRPr="006F10F0" w:rsidRDefault="00B80B9A" w:rsidP="00B80B9A">
            <w:pPr>
              <w:pStyle w:val="ListParagraph"/>
              <w:numPr>
                <w:ilvl w:val="0"/>
                <w:numId w:val="8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6E43F1">
              <w:rPr>
                <w:rFonts w:cstheme="minorHAnsi"/>
                <w:color w:val="000000"/>
                <w:szCs w:val="20"/>
              </w:rPr>
              <w:t>Only participants who remained inpatient for all 10 days</w:t>
            </w:r>
            <w:r>
              <w:rPr>
                <w:rFonts w:cstheme="minorHAnsi"/>
                <w:color w:val="000000"/>
                <w:szCs w:val="20"/>
              </w:rPr>
              <w:t xml:space="preserve"> (Phase I)</w:t>
            </w:r>
            <w:r w:rsidRPr="006E43F1">
              <w:rPr>
                <w:rFonts w:cstheme="minorHAnsi"/>
                <w:color w:val="000000"/>
                <w:szCs w:val="20"/>
              </w:rPr>
              <w:t xml:space="preserve"> were eligible for Phase II.</w:t>
            </w:r>
          </w:p>
          <w:p w14:paraId="38B61EDE" w14:textId="77777777" w:rsidR="00B80B9A" w:rsidRPr="00332B84" w:rsidRDefault="00B80B9A" w:rsidP="00B80B9A">
            <w:pPr>
              <w:pStyle w:val="ListParagraph"/>
              <w:numPr>
                <w:ilvl w:val="0"/>
                <w:numId w:val="8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737DAC">
              <w:t xml:space="preserve">Participants who were lost to follow-up </w:t>
            </w:r>
            <w:r>
              <w:t xml:space="preserve">(Phase II) </w:t>
            </w:r>
            <w:r w:rsidRPr="00737DAC">
              <w:t xml:space="preserve">were considered </w:t>
            </w:r>
            <w:r>
              <w:t>to have</w:t>
            </w:r>
            <w:r w:rsidRPr="00737DAC">
              <w:t xml:space="preserve"> relapsed</w:t>
            </w:r>
            <w:r>
              <w:t>.</w:t>
            </w:r>
          </w:p>
          <w:p w14:paraId="3DCAFA99" w14:textId="77777777" w:rsidR="00B80B9A" w:rsidRPr="00332B84" w:rsidRDefault="00B80B9A" w:rsidP="00B80B9A">
            <w:pPr>
              <w:pStyle w:val="ListParagraph"/>
              <w:numPr>
                <w:ilvl w:val="0"/>
                <w:numId w:val="8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t>All missing urine tests were considered positive.</w:t>
            </w:r>
          </w:p>
          <w:p w14:paraId="2EFC9228" w14:textId="77777777" w:rsidR="00B80B9A" w:rsidRPr="006F5FB6" w:rsidRDefault="00B80B9A" w:rsidP="00B80B9A">
            <w:pPr>
              <w:pStyle w:val="ListParagraph"/>
              <w:numPr>
                <w:ilvl w:val="0"/>
                <w:numId w:val="8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6F5FB6">
              <w:rPr>
                <w:rFonts w:ascii="Calibri" w:hAnsi="Calibri" w:cs="Calibri"/>
                <w:color w:val="000000"/>
                <w:szCs w:val="20"/>
              </w:rPr>
              <w:t>Participants were compensated up to $400.00</w:t>
            </w:r>
            <w:r>
              <w:rPr>
                <w:rFonts w:ascii="Calibri" w:hAnsi="Calibri" w:cs="Calibri"/>
                <w:color w:val="000000"/>
                <w:szCs w:val="20"/>
              </w:rPr>
              <w:t xml:space="preserve"> for study participation.</w:t>
            </w:r>
          </w:p>
          <w:p w14:paraId="2A7FC274" w14:textId="77777777" w:rsidR="00B80B9A" w:rsidRPr="007621DF" w:rsidRDefault="00B80B9A" w:rsidP="00B80B9A">
            <w:pPr>
              <w:pStyle w:val="ListParagraph"/>
              <w:numPr>
                <w:ilvl w:val="0"/>
                <w:numId w:val="8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794E60">
              <w:rPr>
                <w:rFonts w:cstheme="minorHAnsi"/>
                <w:color w:val="000000"/>
                <w:szCs w:val="20"/>
              </w:rPr>
              <w:t>Period study was conducted:</w:t>
            </w:r>
            <w:r>
              <w:t xml:space="preserve"> </w:t>
            </w:r>
            <w:r w:rsidRPr="001F72F6">
              <w:rPr>
                <w:rFonts w:cstheme="minorHAnsi"/>
                <w:color w:val="000000"/>
                <w:szCs w:val="20"/>
              </w:rPr>
              <w:t xml:space="preserve">July 2016 </w:t>
            </w:r>
            <w:r>
              <w:rPr>
                <w:rFonts w:cstheme="minorHAnsi"/>
                <w:color w:val="000000"/>
                <w:szCs w:val="20"/>
              </w:rPr>
              <w:t>to</w:t>
            </w:r>
            <w:r w:rsidRPr="001F72F6">
              <w:rPr>
                <w:rFonts w:cstheme="minorHAnsi"/>
                <w:color w:val="000000"/>
                <w:szCs w:val="20"/>
              </w:rPr>
              <w:t xml:space="preserve"> June 2019</w:t>
            </w:r>
            <w:r>
              <w:rPr>
                <w:rFonts w:cstheme="minorHAnsi"/>
                <w:color w:val="000000"/>
                <w:szCs w:val="20"/>
              </w:rPr>
              <w:t>.</w:t>
            </w:r>
          </w:p>
        </w:tc>
      </w:tr>
      <w:tr w:rsidR="00B80B9A" w:rsidRPr="002F020F" w14:paraId="2BCB2AA7"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5D12370A" w14:textId="77777777" w:rsidR="00B80B9A" w:rsidRPr="002F020F" w:rsidRDefault="00B80B9A" w:rsidP="004361E5">
            <w:r w:rsidRPr="002F020F">
              <w:t>Inclusion Criteria</w:t>
            </w:r>
          </w:p>
        </w:tc>
        <w:tc>
          <w:tcPr>
            <w:tcW w:w="3884" w:type="pct"/>
          </w:tcPr>
          <w:p w14:paraId="1ED66915" w14:textId="77777777" w:rsidR="00B80B9A" w:rsidRPr="00403CDE" w:rsidRDefault="00B80B9A" w:rsidP="00B80B9A">
            <w:pPr>
              <w:numPr>
                <w:ilvl w:val="0"/>
                <w:numId w:val="90"/>
              </w:numPr>
              <w:spacing w:after="0"/>
              <w:contextualSpacing/>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sidRPr="00403CDE">
              <w:rPr>
                <w:rFonts w:cstheme="minorHAnsi"/>
                <w:color w:val="000000"/>
                <w:szCs w:val="20"/>
              </w:rPr>
              <w:t xml:space="preserve">18 </w:t>
            </w:r>
            <w:r>
              <w:rPr>
                <w:rFonts w:cstheme="minorHAnsi"/>
                <w:color w:val="000000"/>
                <w:szCs w:val="20"/>
              </w:rPr>
              <w:t xml:space="preserve">to </w:t>
            </w:r>
            <w:r w:rsidRPr="00403CDE">
              <w:rPr>
                <w:rFonts w:cstheme="minorHAnsi"/>
                <w:color w:val="000000"/>
                <w:szCs w:val="20"/>
              </w:rPr>
              <w:t>65 years</w:t>
            </w:r>
            <w:r>
              <w:rPr>
                <w:rFonts w:cstheme="minorHAnsi"/>
                <w:color w:val="000000"/>
                <w:szCs w:val="20"/>
              </w:rPr>
              <w:t xml:space="preserve"> of age.</w:t>
            </w:r>
          </w:p>
          <w:p w14:paraId="228A0B12" w14:textId="77777777" w:rsidR="00B80B9A" w:rsidRPr="00403CDE" w:rsidRDefault="00B80B9A" w:rsidP="00B80B9A">
            <w:pPr>
              <w:numPr>
                <w:ilvl w:val="0"/>
                <w:numId w:val="90"/>
              </w:numPr>
              <w:spacing w:after="0"/>
              <w:contextualSpacing/>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Pr>
                <w:rFonts w:cstheme="minorHAnsi"/>
                <w:color w:val="000000"/>
                <w:szCs w:val="20"/>
              </w:rPr>
              <w:t xml:space="preserve">Cocaine use disorder as determined by the </w:t>
            </w:r>
            <w:r w:rsidRPr="00403CDE">
              <w:rPr>
                <w:rFonts w:cstheme="minorHAnsi"/>
                <w:color w:val="000000"/>
                <w:szCs w:val="20"/>
              </w:rPr>
              <w:t>Structured Clinical Interview</w:t>
            </w:r>
            <w:r>
              <w:rPr>
                <w:rFonts w:cstheme="minorHAnsi"/>
                <w:color w:val="000000"/>
                <w:szCs w:val="20"/>
              </w:rPr>
              <w:t xml:space="preserve"> </w:t>
            </w:r>
            <w:r w:rsidRPr="00403CDE">
              <w:rPr>
                <w:rFonts w:cstheme="minorHAnsi"/>
                <w:color w:val="000000"/>
                <w:szCs w:val="20"/>
              </w:rPr>
              <w:t>for DSM-</w:t>
            </w:r>
            <w:r>
              <w:rPr>
                <w:rFonts w:cstheme="minorHAnsi"/>
                <w:color w:val="000000"/>
                <w:szCs w:val="20"/>
              </w:rPr>
              <w:t>5 (SCID-5).</w:t>
            </w:r>
            <w:r w:rsidRPr="00403CDE">
              <w:rPr>
                <w:rFonts w:cstheme="minorHAnsi"/>
                <w:color w:val="000000"/>
                <w:szCs w:val="20"/>
              </w:rPr>
              <w:t xml:space="preserve"> </w:t>
            </w:r>
          </w:p>
          <w:p w14:paraId="24D76D1C" w14:textId="77777777" w:rsidR="00B80B9A" w:rsidRPr="00403CDE" w:rsidRDefault="00B80B9A" w:rsidP="00B80B9A">
            <w:pPr>
              <w:numPr>
                <w:ilvl w:val="0"/>
                <w:numId w:val="90"/>
              </w:numPr>
              <w:spacing w:after="0"/>
              <w:contextualSpacing/>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Pr>
                <w:rFonts w:cstheme="minorHAnsi"/>
                <w:color w:val="000000"/>
                <w:szCs w:val="20"/>
              </w:rPr>
              <w:t>C</w:t>
            </w:r>
            <w:r w:rsidRPr="00403CDE">
              <w:rPr>
                <w:rFonts w:cstheme="minorHAnsi"/>
                <w:color w:val="000000"/>
                <w:szCs w:val="20"/>
              </w:rPr>
              <w:t xml:space="preserve">ocaine </w:t>
            </w:r>
            <w:r>
              <w:rPr>
                <w:rFonts w:cstheme="minorHAnsi"/>
                <w:color w:val="000000"/>
                <w:szCs w:val="20"/>
              </w:rPr>
              <w:t xml:space="preserve">use in the two-week period </w:t>
            </w:r>
            <w:r w:rsidRPr="00403CDE">
              <w:rPr>
                <w:rFonts w:cstheme="minorHAnsi"/>
                <w:color w:val="000000"/>
                <w:szCs w:val="20"/>
              </w:rPr>
              <w:t xml:space="preserve">prior to </w:t>
            </w:r>
            <w:r>
              <w:rPr>
                <w:rFonts w:cstheme="minorHAnsi"/>
                <w:color w:val="000000"/>
                <w:szCs w:val="20"/>
              </w:rPr>
              <w:t xml:space="preserve">the inpatient (detoxification) </w:t>
            </w:r>
            <w:r w:rsidRPr="00403CDE">
              <w:rPr>
                <w:rFonts w:cstheme="minorHAnsi"/>
                <w:color w:val="000000"/>
                <w:szCs w:val="20"/>
              </w:rPr>
              <w:t>admission</w:t>
            </w:r>
            <w:r>
              <w:rPr>
                <w:rFonts w:cstheme="minorHAnsi"/>
                <w:color w:val="000000"/>
                <w:szCs w:val="20"/>
              </w:rPr>
              <w:t xml:space="preserve"> using the Timeline Followback (TLFB) method.</w:t>
            </w:r>
          </w:p>
          <w:p w14:paraId="77818E28" w14:textId="77777777" w:rsidR="00B80B9A" w:rsidRPr="00403CDE" w:rsidRDefault="00B80B9A" w:rsidP="00B80B9A">
            <w:pPr>
              <w:numPr>
                <w:ilvl w:val="0"/>
                <w:numId w:val="90"/>
              </w:numPr>
              <w:spacing w:after="0"/>
              <w:contextualSpacing/>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sidRPr="00403CDE">
              <w:rPr>
                <w:rFonts w:cstheme="minorHAnsi"/>
                <w:color w:val="000000"/>
                <w:szCs w:val="20"/>
              </w:rPr>
              <w:t>English</w:t>
            </w:r>
            <w:r>
              <w:rPr>
                <w:rFonts w:cstheme="minorHAnsi"/>
                <w:color w:val="000000"/>
                <w:szCs w:val="20"/>
              </w:rPr>
              <w:t xml:space="preserve"> </w:t>
            </w:r>
            <w:r w:rsidRPr="00403CDE">
              <w:rPr>
                <w:rFonts w:cstheme="minorHAnsi"/>
                <w:color w:val="000000"/>
                <w:szCs w:val="20"/>
              </w:rPr>
              <w:t>or French</w:t>
            </w:r>
            <w:r>
              <w:rPr>
                <w:rFonts w:cstheme="minorHAnsi"/>
                <w:color w:val="000000"/>
                <w:szCs w:val="20"/>
              </w:rPr>
              <w:t xml:space="preserve"> speaking.</w:t>
            </w:r>
          </w:p>
          <w:p w14:paraId="40377D35" w14:textId="77777777" w:rsidR="00B80B9A" w:rsidRPr="008741BE" w:rsidRDefault="00B80B9A" w:rsidP="00B80B9A">
            <w:pPr>
              <w:numPr>
                <w:ilvl w:val="0"/>
                <w:numId w:val="90"/>
              </w:numPr>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Pr>
                <w:rFonts w:cstheme="minorHAnsi"/>
                <w:color w:val="000000"/>
                <w:szCs w:val="20"/>
              </w:rPr>
              <w:t>A</w:t>
            </w:r>
            <w:r w:rsidRPr="00403CDE">
              <w:rPr>
                <w:rFonts w:cstheme="minorHAnsi"/>
                <w:color w:val="000000"/>
                <w:szCs w:val="20"/>
              </w:rPr>
              <w:t>ble to</w:t>
            </w:r>
            <w:r>
              <w:rPr>
                <w:rFonts w:cstheme="minorHAnsi"/>
                <w:color w:val="000000"/>
                <w:szCs w:val="20"/>
              </w:rPr>
              <w:t xml:space="preserve"> provide informed</w:t>
            </w:r>
            <w:r w:rsidRPr="00403CDE">
              <w:rPr>
                <w:rFonts w:cstheme="minorHAnsi"/>
                <w:color w:val="000000"/>
                <w:szCs w:val="20"/>
              </w:rPr>
              <w:t xml:space="preserve"> consent</w:t>
            </w:r>
            <w:r>
              <w:rPr>
                <w:rFonts w:cstheme="minorHAnsi"/>
                <w:color w:val="000000"/>
                <w:szCs w:val="20"/>
              </w:rPr>
              <w:t>.</w:t>
            </w:r>
          </w:p>
        </w:tc>
      </w:tr>
      <w:tr w:rsidR="00B80B9A" w:rsidRPr="002F020F" w14:paraId="39D79CA4"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2C301EB0" w14:textId="77777777" w:rsidR="00B80B9A" w:rsidRPr="002F020F" w:rsidRDefault="00B80B9A" w:rsidP="004361E5">
            <w:r w:rsidRPr="002F020F">
              <w:lastRenderedPageBreak/>
              <w:t>Exclusion Criteria</w:t>
            </w:r>
          </w:p>
        </w:tc>
        <w:tc>
          <w:tcPr>
            <w:tcW w:w="3884" w:type="pct"/>
          </w:tcPr>
          <w:p w14:paraId="4D160D7E" w14:textId="77777777" w:rsidR="00B80B9A" w:rsidRPr="00E86011" w:rsidRDefault="00B80B9A" w:rsidP="00B80B9A">
            <w:pPr>
              <w:numPr>
                <w:ilvl w:val="0"/>
                <w:numId w:val="91"/>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Pr>
                <w:rFonts w:cstheme="minorHAnsi"/>
                <w:color w:val="000000"/>
                <w:szCs w:val="20"/>
              </w:rPr>
              <w:t>S</w:t>
            </w:r>
            <w:r w:rsidRPr="00E86011">
              <w:rPr>
                <w:rFonts w:cstheme="minorHAnsi"/>
                <w:color w:val="000000"/>
                <w:szCs w:val="20"/>
              </w:rPr>
              <w:t>evere and/or unstable medical or psychiatric condition</w:t>
            </w:r>
            <w:r>
              <w:rPr>
                <w:rFonts w:cstheme="minorHAnsi"/>
                <w:color w:val="000000"/>
                <w:szCs w:val="20"/>
              </w:rPr>
              <w:t>.</w:t>
            </w:r>
            <w:r w:rsidRPr="00E86011">
              <w:rPr>
                <w:rFonts w:cstheme="minorHAnsi"/>
                <w:color w:val="000000"/>
                <w:szCs w:val="20"/>
              </w:rPr>
              <w:t xml:space="preserve"> </w:t>
            </w:r>
          </w:p>
          <w:p w14:paraId="62108685" w14:textId="77777777" w:rsidR="00B80B9A" w:rsidRPr="003F27E8" w:rsidRDefault="00B80B9A" w:rsidP="00B80B9A">
            <w:pPr>
              <w:numPr>
                <w:ilvl w:val="0"/>
                <w:numId w:val="91"/>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Pr>
                <w:rFonts w:cstheme="minorHAnsi"/>
                <w:color w:val="000000"/>
                <w:szCs w:val="20"/>
              </w:rPr>
              <w:t>I</w:t>
            </w:r>
            <w:r w:rsidRPr="00E86011">
              <w:rPr>
                <w:rFonts w:cstheme="minorHAnsi"/>
                <w:color w:val="000000"/>
                <w:szCs w:val="20"/>
              </w:rPr>
              <w:t>mmunodeficiency</w:t>
            </w:r>
            <w:r>
              <w:rPr>
                <w:rFonts w:cstheme="minorHAnsi"/>
                <w:color w:val="000000"/>
                <w:szCs w:val="20"/>
              </w:rPr>
              <w:t>.</w:t>
            </w:r>
          </w:p>
          <w:p w14:paraId="2F057DCD" w14:textId="77777777" w:rsidR="00B80B9A" w:rsidRPr="006F5FB6" w:rsidRDefault="00B80B9A" w:rsidP="00B80B9A">
            <w:pPr>
              <w:numPr>
                <w:ilvl w:val="0"/>
                <w:numId w:val="91"/>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6F5FB6">
              <w:rPr>
                <w:rFonts w:cstheme="minorHAnsi"/>
                <w:color w:val="000000"/>
                <w:szCs w:val="20"/>
              </w:rPr>
              <w:t>Hypersensitivity to cannabinoids</w:t>
            </w:r>
            <w:r>
              <w:rPr>
                <w:rFonts w:cstheme="minorHAnsi"/>
                <w:color w:val="000000"/>
                <w:szCs w:val="20"/>
              </w:rPr>
              <w:t>,</w:t>
            </w:r>
            <w:r w:rsidRPr="006F5FB6">
              <w:rPr>
                <w:rFonts w:cstheme="minorHAnsi"/>
                <w:color w:val="000000"/>
                <w:szCs w:val="20"/>
              </w:rPr>
              <w:t xml:space="preserve"> or </w:t>
            </w:r>
            <w:r>
              <w:rPr>
                <w:rFonts w:cstheme="minorHAnsi"/>
                <w:color w:val="000000"/>
                <w:szCs w:val="20"/>
              </w:rPr>
              <w:t>u</w:t>
            </w:r>
            <w:r w:rsidRPr="006F5FB6">
              <w:rPr>
                <w:rFonts w:cstheme="minorHAnsi"/>
                <w:color w:val="000000"/>
                <w:szCs w:val="20"/>
              </w:rPr>
              <w:t>ndergoing treatment with medications that interact with CBD.</w:t>
            </w:r>
          </w:p>
          <w:p w14:paraId="00B7E104" w14:textId="77777777" w:rsidR="00B80B9A" w:rsidRPr="005C117D" w:rsidRDefault="00B80B9A" w:rsidP="00B80B9A">
            <w:pPr>
              <w:numPr>
                <w:ilvl w:val="0"/>
                <w:numId w:val="91"/>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Pr>
                <w:rFonts w:cstheme="minorHAnsi"/>
                <w:color w:val="000000"/>
                <w:szCs w:val="20"/>
              </w:rPr>
              <w:t>D</w:t>
            </w:r>
            <w:r w:rsidRPr="005C117D">
              <w:rPr>
                <w:rFonts w:cstheme="minorHAnsi"/>
                <w:color w:val="000000"/>
                <w:szCs w:val="20"/>
              </w:rPr>
              <w:t>iagnosed with another substance use disorder (except</w:t>
            </w:r>
            <w:r>
              <w:rPr>
                <w:rFonts w:cstheme="minorHAnsi"/>
                <w:color w:val="000000"/>
                <w:szCs w:val="20"/>
              </w:rPr>
              <w:t xml:space="preserve"> </w:t>
            </w:r>
            <w:r w:rsidRPr="005C117D">
              <w:rPr>
                <w:rFonts w:cstheme="minorHAnsi"/>
                <w:color w:val="000000"/>
                <w:szCs w:val="20"/>
              </w:rPr>
              <w:t>nicotine) requir</w:t>
            </w:r>
            <w:r>
              <w:rPr>
                <w:rFonts w:cstheme="minorHAnsi"/>
                <w:color w:val="000000"/>
                <w:szCs w:val="20"/>
              </w:rPr>
              <w:t>ing</w:t>
            </w:r>
            <w:r w:rsidRPr="005C117D">
              <w:rPr>
                <w:rFonts w:cstheme="minorHAnsi"/>
                <w:color w:val="000000"/>
                <w:szCs w:val="20"/>
              </w:rPr>
              <w:t xml:space="preserve"> treatment</w:t>
            </w:r>
            <w:r>
              <w:rPr>
                <w:rFonts w:cstheme="minorHAnsi"/>
                <w:color w:val="000000"/>
                <w:szCs w:val="20"/>
              </w:rPr>
              <w:t>.</w:t>
            </w:r>
            <w:r w:rsidRPr="005C117D">
              <w:rPr>
                <w:rFonts w:cstheme="minorHAnsi"/>
                <w:color w:val="000000"/>
                <w:szCs w:val="20"/>
              </w:rPr>
              <w:t xml:space="preserve"> </w:t>
            </w:r>
          </w:p>
          <w:p w14:paraId="29400B21" w14:textId="77777777" w:rsidR="00B80B9A" w:rsidRPr="009F2DF7" w:rsidRDefault="00B80B9A" w:rsidP="00B80B9A">
            <w:pPr>
              <w:numPr>
                <w:ilvl w:val="0"/>
                <w:numId w:val="91"/>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Pr>
                <w:rFonts w:cstheme="minorHAnsi"/>
                <w:color w:val="000000"/>
                <w:szCs w:val="20"/>
              </w:rPr>
              <w:t>I</w:t>
            </w:r>
            <w:r w:rsidRPr="009E4EBE">
              <w:rPr>
                <w:rFonts w:cstheme="minorHAnsi"/>
                <w:color w:val="000000"/>
                <w:szCs w:val="20"/>
              </w:rPr>
              <w:t>ndividuals planning to conceive</w:t>
            </w:r>
            <w:r>
              <w:rPr>
                <w:rFonts w:cstheme="minorHAnsi"/>
                <w:color w:val="000000"/>
                <w:szCs w:val="20"/>
              </w:rPr>
              <w:t xml:space="preserve"> </w:t>
            </w:r>
            <w:r w:rsidRPr="009E4EBE">
              <w:rPr>
                <w:rFonts w:cstheme="minorHAnsi"/>
                <w:color w:val="000000"/>
                <w:szCs w:val="20"/>
              </w:rPr>
              <w:t>within the year</w:t>
            </w:r>
            <w:r>
              <w:rPr>
                <w:rFonts w:cstheme="minorHAnsi"/>
                <w:color w:val="000000"/>
                <w:szCs w:val="20"/>
              </w:rPr>
              <w:t>.</w:t>
            </w:r>
          </w:p>
          <w:p w14:paraId="18F7BF11" w14:textId="77777777" w:rsidR="00B80B9A" w:rsidRPr="009E4EBE" w:rsidRDefault="00B80B9A" w:rsidP="00B80B9A">
            <w:pPr>
              <w:numPr>
                <w:ilvl w:val="0"/>
                <w:numId w:val="91"/>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Pr>
                <w:rFonts w:cstheme="minorHAnsi"/>
                <w:color w:val="000000"/>
                <w:szCs w:val="20"/>
              </w:rPr>
              <w:t>M</w:t>
            </w:r>
            <w:r w:rsidRPr="005C117D">
              <w:rPr>
                <w:rFonts w:cstheme="minorHAnsi"/>
                <w:color w:val="000000"/>
                <w:szCs w:val="20"/>
              </w:rPr>
              <w:t>en with</w:t>
            </w:r>
            <w:r>
              <w:rPr>
                <w:rFonts w:cstheme="minorHAnsi"/>
                <w:color w:val="000000"/>
                <w:szCs w:val="20"/>
              </w:rPr>
              <w:t xml:space="preserve"> a</w:t>
            </w:r>
            <w:r w:rsidRPr="005C117D">
              <w:rPr>
                <w:rFonts w:cstheme="minorHAnsi"/>
                <w:color w:val="000000"/>
                <w:szCs w:val="20"/>
              </w:rPr>
              <w:t xml:space="preserve"> history of fertility problems</w:t>
            </w:r>
            <w:r>
              <w:rPr>
                <w:rFonts w:cstheme="minorHAnsi"/>
                <w:color w:val="000000"/>
                <w:szCs w:val="20"/>
              </w:rPr>
              <w:t>.</w:t>
            </w:r>
          </w:p>
          <w:p w14:paraId="7369B87E" w14:textId="77777777" w:rsidR="00B80B9A" w:rsidRPr="009F2DF7" w:rsidRDefault="00B80B9A" w:rsidP="00B80B9A">
            <w:pPr>
              <w:numPr>
                <w:ilvl w:val="0"/>
                <w:numId w:val="91"/>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Pr>
                <w:rFonts w:cstheme="minorHAnsi"/>
                <w:color w:val="000000"/>
                <w:szCs w:val="20"/>
              </w:rPr>
              <w:t>Women who were p</w:t>
            </w:r>
            <w:r w:rsidRPr="009E4EBE">
              <w:rPr>
                <w:rFonts w:cstheme="minorHAnsi"/>
                <w:color w:val="000000"/>
                <w:szCs w:val="20"/>
              </w:rPr>
              <w:t>regnant</w:t>
            </w:r>
            <w:r>
              <w:rPr>
                <w:rFonts w:cstheme="minorHAnsi"/>
                <w:color w:val="000000"/>
                <w:szCs w:val="20"/>
              </w:rPr>
              <w:t xml:space="preserve"> </w:t>
            </w:r>
            <w:r w:rsidRPr="009E4EBE">
              <w:rPr>
                <w:rFonts w:cstheme="minorHAnsi"/>
                <w:color w:val="000000"/>
                <w:szCs w:val="20"/>
              </w:rPr>
              <w:t>or breastfeeding</w:t>
            </w:r>
            <w:r>
              <w:rPr>
                <w:rFonts w:cstheme="minorHAnsi"/>
                <w:color w:val="000000"/>
                <w:szCs w:val="20"/>
              </w:rPr>
              <w:t>, or women of childbearing age who were not prepared to use a medically acceptable form of contraception.</w:t>
            </w:r>
            <w:r w:rsidRPr="009E4EBE">
              <w:rPr>
                <w:rFonts w:cstheme="minorHAnsi"/>
                <w:color w:val="000000"/>
                <w:szCs w:val="20"/>
              </w:rPr>
              <w:t xml:space="preserve"> </w:t>
            </w:r>
          </w:p>
        </w:tc>
      </w:tr>
      <w:tr w:rsidR="00B80B9A" w:rsidRPr="002F020F" w14:paraId="2C37D177"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FA1202A" w14:textId="77777777" w:rsidR="00B80B9A" w:rsidRPr="002F020F" w:rsidRDefault="00B80B9A" w:rsidP="004361E5">
            <w:r w:rsidRPr="002F020F">
              <w:t>Assessment Time-</w:t>
            </w:r>
            <w:r>
              <w:t>P</w:t>
            </w:r>
            <w:r w:rsidRPr="002F020F">
              <w:t>oint/s</w:t>
            </w:r>
          </w:p>
        </w:tc>
        <w:tc>
          <w:tcPr>
            <w:tcW w:w="3884" w:type="pct"/>
          </w:tcPr>
          <w:p w14:paraId="035BA3E8" w14:textId="77777777" w:rsidR="00B80B9A" w:rsidRPr="00EE5074" w:rsidRDefault="00B80B9A" w:rsidP="00B80B9A">
            <w:pPr>
              <w:pStyle w:val="ListParagraph"/>
              <w:numPr>
                <w:ilvl w:val="0"/>
                <w:numId w:val="9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EE5074">
              <w:rPr>
                <w:rFonts w:cstheme="minorHAnsi"/>
                <w:bCs/>
                <w:color w:val="000000"/>
                <w:szCs w:val="20"/>
              </w:rPr>
              <w:t xml:space="preserve">Phase </w:t>
            </w:r>
            <w:r>
              <w:rPr>
                <w:rFonts w:cstheme="minorHAnsi"/>
                <w:bCs/>
                <w:color w:val="000000"/>
                <w:szCs w:val="20"/>
              </w:rPr>
              <w:t>I</w:t>
            </w:r>
            <w:r w:rsidRPr="00EE5074">
              <w:rPr>
                <w:rFonts w:cstheme="minorHAnsi"/>
                <w:bCs/>
                <w:color w:val="000000"/>
                <w:szCs w:val="20"/>
              </w:rPr>
              <w:t xml:space="preserve"> (</w:t>
            </w:r>
            <w:r>
              <w:rPr>
                <w:rFonts w:cstheme="minorHAnsi"/>
                <w:bCs/>
                <w:color w:val="000000"/>
                <w:szCs w:val="20"/>
              </w:rPr>
              <w:t xml:space="preserve">inpatient: </w:t>
            </w:r>
            <w:r w:rsidRPr="00EE5074">
              <w:rPr>
                <w:rFonts w:cstheme="minorHAnsi"/>
                <w:bCs/>
                <w:color w:val="000000"/>
                <w:szCs w:val="20"/>
              </w:rPr>
              <w:t>day 1 to 10)</w:t>
            </w:r>
            <w:r>
              <w:rPr>
                <w:rFonts w:cstheme="minorHAnsi"/>
                <w:bCs/>
                <w:color w:val="000000"/>
                <w:szCs w:val="20"/>
              </w:rPr>
              <w:t>:</w:t>
            </w:r>
          </w:p>
          <w:p w14:paraId="6DABBB0B" w14:textId="77777777" w:rsidR="00B80B9A" w:rsidRPr="005D79FE" w:rsidRDefault="00B80B9A" w:rsidP="00B80B9A">
            <w:pPr>
              <w:pStyle w:val="ListParagraph"/>
              <w:numPr>
                <w:ilvl w:val="1"/>
                <w:numId w:val="41"/>
              </w:numPr>
              <w:autoSpaceDE w:val="0"/>
              <w:autoSpaceDN w:val="0"/>
              <w:adjustRightInd w:val="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t>Day 1 to 10: blood pressure (BP) and heart rate (HR) three times per day.</w:t>
            </w:r>
          </w:p>
          <w:p w14:paraId="703384F0" w14:textId="77777777" w:rsidR="00B80B9A" w:rsidRPr="00077C79" w:rsidRDefault="00B80B9A" w:rsidP="00B80B9A">
            <w:pPr>
              <w:pStyle w:val="ListParagraph"/>
              <w:numPr>
                <w:ilvl w:val="1"/>
                <w:numId w:val="41"/>
              </w:numPr>
              <w:autoSpaceDE w:val="0"/>
              <w:autoSpaceDN w:val="0"/>
              <w:adjustRightInd w:val="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077C79">
              <w:rPr>
                <w:rFonts w:cstheme="minorHAnsi"/>
                <w:bCs/>
                <w:color w:val="000000"/>
                <w:szCs w:val="20"/>
              </w:rPr>
              <w:t>Day 6:</w:t>
            </w:r>
            <w:r>
              <w:rPr>
                <w:rFonts w:cstheme="minorHAnsi"/>
                <w:bCs/>
                <w:color w:val="000000"/>
                <w:szCs w:val="20"/>
              </w:rPr>
              <w:t xml:space="preserve"> drafting of</w:t>
            </w:r>
            <w:r w:rsidRPr="00077C79">
              <w:t xml:space="preserve"> </w:t>
            </w:r>
            <w:r>
              <w:t>(</w:t>
            </w:r>
            <w:r w:rsidRPr="00077C79">
              <w:rPr>
                <w:rFonts w:cstheme="minorHAnsi"/>
                <w:color w:val="000000"/>
                <w:szCs w:val="20"/>
              </w:rPr>
              <w:t>5-min</w:t>
            </w:r>
            <w:r>
              <w:rPr>
                <w:rFonts w:cstheme="minorHAnsi"/>
                <w:color w:val="000000"/>
                <w:szCs w:val="20"/>
              </w:rPr>
              <w:t>ute)</w:t>
            </w:r>
            <w:r w:rsidRPr="00077C79">
              <w:rPr>
                <w:rFonts w:cstheme="minorHAnsi"/>
                <w:color w:val="000000"/>
                <w:szCs w:val="20"/>
              </w:rPr>
              <w:t xml:space="preserve"> personali</w:t>
            </w:r>
            <w:r>
              <w:rPr>
                <w:rFonts w:cstheme="minorHAnsi"/>
                <w:color w:val="000000"/>
                <w:szCs w:val="20"/>
              </w:rPr>
              <w:t>s</w:t>
            </w:r>
            <w:r w:rsidRPr="00077C79">
              <w:rPr>
                <w:rFonts w:cstheme="minorHAnsi"/>
                <w:color w:val="000000"/>
                <w:szCs w:val="20"/>
              </w:rPr>
              <w:t>ed</w:t>
            </w:r>
            <w:r>
              <w:rPr>
                <w:rFonts w:cstheme="minorHAnsi"/>
                <w:color w:val="000000"/>
                <w:szCs w:val="20"/>
              </w:rPr>
              <w:t>,</w:t>
            </w:r>
            <w:r w:rsidRPr="00077C79">
              <w:rPr>
                <w:rFonts w:cstheme="minorHAnsi"/>
                <w:color w:val="000000"/>
                <w:szCs w:val="20"/>
              </w:rPr>
              <w:t xml:space="preserve"> script-driven</w:t>
            </w:r>
            <w:r>
              <w:rPr>
                <w:rFonts w:cstheme="minorHAnsi"/>
                <w:color w:val="000000"/>
                <w:szCs w:val="20"/>
              </w:rPr>
              <w:t>,</w:t>
            </w:r>
            <w:r w:rsidRPr="00077C79">
              <w:rPr>
                <w:rFonts w:cstheme="minorHAnsi"/>
                <w:color w:val="000000"/>
                <w:szCs w:val="20"/>
              </w:rPr>
              <w:t xml:space="preserve"> guided imagery scenarios.</w:t>
            </w:r>
          </w:p>
          <w:p w14:paraId="037FD36B" w14:textId="77777777" w:rsidR="00B80B9A" w:rsidRPr="00077C79" w:rsidRDefault="00B80B9A" w:rsidP="00B80B9A">
            <w:pPr>
              <w:pStyle w:val="ListParagraph"/>
              <w:numPr>
                <w:ilvl w:val="1"/>
                <w:numId w:val="41"/>
              </w:numPr>
              <w:autoSpaceDE w:val="0"/>
              <w:autoSpaceDN w:val="0"/>
              <w:adjustRightInd w:val="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077C79">
              <w:rPr>
                <w:rFonts w:cstheme="minorHAnsi"/>
                <w:bCs/>
                <w:color w:val="000000"/>
                <w:szCs w:val="20"/>
              </w:rPr>
              <w:t>Day 8:</w:t>
            </w:r>
            <w:r w:rsidRPr="00077C79">
              <w:rPr>
                <w:rFonts w:cstheme="minorHAnsi"/>
                <w:color w:val="000000"/>
                <w:szCs w:val="20"/>
              </w:rPr>
              <w:t xml:space="preserve"> </w:t>
            </w:r>
            <w:r>
              <w:rPr>
                <w:rFonts w:cstheme="minorHAnsi"/>
                <w:color w:val="000000"/>
                <w:szCs w:val="20"/>
              </w:rPr>
              <w:t>guided-imagery</w:t>
            </w:r>
            <w:r w:rsidRPr="00077C79">
              <w:rPr>
                <w:rFonts w:cstheme="minorHAnsi"/>
                <w:color w:val="000000"/>
                <w:szCs w:val="20"/>
              </w:rPr>
              <w:t xml:space="preserve"> session</w:t>
            </w:r>
            <w:r>
              <w:rPr>
                <w:rFonts w:cstheme="minorHAnsi"/>
                <w:color w:val="000000"/>
                <w:szCs w:val="20"/>
              </w:rPr>
              <w:t xml:space="preserve"> to measure cue-induced craving to drug-related, stress-related, and neutral cues.</w:t>
            </w:r>
          </w:p>
          <w:p w14:paraId="59DE5675" w14:textId="77777777" w:rsidR="00B80B9A" w:rsidRPr="00EE5074" w:rsidRDefault="00B80B9A" w:rsidP="00B80B9A">
            <w:pPr>
              <w:pStyle w:val="ListParagraph"/>
              <w:numPr>
                <w:ilvl w:val="0"/>
                <w:numId w:val="4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EE5074">
              <w:rPr>
                <w:rFonts w:cstheme="minorHAnsi"/>
                <w:bCs/>
                <w:color w:val="000000"/>
                <w:szCs w:val="20"/>
              </w:rPr>
              <w:t xml:space="preserve">Phase </w:t>
            </w:r>
            <w:r>
              <w:rPr>
                <w:rFonts w:cstheme="minorHAnsi"/>
                <w:bCs/>
                <w:color w:val="000000"/>
                <w:szCs w:val="20"/>
              </w:rPr>
              <w:t>II</w:t>
            </w:r>
            <w:r w:rsidRPr="00EE5074">
              <w:rPr>
                <w:rFonts w:cstheme="minorHAnsi"/>
                <w:bCs/>
                <w:color w:val="000000"/>
                <w:szCs w:val="20"/>
              </w:rPr>
              <w:t xml:space="preserve"> (</w:t>
            </w:r>
            <w:r>
              <w:rPr>
                <w:rFonts w:cstheme="minorHAnsi"/>
                <w:bCs/>
                <w:color w:val="000000"/>
                <w:szCs w:val="20"/>
              </w:rPr>
              <w:t xml:space="preserve">outpatient: </w:t>
            </w:r>
            <w:r w:rsidRPr="00EE5074">
              <w:rPr>
                <w:rFonts w:cstheme="minorHAnsi"/>
                <w:bCs/>
                <w:color w:val="000000"/>
                <w:szCs w:val="20"/>
              </w:rPr>
              <w:t>week 1 to 12)</w:t>
            </w:r>
            <w:r>
              <w:rPr>
                <w:rFonts w:cstheme="minorHAnsi"/>
                <w:bCs/>
                <w:color w:val="000000"/>
                <w:szCs w:val="20"/>
              </w:rPr>
              <w:t>:</w:t>
            </w:r>
          </w:p>
          <w:p w14:paraId="41A7B540" w14:textId="77777777" w:rsidR="00B80B9A" w:rsidRPr="003306C8" w:rsidRDefault="00B80B9A" w:rsidP="00B80B9A">
            <w:pPr>
              <w:pStyle w:val="ListParagraph"/>
              <w:numPr>
                <w:ilvl w:val="0"/>
                <w:numId w:val="110"/>
              </w:numPr>
              <w:spacing w:after="120"/>
              <w:ind w:left="714" w:hanging="357"/>
              <w:cnfStyle w:val="000000100000" w:firstRow="0" w:lastRow="0" w:firstColumn="0" w:lastColumn="0" w:oddVBand="0" w:evenVBand="0" w:oddHBand="1" w:evenHBand="0" w:firstRowFirstColumn="0" w:firstRowLastColumn="0" w:lastRowFirstColumn="0" w:lastRowLastColumn="0"/>
            </w:pPr>
            <w:r w:rsidRPr="00077C79">
              <w:rPr>
                <w:rFonts w:cstheme="minorHAnsi"/>
                <w:bCs/>
                <w:color w:val="000000"/>
                <w:szCs w:val="20"/>
              </w:rPr>
              <w:t>Week 1</w:t>
            </w:r>
            <w:r>
              <w:rPr>
                <w:rFonts w:cstheme="minorHAnsi"/>
                <w:bCs/>
                <w:color w:val="000000"/>
                <w:szCs w:val="20"/>
              </w:rPr>
              <w:t xml:space="preserve"> to </w:t>
            </w:r>
            <w:r w:rsidRPr="00077C79">
              <w:rPr>
                <w:rFonts w:cstheme="minorHAnsi"/>
                <w:bCs/>
                <w:color w:val="000000"/>
                <w:szCs w:val="20"/>
              </w:rPr>
              <w:t>12:</w:t>
            </w:r>
            <w:r w:rsidRPr="00077C79">
              <w:rPr>
                <w:rFonts w:cstheme="minorHAnsi"/>
                <w:color w:val="000000"/>
                <w:szCs w:val="20"/>
              </w:rPr>
              <w:t xml:space="preserve"> Biological sampling (urine and blood) and</w:t>
            </w:r>
            <w:r>
              <w:rPr>
                <w:rFonts w:cstheme="minorHAnsi"/>
                <w:color w:val="000000"/>
                <w:szCs w:val="20"/>
              </w:rPr>
              <w:t xml:space="preserve"> self-r</w:t>
            </w:r>
            <w:r w:rsidRPr="00077C79">
              <w:rPr>
                <w:rFonts w:cstheme="minorHAnsi"/>
                <w:color w:val="000000"/>
                <w:szCs w:val="20"/>
              </w:rPr>
              <w:t>eport measures collected.</w:t>
            </w:r>
          </w:p>
          <w:p w14:paraId="59E11D8F" w14:textId="77777777" w:rsidR="00B80B9A" w:rsidRPr="003306C8" w:rsidRDefault="00B80B9A" w:rsidP="00B80B9A">
            <w:pPr>
              <w:pStyle w:val="ListParagraph"/>
              <w:numPr>
                <w:ilvl w:val="0"/>
                <w:numId w:val="110"/>
              </w:numPr>
              <w:autoSpaceDE w:val="0"/>
              <w:autoSpaceDN w:val="0"/>
              <w:adjustRightInd w:val="0"/>
              <w:ind w:left="714"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077C79">
              <w:rPr>
                <w:rFonts w:cstheme="minorHAnsi"/>
                <w:bCs/>
                <w:color w:val="000000"/>
                <w:szCs w:val="20"/>
              </w:rPr>
              <w:t>Week 4, 8</w:t>
            </w:r>
            <w:r>
              <w:rPr>
                <w:rFonts w:cstheme="minorHAnsi"/>
                <w:bCs/>
                <w:color w:val="000000"/>
                <w:szCs w:val="20"/>
              </w:rPr>
              <w:t>,</w:t>
            </w:r>
            <w:r w:rsidRPr="00077C79">
              <w:rPr>
                <w:rFonts w:cstheme="minorHAnsi"/>
                <w:bCs/>
                <w:color w:val="000000"/>
                <w:szCs w:val="20"/>
              </w:rPr>
              <w:t xml:space="preserve"> and 12:</w:t>
            </w:r>
            <w:r w:rsidRPr="00077C79">
              <w:t xml:space="preserve"> </w:t>
            </w:r>
            <w:r w:rsidRPr="00077C79">
              <w:rPr>
                <w:rFonts w:cstheme="minorHAnsi"/>
                <w:color w:val="000000"/>
                <w:szCs w:val="20"/>
              </w:rPr>
              <w:t>Standard medical follow-up to ensure participants’ safety.</w:t>
            </w:r>
          </w:p>
        </w:tc>
      </w:tr>
      <w:tr w:rsidR="00B80B9A" w:rsidRPr="002F020F" w14:paraId="2047AD7A"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746B85E3" w14:textId="77777777" w:rsidR="00B80B9A" w:rsidRPr="002F020F" w:rsidRDefault="00B80B9A" w:rsidP="004361E5">
            <w:r w:rsidRPr="002F020F">
              <w:t>Main Findings</w:t>
            </w:r>
          </w:p>
        </w:tc>
        <w:tc>
          <w:tcPr>
            <w:tcW w:w="3884" w:type="pct"/>
          </w:tcPr>
          <w:p w14:paraId="5BFC567D" w14:textId="57184CCF" w:rsidR="00B80B9A" w:rsidRPr="0087604D" w:rsidRDefault="00B80B9A" w:rsidP="00B80B9A">
            <w:pPr>
              <w:numPr>
                <w:ilvl w:val="0"/>
                <w:numId w:val="91"/>
              </w:numPr>
              <w:ind w:left="357"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Pr>
                <w:rFonts w:ascii="Calibri" w:hAnsi="Calibri" w:cs="Calibri"/>
                <w:color w:val="000000"/>
                <w:szCs w:val="20"/>
              </w:rPr>
              <w:t>Cannabis craving (Phase I end</w:t>
            </w:r>
            <w:r w:rsidR="00EB0E27">
              <w:rPr>
                <w:rFonts w:ascii="Calibri" w:hAnsi="Calibri" w:cs="Calibri"/>
                <w:color w:val="000000"/>
                <w:szCs w:val="20"/>
              </w:rPr>
              <w:t>-</w:t>
            </w:r>
            <w:r>
              <w:rPr>
                <w:rFonts w:ascii="Calibri" w:hAnsi="Calibri" w:cs="Calibri"/>
                <w:color w:val="000000"/>
                <w:szCs w:val="20"/>
              </w:rPr>
              <w:t>point):</w:t>
            </w:r>
          </w:p>
          <w:p w14:paraId="7A8EF184" w14:textId="77777777" w:rsidR="00B80B9A"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E41C81">
              <w:rPr>
                <w:rFonts w:ascii="Calibri" w:hAnsi="Calibri" w:cs="Calibri"/>
                <w:color w:val="000000"/>
                <w:szCs w:val="20"/>
              </w:rPr>
              <w:t>At day 8, no significant change from baseline craving scores (as measured by the VAS-C; adjusted for gender and baseline SDS score) were observed for the CBD group (n = 36) compared with the placebo group (n = 28) following exposure to the drug-related cues (p = 0.069), stress-related cues (p = 0.887), or neutral cues (p = 0.222)</w:t>
            </w:r>
            <w:r>
              <w:rPr>
                <w:rFonts w:ascii="Calibri" w:hAnsi="Calibri" w:cs="Calibri"/>
                <w:color w:val="000000"/>
                <w:szCs w:val="20"/>
              </w:rPr>
              <w:t>.</w:t>
            </w:r>
          </w:p>
          <w:p w14:paraId="58D45BAC" w14:textId="5B04F42C" w:rsidR="00B80B9A" w:rsidRPr="00705AF6" w:rsidRDefault="00B80B9A" w:rsidP="00B80B9A">
            <w:pPr>
              <w:numPr>
                <w:ilvl w:val="0"/>
                <w:numId w:val="91"/>
              </w:numPr>
              <w:ind w:left="357"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T</w:t>
            </w:r>
            <w:r w:rsidRPr="00705AF6">
              <w:rPr>
                <w:rFonts w:ascii="Calibri" w:hAnsi="Calibri" w:cs="Calibri"/>
                <w:color w:val="000000"/>
                <w:szCs w:val="20"/>
              </w:rPr>
              <w:t>ime-to-relapse cocaine use</w:t>
            </w:r>
            <w:r>
              <w:rPr>
                <w:rFonts w:ascii="Calibri" w:hAnsi="Calibri" w:cs="Calibri"/>
                <w:color w:val="000000"/>
                <w:szCs w:val="20"/>
              </w:rPr>
              <w:t xml:space="preserve"> (Phase II end</w:t>
            </w:r>
            <w:r w:rsidR="00EB0E27">
              <w:rPr>
                <w:rFonts w:ascii="Calibri" w:hAnsi="Calibri" w:cs="Calibri"/>
                <w:color w:val="000000"/>
                <w:szCs w:val="20"/>
              </w:rPr>
              <w:t>-</w:t>
            </w:r>
            <w:r>
              <w:rPr>
                <w:rFonts w:ascii="Calibri" w:hAnsi="Calibri" w:cs="Calibri"/>
                <w:color w:val="000000"/>
                <w:szCs w:val="20"/>
              </w:rPr>
              <w:t>point)</w:t>
            </w:r>
            <w:r w:rsidRPr="00705AF6">
              <w:rPr>
                <w:rFonts w:ascii="Calibri" w:hAnsi="Calibri" w:cs="Calibri"/>
                <w:color w:val="000000"/>
                <w:szCs w:val="20"/>
              </w:rPr>
              <w:t>:</w:t>
            </w:r>
          </w:p>
          <w:p w14:paraId="65CDC61A" w14:textId="77777777" w:rsidR="00B80B9A" w:rsidRPr="00596C10"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D7AD4">
              <w:rPr>
                <w:rFonts w:ascii="Calibri" w:hAnsi="Calibri" w:cs="Calibri"/>
                <w:color w:val="000000"/>
                <w:szCs w:val="20"/>
              </w:rPr>
              <w:t xml:space="preserve">The median time to relapse cocaine use was </w:t>
            </w:r>
            <w:r>
              <w:rPr>
                <w:rFonts w:ascii="Calibri" w:hAnsi="Calibri" w:cs="Calibri"/>
                <w:color w:val="000000"/>
                <w:szCs w:val="20"/>
              </w:rPr>
              <w:t>four (</w:t>
            </w:r>
            <w:r w:rsidRPr="002D7AD4">
              <w:rPr>
                <w:rFonts w:ascii="Calibri" w:hAnsi="Calibri" w:cs="Calibri"/>
                <w:color w:val="000000"/>
                <w:szCs w:val="20"/>
              </w:rPr>
              <w:t>4</w:t>
            </w:r>
            <w:r>
              <w:rPr>
                <w:rFonts w:ascii="Calibri" w:hAnsi="Calibri" w:cs="Calibri"/>
                <w:color w:val="000000"/>
                <w:szCs w:val="20"/>
              </w:rPr>
              <w:t>)</w:t>
            </w:r>
            <w:r w:rsidRPr="002D7AD4">
              <w:rPr>
                <w:rFonts w:ascii="Calibri" w:hAnsi="Calibri" w:cs="Calibri"/>
                <w:color w:val="000000"/>
                <w:szCs w:val="20"/>
              </w:rPr>
              <w:t xml:space="preserve"> days for the CBD group and </w:t>
            </w:r>
            <w:r>
              <w:rPr>
                <w:rFonts w:ascii="Calibri" w:hAnsi="Calibri" w:cs="Calibri"/>
                <w:color w:val="000000"/>
                <w:szCs w:val="20"/>
              </w:rPr>
              <w:t>seven (</w:t>
            </w:r>
            <w:r w:rsidRPr="002D7AD4">
              <w:rPr>
                <w:rFonts w:ascii="Calibri" w:hAnsi="Calibri" w:cs="Calibri"/>
                <w:color w:val="000000"/>
                <w:szCs w:val="20"/>
              </w:rPr>
              <w:t>7</w:t>
            </w:r>
            <w:r>
              <w:rPr>
                <w:rFonts w:ascii="Calibri" w:hAnsi="Calibri" w:cs="Calibri"/>
                <w:color w:val="000000"/>
                <w:szCs w:val="20"/>
              </w:rPr>
              <w:t>)</w:t>
            </w:r>
            <w:r w:rsidRPr="002D7AD4">
              <w:rPr>
                <w:rFonts w:ascii="Calibri" w:hAnsi="Calibri" w:cs="Calibri"/>
                <w:color w:val="000000"/>
                <w:szCs w:val="20"/>
              </w:rPr>
              <w:t xml:space="preserve"> days for the placebo group.</w:t>
            </w:r>
          </w:p>
          <w:p w14:paraId="2235AD83" w14:textId="77777777" w:rsidR="00B80B9A" w:rsidRPr="00EC571A"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944BCE">
              <w:t>By week 12, all but three participants had relapsed to cocaine use</w:t>
            </w:r>
            <w:r w:rsidRPr="00997A70">
              <w:t xml:space="preserve"> (CBD group: </w:t>
            </w:r>
            <w:r w:rsidRPr="00997A70">
              <w:rPr>
                <w:i/>
              </w:rPr>
              <w:t>n</w:t>
            </w:r>
            <w:r w:rsidRPr="00997A70">
              <w:t xml:space="preserve"> = </w:t>
            </w:r>
            <w:r>
              <w:t>33</w:t>
            </w:r>
            <w:r w:rsidRPr="00997A70">
              <w:t xml:space="preserve">/34; placebo group: </w:t>
            </w:r>
            <w:r w:rsidRPr="00997A70">
              <w:rPr>
                <w:i/>
              </w:rPr>
              <w:t>n</w:t>
            </w:r>
            <w:r w:rsidRPr="00997A70">
              <w:t xml:space="preserve"> = 2</w:t>
            </w:r>
            <w:r>
              <w:t>5</w:t>
            </w:r>
            <w:r w:rsidRPr="00997A70">
              <w:t>/27).</w:t>
            </w:r>
            <w:r>
              <w:t xml:space="preserve"> </w:t>
            </w:r>
          </w:p>
          <w:p w14:paraId="004E3ACF" w14:textId="77777777" w:rsidR="00B80B9A" w:rsidRPr="0087604D"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705AF6">
              <w:rPr>
                <w:rFonts w:ascii="Calibri" w:hAnsi="Calibri" w:cs="Calibri"/>
                <w:color w:val="000000"/>
                <w:szCs w:val="20"/>
              </w:rPr>
              <w:t xml:space="preserve">The risk of relapse to cocaine use was similar in the CBD group and placebo group (hazard ratio = 1.20, 95% CI = 0.65 to 2.20, p = 0.512; Bayes factor = 0.152). </w:t>
            </w:r>
          </w:p>
          <w:p w14:paraId="5432BDDC" w14:textId="77777777" w:rsidR="00B80B9A" w:rsidRPr="0087604D" w:rsidRDefault="00B80B9A" w:rsidP="00B80B9A">
            <w:pPr>
              <w:numPr>
                <w:ilvl w:val="0"/>
                <w:numId w:val="9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t>Attendance of psychotherapy sessions:</w:t>
            </w:r>
          </w:p>
          <w:p w14:paraId="39AA96A3" w14:textId="77777777" w:rsidR="00B80B9A" w:rsidRPr="00B46229"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t>Phase I (10-day inpatient): At least one group therapy session was attended by 62.5% (n = 25/40) of participants in the CBD group and 60.5% (n = 23/38) of participants in the placebo group.</w:t>
            </w:r>
          </w:p>
          <w:p w14:paraId="6061BAC9" w14:textId="77777777" w:rsidR="00B80B9A" w:rsidRPr="00276A88" w:rsidRDefault="00B80B9A" w:rsidP="00B80B9A">
            <w:pPr>
              <w:numPr>
                <w:ilvl w:val="1"/>
                <w:numId w:val="91"/>
              </w:numPr>
              <w:ind w:left="714"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t>Phase II (12-week outpatient): At least one group therapy session was attended by 35.3% (n = 12/34) of participants in the CBD group and 51.9% (n = 14/27) of participants in the placebo group.</w:t>
            </w:r>
          </w:p>
        </w:tc>
      </w:tr>
      <w:tr w:rsidR="00B80B9A" w:rsidRPr="002F020F" w14:paraId="1DEC3B58"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8D6EFD8" w14:textId="77777777" w:rsidR="00B80B9A" w:rsidRPr="002F020F" w:rsidRDefault="00B80B9A" w:rsidP="004361E5">
            <w:r w:rsidRPr="002F020F">
              <w:t>Safety and Adverse Events</w:t>
            </w:r>
          </w:p>
        </w:tc>
        <w:tc>
          <w:tcPr>
            <w:tcW w:w="3884" w:type="pct"/>
          </w:tcPr>
          <w:p w14:paraId="68BC1918" w14:textId="77777777" w:rsidR="00B80B9A" w:rsidRPr="00276A88" w:rsidRDefault="00B80B9A" w:rsidP="00B80B9A">
            <w:pPr>
              <w:numPr>
                <w:ilvl w:val="0"/>
                <w:numId w:val="92"/>
              </w:numPr>
              <w:spacing w:after="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Pr>
                <w:rFonts w:ascii="Calibri" w:hAnsi="Calibri" w:cs="Calibri"/>
                <w:color w:val="000000"/>
                <w:szCs w:val="20"/>
              </w:rPr>
              <w:t xml:space="preserve">The </w:t>
            </w:r>
            <w:r w:rsidRPr="000D427A">
              <w:rPr>
                <w:rFonts w:ascii="Calibri" w:hAnsi="Calibri" w:cs="Calibri"/>
                <w:color w:val="000000"/>
                <w:szCs w:val="20"/>
              </w:rPr>
              <w:t>CBD treatment was</w:t>
            </w:r>
            <w:r>
              <w:rPr>
                <w:rFonts w:ascii="Calibri" w:hAnsi="Calibri" w:cs="Calibri"/>
                <w:color w:val="000000"/>
                <w:szCs w:val="20"/>
              </w:rPr>
              <w:t xml:space="preserve"> reportedly</w:t>
            </w:r>
            <w:r w:rsidRPr="000D427A">
              <w:rPr>
                <w:rFonts w:ascii="Calibri" w:hAnsi="Calibri" w:cs="Calibri"/>
                <w:color w:val="000000"/>
                <w:szCs w:val="20"/>
              </w:rPr>
              <w:t xml:space="preserve"> well tolerated</w:t>
            </w:r>
            <w:r w:rsidRPr="002C5192">
              <w:rPr>
                <w:rFonts w:ascii="Calibri" w:hAnsi="Calibri" w:cs="Calibri"/>
                <w:color w:val="000000"/>
                <w:szCs w:val="20"/>
              </w:rPr>
              <w:t>.</w:t>
            </w:r>
          </w:p>
          <w:p w14:paraId="131B8FA7" w14:textId="77777777" w:rsidR="00B80B9A" w:rsidRPr="00AC0175" w:rsidRDefault="00B80B9A" w:rsidP="00B80B9A">
            <w:pPr>
              <w:numPr>
                <w:ilvl w:val="0"/>
                <w:numId w:val="92"/>
              </w:numPr>
              <w:spacing w:after="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AC0175">
              <w:rPr>
                <w:rFonts w:ascii="Calibri" w:hAnsi="Calibri" w:cs="Calibri"/>
                <w:color w:val="000000"/>
                <w:szCs w:val="20"/>
              </w:rPr>
              <w:t>In the CBD group, 42.5%</w:t>
            </w:r>
            <w:r>
              <w:rPr>
                <w:rFonts w:ascii="Calibri" w:hAnsi="Calibri" w:cs="Calibri"/>
                <w:color w:val="000000"/>
                <w:szCs w:val="20"/>
              </w:rPr>
              <w:t xml:space="preserve"> (n = 17/40</w:t>
            </w:r>
            <w:r w:rsidRPr="00AC0175">
              <w:rPr>
                <w:rFonts w:ascii="Calibri" w:hAnsi="Calibri" w:cs="Calibri"/>
                <w:color w:val="000000"/>
                <w:szCs w:val="20"/>
              </w:rPr>
              <w:t xml:space="preserve">) participants reported at least one adverse event that was deemed </w:t>
            </w:r>
            <w:r>
              <w:rPr>
                <w:rFonts w:ascii="Calibri" w:hAnsi="Calibri" w:cs="Calibri"/>
                <w:color w:val="000000"/>
                <w:szCs w:val="20"/>
              </w:rPr>
              <w:t xml:space="preserve">to be </w:t>
            </w:r>
            <w:r w:rsidRPr="00AC0175">
              <w:rPr>
                <w:rFonts w:ascii="Calibri" w:hAnsi="Calibri" w:cs="Calibri"/>
                <w:color w:val="000000"/>
                <w:szCs w:val="20"/>
              </w:rPr>
              <w:t xml:space="preserve">medication-related by a blinded study physician. </w:t>
            </w:r>
          </w:p>
          <w:p w14:paraId="2362BCA8" w14:textId="77777777" w:rsidR="00B80B9A" w:rsidRPr="00DC4916" w:rsidRDefault="00B80B9A" w:rsidP="00B80B9A">
            <w:pPr>
              <w:numPr>
                <w:ilvl w:val="0"/>
                <w:numId w:val="92"/>
              </w:numPr>
              <w:spacing w:after="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AC0175">
              <w:rPr>
                <w:rFonts w:ascii="Calibri" w:hAnsi="Calibri" w:cs="Calibri"/>
                <w:color w:val="000000"/>
                <w:szCs w:val="20"/>
              </w:rPr>
              <w:t>The most frequent adverse events included diarrhoea (n = 14</w:t>
            </w:r>
            <w:r>
              <w:rPr>
                <w:rFonts w:ascii="Calibri" w:hAnsi="Calibri" w:cs="Calibri"/>
                <w:color w:val="000000"/>
                <w:szCs w:val="20"/>
              </w:rPr>
              <w:t>/</w:t>
            </w:r>
            <w:r w:rsidRPr="00AC0175">
              <w:rPr>
                <w:rFonts w:ascii="Calibri" w:hAnsi="Calibri" w:cs="Calibri"/>
                <w:color w:val="000000"/>
                <w:szCs w:val="20"/>
              </w:rPr>
              <w:t>40</w:t>
            </w:r>
            <w:r>
              <w:rPr>
                <w:rFonts w:ascii="Calibri" w:hAnsi="Calibri" w:cs="Calibri"/>
                <w:color w:val="000000"/>
                <w:szCs w:val="20"/>
              </w:rPr>
              <w:t>;</w:t>
            </w:r>
            <w:r w:rsidRPr="00AC0175">
              <w:rPr>
                <w:rFonts w:ascii="Calibri" w:hAnsi="Calibri" w:cs="Calibri"/>
                <w:color w:val="000000"/>
                <w:szCs w:val="20"/>
              </w:rPr>
              <w:t xml:space="preserve"> 35.0%) and nausea (n = </w:t>
            </w:r>
            <w:r>
              <w:rPr>
                <w:rFonts w:ascii="Calibri" w:hAnsi="Calibri" w:cs="Calibri"/>
                <w:color w:val="000000"/>
                <w:szCs w:val="20"/>
              </w:rPr>
              <w:t>3/</w:t>
            </w:r>
            <w:r w:rsidRPr="00AC0175">
              <w:rPr>
                <w:rFonts w:ascii="Calibri" w:hAnsi="Calibri" w:cs="Calibri"/>
                <w:color w:val="000000"/>
                <w:szCs w:val="20"/>
              </w:rPr>
              <w:t>40</w:t>
            </w:r>
            <w:r>
              <w:rPr>
                <w:rFonts w:ascii="Calibri" w:hAnsi="Calibri" w:cs="Calibri"/>
                <w:color w:val="000000"/>
                <w:szCs w:val="20"/>
              </w:rPr>
              <w:t>;</w:t>
            </w:r>
            <w:r w:rsidRPr="00AC0175">
              <w:rPr>
                <w:rFonts w:ascii="Calibri" w:hAnsi="Calibri" w:cs="Calibri"/>
                <w:color w:val="000000"/>
                <w:szCs w:val="20"/>
              </w:rPr>
              <w:t xml:space="preserve"> 7.5%).</w:t>
            </w:r>
          </w:p>
        </w:tc>
      </w:tr>
    </w:tbl>
    <w:p w14:paraId="0AAD6F4C" w14:textId="77777777" w:rsidR="00B80B9A" w:rsidRDefault="00B80B9A" w:rsidP="00B80B9A"/>
    <w:p w14:paraId="3A935F4C" w14:textId="2AFD3B67" w:rsidR="00B80B9A" w:rsidRPr="00F9372F" w:rsidRDefault="00B80B9A" w:rsidP="00B80B9A">
      <w:pPr>
        <w:keepNext/>
        <w:keepLines/>
        <w:numPr>
          <w:ilvl w:val="0"/>
          <w:numId w:val="72"/>
        </w:numPr>
        <w:spacing w:before="40" w:after="40"/>
        <w:outlineLvl w:val="1"/>
        <w:rPr>
          <w:rFonts w:ascii="Calibri Light" w:eastAsia="Times New Roman" w:hAnsi="Calibri Light" w:cs="Times New Roman"/>
          <w:color w:val="2E74B5"/>
          <w:sz w:val="26"/>
          <w:szCs w:val="26"/>
        </w:rPr>
      </w:pPr>
      <w:bookmarkStart w:id="329" w:name="_Toc165018251"/>
      <w:r w:rsidRPr="5DE4EECB">
        <w:rPr>
          <w:rFonts w:ascii="Calibri Light" w:eastAsia="Times New Roman" w:hAnsi="Calibri Light" w:cs="Times New Roman"/>
          <w:color w:val="2E74B5" w:themeColor="accent1" w:themeShade="BF"/>
          <w:sz w:val="26"/>
          <w:szCs w:val="26"/>
        </w:rPr>
        <w:lastRenderedPageBreak/>
        <w:t xml:space="preserve">Natural Dried Cannabis </w:t>
      </w:r>
      <w:r>
        <w:rPr>
          <w:rFonts w:ascii="Calibri Light" w:eastAsia="Times New Roman" w:hAnsi="Calibri Light" w:cs="Times New Roman"/>
          <w:color w:val="2E74B5" w:themeColor="accent1" w:themeShade="BF"/>
          <w:sz w:val="26"/>
          <w:szCs w:val="26"/>
        </w:rPr>
        <w:t>(THC</w:t>
      </w:r>
      <w:r w:rsidR="00B4573C">
        <w:rPr>
          <w:rFonts w:ascii="Calibri Light" w:eastAsia="Times New Roman" w:hAnsi="Calibri Light" w:cs="Calibri Light"/>
          <w:color w:val="2E74B5" w:themeColor="accent1" w:themeShade="BF"/>
          <w:sz w:val="26"/>
          <w:szCs w:val="26"/>
        </w:rPr>
        <w:t>±</w:t>
      </w:r>
      <w:r>
        <w:rPr>
          <w:rFonts w:ascii="Calibri Light" w:eastAsia="Times New Roman" w:hAnsi="Calibri Light" w:cs="Times New Roman"/>
          <w:color w:val="2E74B5" w:themeColor="accent1" w:themeShade="BF"/>
          <w:sz w:val="26"/>
          <w:szCs w:val="26"/>
        </w:rPr>
        <w:t xml:space="preserve">CBD) </w:t>
      </w:r>
      <w:r w:rsidRPr="5DE4EECB">
        <w:rPr>
          <w:rFonts w:ascii="Calibri Light" w:eastAsia="Times New Roman" w:hAnsi="Calibri Light" w:cs="Times New Roman"/>
          <w:color w:val="2E74B5" w:themeColor="accent1" w:themeShade="BF"/>
          <w:sz w:val="26"/>
          <w:szCs w:val="26"/>
        </w:rPr>
        <w:t xml:space="preserve">for Post-Traumatic Stress Disorder (PTSD): </w:t>
      </w:r>
      <w:r>
        <w:rPr>
          <w:rFonts w:ascii="Calibri Light" w:eastAsia="Times New Roman" w:hAnsi="Calibri Light" w:cs="Times New Roman"/>
          <w:color w:val="2E74B5" w:themeColor="accent1" w:themeShade="BF"/>
          <w:sz w:val="26"/>
          <w:szCs w:val="26"/>
        </w:rPr>
        <w:t>Standalone</w:t>
      </w:r>
      <w:r w:rsidRPr="5DE4EECB">
        <w:rPr>
          <w:rFonts w:ascii="Calibri Light" w:eastAsia="Times New Roman" w:hAnsi="Calibri Light" w:cs="Times New Roman"/>
          <w:color w:val="2E74B5" w:themeColor="accent1" w:themeShade="BF"/>
          <w:sz w:val="26"/>
          <w:szCs w:val="26"/>
        </w:rPr>
        <w:t xml:space="preserve"> intervention</w:t>
      </w:r>
      <w:bookmarkEnd w:id="329"/>
    </w:p>
    <w:tbl>
      <w:tblPr>
        <w:tblStyle w:val="GridTable5Dark-Accent5"/>
        <w:tblW w:w="5000" w:type="pct"/>
        <w:tblLook w:val="04A0" w:firstRow="1" w:lastRow="0" w:firstColumn="1" w:lastColumn="0" w:noHBand="0" w:noVBand="1"/>
      </w:tblPr>
      <w:tblGrid>
        <w:gridCol w:w="2012"/>
        <w:gridCol w:w="7004"/>
      </w:tblGrid>
      <w:tr w:rsidR="00B80B9A" w:rsidRPr="00894259" w14:paraId="432460D5" w14:textId="77777777" w:rsidTr="004F2F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42BBB24A" w14:textId="77777777" w:rsidR="00B80B9A" w:rsidRPr="00894259" w:rsidRDefault="00B80B9A" w:rsidP="004361E5">
            <w:r w:rsidRPr="00894259">
              <w:t>Citation</w:t>
            </w:r>
          </w:p>
        </w:tc>
        <w:tc>
          <w:tcPr>
            <w:tcW w:w="3884" w:type="pct"/>
          </w:tcPr>
          <w:p w14:paraId="35B385E5" w14:textId="77777777" w:rsidR="00B80B9A" w:rsidRPr="00894259" w:rsidRDefault="00B80B9A" w:rsidP="004361E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rPr>
            </w:pPr>
            <w:r w:rsidRPr="00894259">
              <w:rPr>
                <w:rFonts w:cstheme="minorHAnsi"/>
                <w:bCs w:val="0"/>
                <w:szCs w:val="20"/>
              </w:rPr>
              <w:t>Bonn-Miller et al. (2021)</w:t>
            </w:r>
          </w:p>
        </w:tc>
      </w:tr>
      <w:tr w:rsidR="00B80B9A" w:rsidRPr="00894259" w14:paraId="7DF36648"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5A39F85" w14:textId="77777777" w:rsidR="00B80B9A" w:rsidRPr="00894259" w:rsidRDefault="00B80B9A" w:rsidP="004361E5">
            <w:r w:rsidRPr="00894259">
              <w:t>Study Design</w:t>
            </w:r>
          </w:p>
        </w:tc>
        <w:tc>
          <w:tcPr>
            <w:tcW w:w="3884" w:type="pct"/>
          </w:tcPr>
          <w:p w14:paraId="512BB0D8" w14:textId="77777777" w:rsidR="00B80B9A" w:rsidRPr="00894259" w:rsidRDefault="00B80B9A" w:rsidP="00B80B9A">
            <w:pPr>
              <w:pStyle w:val="ListParagraph"/>
              <w:numPr>
                <w:ilvl w:val="0"/>
                <w:numId w:val="9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894259">
              <w:rPr>
                <w:rFonts w:cstheme="minorHAnsi"/>
                <w:szCs w:val="20"/>
              </w:rPr>
              <w:t>Double-blind, randomised, placebo-controlled trial.</w:t>
            </w:r>
          </w:p>
          <w:p w14:paraId="142C2E28" w14:textId="77777777" w:rsidR="00B80B9A" w:rsidRPr="00894259" w:rsidRDefault="00B80B9A" w:rsidP="00B80B9A">
            <w:pPr>
              <w:pStyle w:val="ListParagraph"/>
              <w:numPr>
                <w:ilvl w:val="0"/>
                <w:numId w:val="9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894259">
              <w:rPr>
                <w:rFonts w:cstheme="minorHAnsi"/>
                <w:szCs w:val="20"/>
              </w:rPr>
              <w:t>Crossover design.</w:t>
            </w:r>
          </w:p>
        </w:tc>
      </w:tr>
      <w:tr w:rsidR="00B80B9A" w:rsidRPr="00894259" w14:paraId="5BD36E40"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7DA7C95F" w14:textId="77777777" w:rsidR="00B80B9A" w:rsidRPr="00894259" w:rsidRDefault="00B80B9A" w:rsidP="004361E5">
            <w:r w:rsidRPr="00894259">
              <w:t>Sample Size</w:t>
            </w:r>
          </w:p>
        </w:tc>
        <w:tc>
          <w:tcPr>
            <w:tcW w:w="3884" w:type="pct"/>
          </w:tcPr>
          <w:p w14:paraId="40DC0EDC" w14:textId="7D0DFD8D" w:rsidR="003125EA" w:rsidRPr="00F62917"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sidRPr="00894259">
              <w:rPr>
                <w:rFonts w:cstheme="minorHAnsi"/>
                <w:color w:val="000000"/>
                <w:szCs w:val="20"/>
              </w:rPr>
              <w:t>76 participants (</w:t>
            </w:r>
            <w:r w:rsidR="00B46F86">
              <w:rPr>
                <w:rFonts w:cstheme="minorHAnsi"/>
                <w:color w:val="000000"/>
                <w:szCs w:val="20"/>
              </w:rPr>
              <w:t xml:space="preserve">Stage I </w:t>
            </w:r>
            <w:r w:rsidRPr="00894259">
              <w:rPr>
                <w:rFonts w:cstheme="minorHAnsi"/>
                <w:color w:val="000000"/>
                <w:szCs w:val="20"/>
              </w:rPr>
              <w:t>per-protocol sample)</w:t>
            </w:r>
            <w:r w:rsidR="003125EA">
              <w:rPr>
                <w:rFonts w:cstheme="minorHAnsi"/>
                <w:color w:val="000000"/>
                <w:szCs w:val="20"/>
              </w:rPr>
              <w:t>.</w:t>
            </w:r>
            <w:r w:rsidR="008269A8">
              <w:rPr>
                <w:rFonts w:cstheme="minorHAnsi"/>
                <w:color w:val="000000"/>
                <w:szCs w:val="20"/>
              </w:rPr>
              <w:t xml:space="preserve"> </w:t>
            </w:r>
          </w:p>
          <w:p w14:paraId="7AFD7EEB" w14:textId="77777777" w:rsidR="00B80B9A" w:rsidRPr="00894259"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sidRPr="00894259">
              <w:rPr>
                <w:rFonts w:cstheme="minorHAnsi"/>
                <w:color w:val="000000"/>
                <w:szCs w:val="20"/>
              </w:rPr>
              <w:t>80 participants were randomised to conditions.</w:t>
            </w:r>
          </w:p>
          <w:p w14:paraId="06E33783" w14:textId="77777777" w:rsidR="00B80B9A" w:rsidRPr="00F62917" w:rsidRDefault="00B80B9A"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sidRPr="00894259">
              <w:rPr>
                <w:rFonts w:cstheme="minorHAnsi"/>
                <w:color w:val="000000"/>
                <w:szCs w:val="20"/>
              </w:rPr>
              <w:t>4 participants withdrew due to adverse effects prior to completing Stage I and were excluded from the analysis of the primary outcome measure (High THC: 1 participant; High CBD: 1 participant; THC+CBD:</w:t>
            </w:r>
            <w:r w:rsidRPr="00F62917">
              <w:rPr>
                <w:rFonts w:cstheme="minorHAnsi"/>
                <w:color w:val="000000"/>
                <w:szCs w:val="20"/>
              </w:rPr>
              <w:t xml:space="preserve"> </w:t>
            </w:r>
            <w:r w:rsidRPr="00894259">
              <w:rPr>
                <w:rFonts w:cstheme="minorHAnsi"/>
                <w:color w:val="000000"/>
                <w:szCs w:val="20"/>
              </w:rPr>
              <w:t>2 participants).</w:t>
            </w:r>
            <w:r w:rsidRPr="00894259">
              <w:rPr>
                <w:rFonts w:cstheme="minorHAnsi"/>
                <w:color w:val="000000"/>
                <w:sz w:val="16"/>
                <w:szCs w:val="20"/>
              </w:rPr>
              <w:t xml:space="preserve"> </w:t>
            </w:r>
          </w:p>
          <w:p w14:paraId="69FAF69A" w14:textId="5DBDFB51" w:rsidR="0012204C" w:rsidRPr="00894259" w:rsidRDefault="0012204C" w:rsidP="00B80B9A">
            <w:pPr>
              <w:pStyle w:val="ListParagraph"/>
              <w:numPr>
                <w:ilvl w:val="0"/>
                <w:numId w:val="93"/>
              </w:numPr>
              <w:spacing w:after="120"/>
              <w:ind w:left="357" w:hanging="357"/>
              <w:cnfStyle w:val="000000000000" w:firstRow="0" w:lastRow="0" w:firstColumn="0" w:lastColumn="0" w:oddVBand="0" w:evenVBand="0" w:oddHBand="0" w:evenHBand="0" w:firstRowFirstColumn="0" w:firstRowLastColumn="0" w:lastRowFirstColumn="0" w:lastRowLastColumn="0"/>
              <w:rPr>
                <w:szCs w:val="20"/>
              </w:rPr>
            </w:pPr>
            <w:r w:rsidRPr="0012204C">
              <w:rPr>
                <w:szCs w:val="20"/>
              </w:rPr>
              <w:t>By the end of Stage II, a significant proportion of participants (16.3%; n = 13/80) had dropped out of the study due to adverse events (8) and voluntary withdrawal (5).</w:t>
            </w:r>
          </w:p>
        </w:tc>
      </w:tr>
      <w:tr w:rsidR="00B80B9A" w:rsidRPr="00894259" w14:paraId="6CACF0D5"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59397433" w14:textId="77777777" w:rsidR="00B80B9A" w:rsidRPr="00894259" w:rsidRDefault="00B80B9A" w:rsidP="004361E5">
            <w:pPr>
              <w:rPr>
                <w:b w:val="0"/>
                <w:bCs w:val="0"/>
              </w:rPr>
            </w:pPr>
            <w:r w:rsidRPr="00894259">
              <w:t>Population</w:t>
            </w:r>
          </w:p>
        </w:tc>
        <w:tc>
          <w:tcPr>
            <w:tcW w:w="3884" w:type="pct"/>
          </w:tcPr>
          <w:p w14:paraId="0C2BB866" w14:textId="36E369E5" w:rsidR="00B80B9A" w:rsidRPr="00894259" w:rsidRDefault="00B80B9A" w:rsidP="00B80B9A">
            <w:pPr>
              <w:pStyle w:val="ListParagraph"/>
              <w:numPr>
                <w:ilvl w:val="0"/>
                <w:numId w:val="106"/>
              </w:num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894259">
              <w:rPr>
                <w:rFonts w:cstheme="minorHAnsi"/>
                <w:color w:val="000000"/>
                <w:szCs w:val="20"/>
              </w:rPr>
              <w:t>United States</w:t>
            </w:r>
            <w:r w:rsidR="0064782A">
              <w:rPr>
                <w:rFonts w:cstheme="minorHAnsi"/>
                <w:color w:val="000000"/>
                <w:szCs w:val="20"/>
              </w:rPr>
              <w:t>.</w:t>
            </w:r>
          </w:p>
          <w:p w14:paraId="044DDBCD" w14:textId="77777777" w:rsidR="00B80B9A" w:rsidRPr="00894259" w:rsidRDefault="00B80B9A" w:rsidP="00B80B9A">
            <w:pPr>
              <w:pStyle w:val="ListParagraph"/>
              <w:numPr>
                <w:ilvl w:val="0"/>
                <w:numId w:val="106"/>
              </w:num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894259">
              <w:rPr>
                <w:rFonts w:cstheme="minorHAnsi"/>
                <w:color w:val="000000"/>
                <w:szCs w:val="20"/>
              </w:rPr>
              <w:t>Post-Traumatic Stress Disorder (DSM-5 criteria).</w:t>
            </w:r>
          </w:p>
          <w:p w14:paraId="39F60A89" w14:textId="77777777" w:rsidR="00B80B9A" w:rsidRPr="00894259" w:rsidRDefault="00B80B9A" w:rsidP="00B80B9A">
            <w:pPr>
              <w:pStyle w:val="ListParagraph"/>
              <w:numPr>
                <w:ilvl w:val="0"/>
                <w:numId w:val="106"/>
              </w:num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894259">
              <w:rPr>
                <w:rFonts w:cstheme="minorHAnsi"/>
                <w:color w:val="000000"/>
                <w:szCs w:val="20"/>
              </w:rPr>
              <w:t>I [High THC]: M = 45.0 years (SD = 16.6); 95.0% male.</w:t>
            </w:r>
          </w:p>
          <w:p w14:paraId="2EFEF30D" w14:textId="77777777" w:rsidR="00B80B9A" w:rsidRPr="00894259" w:rsidRDefault="00B80B9A" w:rsidP="00B80B9A">
            <w:pPr>
              <w:pStyle w:val="ListParagraph"/>
              <w:numPr>
                <w:ilvl w:val="0"/>
                <w:numId w:val="106"/>
              </w:num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894259">
              <w:rPr>
                <w:rFonts w:cstheme="minorHAnsi"/>
                <w:color w:val="000000"/>
                <w:szCs w:val="20"/>
              </w:rPr>
              <w:t>I [High CBD]: M = 40.4 years (SD = 11.2); 90.0% male.</w:t>
            </w:r>
          </w:p>
          <w:p w14:paraId="05BF05EE" w14:textId="77777777" w:rsidR="00B80B9A" w:rsidRPr="00894259" w:rsidRDefault="00B80B9A" w:rsidP="00B80B9A">
            <w:pPr>
              <w:pStyle w:val="ListParagraph"/>
              <w:numPr>
                <w:ilvl w:val="0"/>
                <w:numId w:val="106"/>
              </w:num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894259">
              <w:rPr>
                <w:rFonts w:cstheme="minorHAnsi"/>
                <w:color w:val="000000"/>
                <w:szCs w:val="20"/>
              </w:rPr>
              <w:t>I [THC+CBD]: M = 50.6 years (SD = 13.3); 85.0% male.</w:t>
            </w:r>
          </w:p>
          <w:p w14:paraId="0C532486" w14:textId="77777777" w:rsidR="00B80B9A" w:rsidRPr="00894259" w:rsidRDefault="00B80B9A" w:rsidP="00B80B9A">
            <w:pPr>
              <w:pStyle w:val="ListParagraph"/>
              <w:numPr>
                <w:ilvl w:val="0"/>
                <w:numId w:val="106"/>
              </w:numPr>
              <w:spacing w:after="120"/>
              <w:cnfStyle w:val="000000100000" w:firstRow="0" w:lastRow="0" w:firstColumn="0" w:lastColumn="0" w:oddVBand="0" w:evenVBand="0" w:oddHBand="1" w:evenHBand="0" w:firstRowFirstColumn="0" w:firstRowLastColumn="0" w:lastRowFirstColumn="0" w:lastRowLastColumn="0"/>
            </w:pPr>
            <w:r w:rsidRPr="00894259">
              <w:rPr>
                <w:rFonts w:cstheme="minorHAnsi"/>
                <w:color w:val="000000"/>
                <w:szCs w:val="20"/>
              </w:rPr>
              <w:t>C [placebo]: M = 43.7 years (SD = 12.5); 90.0% male.</w:t>
            </w:r>
          </w:p>
        </w:tc>
      </w:tr>
      <w:tr w:rsidR="00B80B9A" w:rsidRPr="00894259" w14:paraId="3CBC3A17"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41A01882" w14:textId="77777777" w:rsidR="00B80B9A" w:rsidRPr="00894259" w:rsidRDefault="00B80B9A" w:rsidP="004361E5">
            <w:pPr>
              <w:spacing w:line="259" w:lineRule="auto"/>
              <w:rPr>
                <w:b w:val="0"/>
                <w:bCs w:val="0"/>
              </w:rPr>
            </w:pPr>
            <w:r w:rsidRPr="00894259">
              <w:t xml:space="preserve">Intervention/s (I) and </w:t>
            </w:r>
          </w:p>
          <w:p w14:paraId="35D91A41" w14:textId="77777777" w:rsidR="00B80B9A" w:rsidRPr="00894259" w:rsidRDefault="00B80B9A" w:rsidP="004361E5">
            <w:pPr>
              <w:spacing w:line="259" w:lineRule="auto"/>
            </w:pPr>
            <w:r w:rsidRPr="00894259">
              <w:t xml:space="preserve">Comparator/s (C) </w:t>
            </w:r>
          </w:p>
        </w:tc>
        <w:tc>
          <w:tcPr>
            <w:tcW w:w="3884" w:type="pct"/>
          </w:tcPr>
          <w:p w14:paraId="64D10016" w14:textId="77777777" w:rsidR="00B80B9A" w:rsidRPr="00894259" w:rsidRDefault="00B80B9A" w:rsidP="00B80B9A">
            <w:pPr>
              <w:pStyle w:val="ListParagraph"/>
              <w:numPr>
                <w:ilvl w:val="0"/>
                <w:numId w:val="107"/>
              </w:numPr>
              <w:cnfStyle w:val="000000000000" w:firstRow="0" w:lastRow="0" w:firstColumn="0" w:lastColumn="0" w:oddVBand="0" w:evenVBand="0" w:oddHBand="0" w:evenHBand="0" w:firstRowFirstColumn="0" w:firstRowLastColumn="0" w:lastRowFirstColumn="0" w:lastRowLastColumn="0"/>
              <w:rPr>
                <w:color w:val="000000"/>
              </w:rPr>
            </w:pPr>
            <w:r w:rsidRPr="00894259">
              <w:rPr>
                <w:color w:val="000000" w:themeColor="text1"/>
              </w:rPr>
              <w:t>Two stage trial (n = Stage I, n = Stage II).</w:t>
            </w:r>
          </w:p>
          <w:p w14:paraId="40FD28FA" w14:textId="77777777" w:rsidR="00B80B9A" w:rsidRPr="00894259" w:rsidRDefault="00B80B9A" w:rsidP="00B80B9A">
            <w:pPr>
              <w:pStyle w:val="ListParagraph"/>
              <w:numPr>
                <w:ilvl w:val="0"/>
                <w:numId w:val="107"/>
              </w:numPr>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894259">
              <w:rPr>
                <w:rFonts w:cstheme="minorHAnsi"/>
                <w:color w:val="000000"/>
                <w:szCs w:val="20"/>
              </w:rPr>
              <w:t>I (n = 19, 29)</w:t>
            </w:r>
            <w:r w:rsidRPr="00894259">
              <w:t xml:space="preserve"> High THC (12% THC/&lt;0.05% CBD; 1.8 g/day smoked). </w:t>
            </w:r>
          </w:p>
          <w:p w14:paraId="4B19E89E" w14:textId="77777777" w:rsidR="00B80B9A" w:rsidRPr="00894259" w:rsidRDefault="00B80B9A" w:rsidP="00B80B9A">
            <w:pPr>
              <w:pStyle w:val="ListParagraph"/>
              <w:numPr>
                <w:ilvl w:val="0"/>
                <w:numId w:val="107"/>
              </w:numPr>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894259">
              <w:rPr>
                <w:rFonts w:cstheme="minorHAnsi"/>
                <w:color w:val="000000"/>
                <w:szCs w:val="20"/>
              </w:rPr>
              <w:t xml:space="preserve">I (n = 19, 27) High CBD (0.5% THC/11% CBD; </w:t>
            </w:r>
            <w:r w:rsidRPr="00894259">
              <w:t>1.8 g/day smoked</w:t>
            </w:r>
            <w:r w:rsidRPr="00894259">
              <w:rPr>
                <w:rFonts w:cstheme="minorHAnsi"/>
                <w:color w:val="000000"/>
                <w:szCs w:val="20"/>
              </w:rPr>
              <w:t>).</w:t>
            </w:r>
          </w:p>
          <w:p w14:paraId="3BFDE185" w14:textId="77777777" w:rsidR="00B80B9A" w:rsidRPr="00894259" w:rsidRDefault="00B80B9A" w:rsidP="00B80B9A">
            <w:pPr>
              <w:pStyle w:val="ListParagraph"/>
              <w:numPr>
                <w:ilvl w:val="0"/>
                <w:numId w:val="107"/>
              </w:numPr>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894259">
              <w:rPr>
                <w:rFonts w:cstheme="minorHAnsi"/>
                <w:color w:val="000000"/>
                <w:szCs w:val="20"/>
              </w:rPr>
              <w:t xml:space="preserve">I (n = 18, 18) THC+CBD (7.9% THC/8.1% CBD; </w:t>
            </w:r>
            <w:r w:rsidRPr="00894259">
              <w:t>1.8 g/day smoked</w:t>
            </w:r>
            <w:r w:rsidRPr="00894259">
              <w:rPr>
                <w:rFonts w:cstheme="minorHAnsi"/>
                <w:color w:val="000000"/>
                <w:szCs w:val="20"/>
              </w:rPr>
              <w:t>).</w:t>
            </w:r>
          </w:p>
          <w:p w14:paraId="15C18948" w14:textId="77777777" w:rsidR="00B80B9A" w:rsidRPr="00894259" w:rsidRDefault="00B80B9A" w:rsidP="00B80B9A">
            <w:pPr>
              <w:pStyle w:val="ListParagraph"/>
              <w:numPr>
                <w:ilvl w:val="0"/>
                <w:numId w:val="107"/>
              </w:numPr>
              <w:spacing w:after="120"/>
              <w:cnfStyle w:val="000000000000" w:firstRow="0" w:lastRow="0" w:firstColumn="0" w:lastColumn="0" w:oddVBand="0" w:evenVBand="0" w:oddHBand="0" w:evenHBand="0" w:firstRowFirstColumn="0" w:firstRowLastColumn="0" w:lastRowFirstColumn="0" w:lastRowLastColumn="0"/>
            </w:pPr>
            <w:r w:rsidRPr="00894259">
              <w:rPr>
                <w:rFonts w:cstheme="minorHAnsi"/>
                <w:color w:val="000000"/>
                <w:szCs w:val="20"/>
              </w:rPr>
              <w:t xml:space="preserve">C (n = 20, 0) placebo (&lt; 0.03% THC/&lt; 0.01% CBD; </w:t>
            </w:r>
            <w:r w:rsidRPr="00894259">
              <w:t>1.8 g/day smoked</w:t>
            </w:r>
            <w:r w:rsidRPr="00894259">
              <w:rPr>
                <w:rFonts w:cstheme="minorHAnsi"/>
                <w:color w:val="000000"/>
                <w:szCs w:val="20"/>
              </w:rPr>
              <w:t>).</w:t>
            </w:r>
          </w:p>
        </w:tc>
      </w:tr>
      <w:tr w:rsidR="00B80B9A" w:rsidRPr="00894259" w14:paraId="0E35BF53"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C0D6145" w14:textId="77777777" w:rsidR="00B80B9A" w:rsidRPr="00894259" w:rsidRDefault="00B80B9A" w:rsidP="004361E5">
            <w:pPr>
              <w:spacing w:line="259" w:lineRule="auto"/>
            </w:pPr>
            <w:r w:rsidRPr="00894259">
              <w:t>Outcome Measure/s</w:t>
            </w:r>
          </w:p>
        </w:tc>
        <w:tc>
          <w:tcPr>
            <w:tcW w:w="3884" w:type="pct"/>
          </w:tcPr>
          <w:p w14:paraId="48595089" w14:textId="77777777" w:rsidR="00B80B9A" w:rsidRPr="00894259" w:rsidRDefault="00B80B9A" w:rsidP="004361E5">
            <w:pPr>
              <w:spacing w:after="0"/>
              <w:cnfStyle w:val="000000100000" w:firstRow="0" w:lastRow="0" w:firstColumn="0" w:lastColumn="0" w:oddVBand="0" w:evenVBand="0" w:oddHBand="1" w:evenHBand="0" w:firstRowFirstColumn="0" w:firstRowLastColumn="0" w:lastRowFirstColumn="0" w:lastRowLastColumn="0"/>
              <w:rPr>
                <w:rFonts w:cstheme="minorHAnsi"/>
                <w:bCs/>
                <w:color w:val="000000"/>
                <w:szCs w:val="20"/>
              </w:rPr>
            </w:pPr>
            <w:r w:rsidRPr="00894259">
              <w:rPr>
                <w:rFonts w:cstheme="minorHAnsi"/>
                <w:bCs/>
                <w:color w:val="000000"/>
                <w:szCs w:val="20"/>
              </w:rPr>
              <w:t>Primary:</w:t>
            </w:r>
          </w:p>
          <w:p w14:paraId="257361A7" w14:textId="77777777" w:rsidR="00B80B9A" w:rsidRPr="00894259" w:rsidRDefault="00B80B9A" w:rsidP="00F62917">
            <w:pPr>
              <w:pStyle w:val="ListParagraph"/>
              <w:numPr>
                <w:ilvl w:val="0"/>
                <w:numId w:val="89"/>
              </w:numPr>
              <w:ind w:left="357" w:hanging="357"/>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894259">
              <w:rPr>
                <w:rFonts w:cstheme="minorHAnsi"/>
                <w:color w:val="000000"/>
                <w:szCs w:val="20"/>
              </w:rPr>
              <w:t xml:space="preserve">Clinician-Administered PTSD Scale for DSM-5 (CAPS-5). </w:t>
            </w:r>
          </w:p>
          <w:p w14:paraId="5675FAE4" w14:textId="77777777" w:rsidR="00B80B9A" w:rsidRPr="00894259" w:rsidRDefault="00B80B9A" w:rsidP="004361E5">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Cs/>
                <w:color w:val="000000"/>
                <w:sz w:val="20"/>
                <w:szCs w:val="20"/>
              </w:rPr>
            </w:pPr>
            <w:bookmarkStart w:id="330" w:name="_Toc165018252"/>
            <w:r w:rsidRPr="00894259">
              <w:rPr>
                <w:rFonts w:asciiTheme="minorHAnsi" w:eastAsiaTheme="minorHAnsi" w:hAnsiTheme="minorHAnsi" w:cstheme="minorHAnsi"/>
                <w:bCs/>
                <w:color w:val="000000"/>
                <w:sz w:val="20"/>
                <w:szCs w:val="20"/>
              </w:rPr>
              <w:t>Secondary:</w:t>
            </w:r>
            <w:bookmarkEnd w:id="330"/>
          </w:p>
          <w:p w14:paraId="0726D1A7" w14:textId="77777777" w:rsidR="00B80B9A" w:rsidRPr="00894259" w:rsidRDefault="00B80B9A" w:rsidP="00B80B9A">
            <w:pPr>
              <w:pStyle w:val="ListParagraph"/>
              <w:numPr>
                <w:ilvl w:val="0"/>
                <w:numId w:val="89"/>
              </w:num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894259">
              <w:rPr>
                <w:rFonts w:cstheme="minorHAnsi"/>
                <w:color w:val="000000"/>
                <w:szCs w:val="20"/>
              </w:rPr>
              <w:t>PTSD Checklist for DSM-5 (PCL-5).</w:t>
            </w:r>
          </w:p>
          <w:p w14:paraId="77459874" w14:textId="77777777" w:rsidR="00B80B9A" w:rsidRPr="00894259" w:rsidRDefault="00B80B9A" w:rsidP="00B80B9A">
            <w:pPr>
              <w:pStyle w:val="ListParagraph"/>
              <w:numPr>
                <w:ilvl w:val="0"/>
                <w:numId w:val="89"/>
              </w:num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894259">
              <w:rPr>
                <w:rFonts w:cstheme="minorHAnsi"/>
                <w:color w:val="000000"/>
                <w:szCs w:val="20"/>
              </w:rPr>
              <w:t>Inventory of Depression and Anxiety Symptoms (IDAS).</w:t>
            </w:r>
          </w:p>
          <w:p w14:paraId="43F6A176" w14:textId="77777777" w:rsidR="00B80B9A" w:rsidRPr="00894259" w:rsidRDefault="00B80B9A" w:rsidP="00B80B9A">
            <w:pPr>
              <w:pStyle w:val="ListParagraph"/>
              <w:numPr>
                <w:ilvl w:val="0"/>
                <w:numId w:val="89"/>
              </w:num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894259">
              <w:rPr>
                <w:rFonts w:cstheme="minorHAnsi"/>
                <w:color w:val="000000"/>
                <w:szCs w:val="20"/>
              </w:rPr>
              <w:t>Inventory of Psychosocial Functioning (IPF).</w:t>
            </w:r>
          </w:p>
          <w:p w14:paraId="679D0781" w14:textId="77777777" w:rsidR="00B80B9A" w:rsidRPr="00894259" w:rsidRDefault="00B80B9A" w:rsidP="00B80B9A">
            <w:pPr>
              <w:pStyle w:val="ListParagraph"/>
              <w:numPr>
                <w:ilvl w:val="0"/>
                <w:numId w:val="89"/>
              </w:numPr>
              <w:spacing w:after="120"/>
              <w:cnfStyle w:val="000000100000" w:firstRow="0" w:lastRow="0" w:firstColumn="0" w:lastColumn="0" w:oddVBand="0" w:evenVBand="0" w:oddHBand="1" w:evenHBand="0" w:firstRowFirstColumn="0" w:firstRowLastColumn="0" w:lastRowFirstColumn="0" w:lastRowLastColumn="0"/>
            </w:pPr>
            <w:r w:rsidRPr="00894259">
              <w:rPr>
                <w:rFonts w:cstheme="minorHAnsi"/>
                <w:color w:val="000000"/>
                <w:szCs w:val="20"/>
              </w:rPr>
              <w:t>Insomnia Severity Index (ISI).</w:t>
            </w:r>
          </w:p>
        </w:tc>
      </w:tr>
      <w:tr w:rsidR="00B80B9A" w:rsidRPr="00894259" w14:paraId="2F8CB669"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3EF9965D" w14:textId="77777777" w:rsidR="00B80B9A" w:rsidRPr="00894259" w:rsidRDefault="00B80B9A" w:rsidP="004361E5">
            <w:r w:rsidRPr="00894259">
              <w:t>General</w:t>
            </w:r>
          </w:p>
        </w:tc>
        <w:tc>
          <w:tcPr>
            <w:tcW w:w="3884" w:type="pct"/>
          </w:tcPr>
          <w:p w14:paraId="080A4501" w14:textId="77777777" w:rsidR="00B80B9A" w:rsidRPr="00894259" w:rsidRDefault="00B80B9A" w:rsidP="00B80B9A">
            <w:pPr>
              <w:numPr>
                <w:ilvl w:val="0"/>
                <w:numId w:val="88"/>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894259">
              <w:rPr>
                <w:rFonts w:cstheme="minorHAnsi"/>
                <w:color w:val="000000"/>
                <w:szCs w:val="20"/>
              </w:rPr>
              <w:t xml:space="preserve">After completion of Stage I, participants were re-randomised to three groups: high THC, high CBD, or combined THC+CBD groups for Stage II. </w:t>
            </w:r>
          </w:p>
          <w:p w14:paraId="0D05FB54" w14:textId="77777777" w:rsidR="00B80B9A" w:rsidRPr="00894259" w:rsidRDefault="00B80B9A" w:rsidP="00B80B9A">
            <w:pPr>
              <w:numPr>
                <w:ilvl w:val="0"/>
                <w:numId w:val="88"/>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894259">
              <w:rPr>
                <w:rFonts w:cstheme="minorHAnsi"/>
                <w:color w:val="000000"/>
                <w:szCs w:val="20"/>
              </w:rPr>
              <w:t xml:space="preserve">To measure the validity of study blinding, participants and clinicians were asked to guess whether the participant was randomised to an active treatment (high THC, high CBD, THC+CBD) or placebo treatment at the end of Stage I. </w:t>
            </w:r>
          </w:p>
          <w:p w14:paraId="39876F54" w14:textId="77777777" w:rsidR="00B80B9A" w:rsidRPr="00894259" w:rsidRDefault="00B80B9A" w:rsidP="00B80B9A">
            <w:pPr>
              <w:numPr>
                <w:ilvl w:val="0"/>
                <w:numId w:val="88"/>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894259">
              <w:rPr>
                <w:rFonts w:cstheme="minorHAnsi"/>
                <w:color w:val="000000"/>
                <w:szCs w:val="20"/>
              </w:rPr>
              <w:t xml:space="preserve">The study blind was maintained when participants were assigned to high CBD and placebo, but not when participants were assigned to high THC or THC+CBD (100% of participants and clinicians accurately guessed that participants assigned to high THC or THC+CBD were randomised to an active treatment). </w:t>
            </w:r>
          </w:p>
          <w:p w14:paraId="1BC6AAA1" w14:textId="77777777" w:rsidR="00B80B9A" w:rsidRPr="00894259" w:rsidRDefault="00B80B9A" w:rsidP="00B80B9A">
            <w:pPr>
              <w:pStyle w:val="ListParagraph"/>
              <w:numPr>
                <w:ilvl w:val="0"/>
                <w:numId w:val="88"/>
              </w:numPr>
              <w:spacing w:after="120"/>
              <w:cnfStyle w:val="000000000000" w:firstRow="0" w:lastRow="0" w:firstColumn="0" w:lastColumn="0" w:oddVBand="0" w:evenVBand="0" w:oddHBand="0" w:evenHBand="0" w:firstRowFirstColumn="0" w:firstRowLastColumn="0" w:lastRowFirstColumn="0" w:lastRowLastColumn="0"/>
              <w:rPr>
                <w:b/>
              </w:rPr>
            </w:pPr>
            <w:r w:rsidRPr="00894259">
              <w:t>Period study was conducted: January 2017 to January 2019.</w:t>
            </w:r>
          </w:p>
        </w:tc>
      </w:tr>
      <w:tr w:rsidR="00B80B9A" w:rsidRPr="00894259" w14:paraId="276E37B2"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443E9E67" w14:textId="77777777" w:rsidR="00B80B9A" w:rsidRPr="00894259" w:rsidRDefault="00B80B9A" w:rsidP="004361E5">
            <w:r w:rsidRPr="00894259">
              <w:t>Inclusion Criteria</w:t>
            </w:r>
          </w:p>
        </w:tc>
        <w:tc>
          <w:tcPr>
            <w:tcW w:w="3884" w:type="pct"/>
          </w:tcPr>
          <w:p w14:paraId="314FC177" w14:textId="77777777" w:rsidR="00B80B9A" w:rsidRPr="00894259" w:rsidRDefault="00B80B9A" w:rsidP="00B80B9A">
            <w:pPr>
              <w:numPr>
                <w:ilvl w:val="0"/>
                <w:numId w:val="90"/>
              </w:numPr>
              <w:spacing w:after="0"/>
              <w:contextualSpacing/>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894259">
              <w:rPr>
                <w:rFonts w:cstheme="minorHAnsi"/>
                <w:color w:val="000000"/>
                <w:szCs w:val="20"/>
              </w:rPr>
              <w:t>18 years old and older.</w:t>
            </w:r>
          </w:p>
          <w:p w14:paraId="5BBDC939" w14:textId="77777777" w:rsidR="00B80B9A" w:rsidRPr="00894259" w:rsidRDefault="00B80B9A" w:rsidP="00B80B9A">
            <w:pPr>
              <w:numPr>
                <w:ilvl w:val="0"/>
                <w:numId w:val="90"/>
              </w:numPr>
              <w:spacing w:after="0"/>
              <w:contextualSpacing/>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894259">
              <w:rPr>
                <w:rFonts w:cstheme="minorHAnsi"/>
                <w:color w:val="000000"/>
                <w:szCs w:val="20"/>
              </w:rPr>
              <w:t xml:space="preserve">US military veteran. </w:t>
            </w:r>
          </w:p>
          <w:p w14:paraId="1ADD6521" w14:textId="77777777" w:rsidR="00B80B9A" w:rsidRPr="00894259" w:rsidRDefault="00B80B9A" w:rsidP="00B80B9A">
            <w:pPr>
              <w:numPr>
                <w:ilvl w:val="0"/>
                <w:numId w:val="90"/>
              </w:numPr>
              <w:spacing w:after="0"/>
              <w:contextualSpacing/>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sidRPr="00894259">
              <w:rPr>
                <w:rFonts w:cstheme="minorHAnsi"/>
                <w:color w:val="000000"/>
                <w:szCs w:val="20"/>
              </w:rPr>
              <w:t>PTSD symptoms of at least six months duration according to DSM-5 criteria.</w:t>
            </w:r>
          </w:p>
          <w:p w14:paraId="3A7D5929" w14:textId="77777777" w:rsidR="00B80B9A" w:rsidRPr="00894259" w:rsidRDefault="00B80B9A" w:rsidP="00B80B9A">
            <w:pPr>
              <w:numPr>
                <w:ilvl w:val="0"/>
                <w:numId w:val="90"/>
              </w:numPr>
              <w:spacing w:after="0"/>
              <w:contextualSpacing/>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sidRPr="00894259">
              <w:rPr>
                <w:rFonts w:cstheme="minorHAnsi"/>
                <w:color w:val="000000"/>
                <w:szCs w:val="20"/>
              </w:rPr>
              <w:t>Moderate to severe PTSD (CAPS-5 score of ≥ 25) at baseline.</w:t>
            </w:r>
          </w:p>
          <w:p w14:paraId="75D2603E" w14:textId="77777777" w:rsidR="00B80B9A" w:rsidRPr="00894259" w:rsidRDefault="00B80B9A" w:rsidP="00B80B9A">
            <w:pPr>
              <w:numPr>
                <w:ilvl w:val="0"/>
                <w:numId w:val="90"/>
              </w:numPr>
              <w:spacing w:after="0"/>
              <w:contextualSpacing/>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sidRPr="00894259">
              <w:rPr>
                <w:rFonts w:cstheme="minorHAnsi"/>
                <w:color w:val="000000"/>
                <w:szCs w:val="20"/>
              </w:rPr>
              <w:t>Abstain from cannabis use two-weeks prior to baseline, verified by urine toxicology screening.</w:t>
            </w:r>
          </w:p>
          <w:p w14:paraId="22C32F60" w14:textId="77777777" w:rsidR="00B80B9A" w:rsidRPr="00894259" w:rsidRDefault="00B80B9A" w:rsidP="00B80B9A">
            <w:pPr>
              <w:numPr>
                <w:ilvl w:val="0"/>
                <w:numId w:val="90"/>
              </w:numPr>
              <w:spacing w:after="0"/>
              <w:contextualSpacing/>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sidRPr="00894259">
              <w:rPr>
                <w:rFonts w:cstheme="minorHAnsi"/>
                <w:color w:val="000000"/>
                <w:szCs w:val="20"/>
              </w:rPr>
              <w:t>Abstain from using non-study cannabis throughout the study period.</w:t>
            </w:r>
          </w:p>
          <w:p w14:paraId="34FD2B4D" w14:textId="77777777" w:rsidR="00B80B9A" w:rsidRPr="00894259" w:rsidRDefault="00B80B9A" w:rsidP="00B80B9A">
            <w:pPr>
              <w:numPr>
                <w:ilvl w:val="0"/>
                <w:numId w:val="90"/>
              </w:numPr>
              <w:spacing w:after="0"/>
              <w:contextualSpacing/>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sidRPr="00894259">
              <w:rPr>
                <w:rFonts w:cstheme="minorHAnsi"/>
                <w:color w:val="000000"/>
                <w:szCs w:val="20"/>
              </w:rPr>
              <w:t>Stable on any pre-study medications and/or psychotherapy prior to study entry.</w:t>
            </w:r>
          </w:p>
          <w:p w14:paraId="6F72F001" w14:textId="77777777" w:rsidR="00B80B9A" w:rsidRPr="00894259" w:rsidRDefault="00B80B9A" w:rsidP="00B80B9A">
            <w:pPr>
              <w:numPr>
                <w:ilvl w:val="0"/>
                <w:numId w:val="90"/>
              </w:numPr>
              <w:cnfStyle w:val="000000100000" w:firstRow="0" w:lastRow="0" w:firstColumn="0" w:lastColumn="0" w:oddVBand="0" w:evenVBand="0" w:oddHBand="1" w:evenHBand="0" w:firstRowFirstColumn="0" w:firstRowLastColumn="0" w:lastRowFirstColumn="0" w:lastRowLastColumn="0"/>
              <w:rPr>
                <w:rFonts w:cstheme="minorHAnsi"/>
                <w:b/>
                <w:bCs/>
                <w:color w:val="000000"/>
                <w:szCs w:val="20"/>
              </w:rPr>
            </w:pPr>
            <w:r w:rsidRPr="00894259">
              <w:rPr>
                <w:rFonts w:cstheme="minorHAnsi"/>
                <w:color w:val="000000"/>
                <w:szCs w:val="20"/>
              </w:rPr>
              <w:lastRenderedPageBreak/>
              <w:t>Agree to comply with study procedures.</w:t>
            </w:r>
          </w:p>
        </w:tc>
      </w:tr>
      <w:tr w:rsidR="00B80B9A" w:rsidRPr="00894259" w14:paraId="26E0839A"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4A5B7FB4" w14:textId="77777777" w:rsidR="00B80B9A" w:rsidRPr="00894259" w:rsidRDefault="00B80B9A" w:rsidP="004361E5">
            <w:r w:rsidRPr="00894259">
              <w:lastRenderedPageBreak/>
              <w:t>Exclusion Criteria</w:t>
            </w:r>
          </w:p>
        </w:tc>
        <w:tc>
          <w:tcPr>
            <w:tcW w:w="3884" w:type="pct"/>
          </w:tcPr>
          <w:p w14:paraId="333F06A4" w14:textId="77777777" w:rsidR="00B80B9A" w:rsidRPr="00894259" w:rsidRDefault="00B80B9A" w:rsidP="00B80B9A">
            <w:pPr>
              <w:numPr>
                <w:ilvl w:val="0"/>
                <w:numId w:val="91"/>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894259">
              <w:rPr>
                <w:rFonts w:cstheme="minorHAnsi"/>
                <w:color w:val="000000"/>
                <w:szCs w:val="20"/>
              </w:rPr>
              <w:t>Allergies to cannabis or other contraindication for smoking cannabis.</w:t>
            </w:r>
          </w:p>
          <w:p w14:paraId="13EE8AC9" w14:textId="77777777" w:rsidR="00B80B9A" w:rsidRPr="00894259" w:rsidRDefault="00B80B9A" w:rsidP="00B80B9A">
            <w:pPr>
              <w:numPr>
                <w:ilvl w:val="0"/>
                <w:numId w:val="91"/>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894259">
              <w:rPr>
                <w:rFonts w:cstheme="minorHAnsi"/>
                <w:color w:val="000000"/>
                <w:szCs w:val="20"/>
              </w:rPr>
              <w:t>Moderate-severe cannabis use disorder (DSM-5 criteria; CUDIT-R score ≥ 11).</w:t>
            </w:r>
          </w:p>
          <w:p w14:paraId="414F0641" w14:textId="77777777" w:rsidR="00B80B9A" w:rsidRPr="00894259" w:rsidRDefault="00B80B9A" w:rsidP="00B80B9A">
            <w:pPr>
              <w:numPr>
                <w:ilvl w:val="0"/>
                <w:numId w:val="91"/>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894259">
              <w:rPr>
                <w:rFonts w:cstheme="minorHAnsi"/>
                <w:color w:val="000000"/>
                <w:szCs w:val="20"/>
              </w:rPr>
              <w:t>Current or past serious mental illness as determined by the Structured Clinical Interview for DSM-5 – Research Version (SCID-5-RV).</w:t>
            </w:r>
          </w:p>
          <w:p w14:paraId="0FAFBF29" w14:textId="77777777" w:rsidR="00B80B9A" w:rsidRPr="00894259" w:rsidRDefault="00B80B9A" w:rsidP="00B80B9A">
            <w:pPr>
              <w:numPr>
                <w:ilvl w:val="0"/>
                <w:numId w:val="91"/>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894259">
              <w:rPr>
                <w:rFonts w:cstheme="minorHAnsi"/>
                <w:color w:val="000000"/>
                <w:szCs w:val="20"/>
              </w:rPr>
              <w:t>Family history of psychotic or bipolar disorder.</w:t>
            </w:r>
          </w:p>
          <w:p w14:paraId="64454FAD" w14:textId="77777777" w:rsidR="00B80B9A" w:rsidRPr="00894259" w:rsidRDefault="00B80B9A" w:rsidP="00B80B9A">
            <w:pPr>
              <w:numPr>
                <w:ilvl w:val="0"/>
                <w:numId w:val="91"/>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894259">
              <w:rPr>
                <w:rFonts w:cstheme="minorHAnsi"/>
                <w:color w:val="000000"/>
                <w:szCs w:val="20"/>
              </w:rPr>
              <w:t>High risk of suicide as determined by the C-SSRS.</w:t>
            </w:r>
          </w:p>
          <w:p w14:paraId="520E7A23" w14:textId="77777777" w:rsidR="00B80B9A" w:rsidRPr="00894259" w:rsidRDefault="00B80B9A" w:rsidP="00B80B9A">
            <w:pPr>
              <w:numPr>
                <w:ilvl w:val="0"/>
                <w:numId w:val="91"/>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894259">
              <w:rPr>
                <w:rFonts w:cstheme="minorHAnsi"/>
                <w:color w:val="000000"/>
                <w:szCs w:val="20"/>
              </w:rPr>
              <w:t>Current diagnosis or evidence of significant or uncontrolled haematological, endocrine, cerebrovascular, cardiovascular, coronary, pulmonary, gastrointestinal, immunocompromising, or neurological disease.</w:t>
            </w:r>
          </w:p>
          <w:p w14:paraId="107065D6" w14:textId="77777777" w:rsidR="00B80B9A" w:rsidRPr="00894259" w:rsidRDefault="00B80B9A" w:rsidP="00B80B9A">
            <w:pPr>
              <w:numPr>
                <w:ilvl w:val="0"/>
                <w:numId w:val="91"/>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894259">
              <w:rPr>
                <w:rFonts w:cstheme="minorHAnsi"/>
                <w:color w:val="000000"/>
                <w:szCs w:val="20"/>
              </w:rPr>
              <w:t>Positive screen for any illicit substance other than cannabis between stages.</w:t>
            </w:r>
          </w:p>
          <w:p w14:paraId="42FF8368" w14:textId="77777777" w:rsidR="00B80B9A" w:rsidRPr="00894259" w:rsidRDefault="00B80B9A" w:rsidP="00B80B9A">
            <w:pPr>
              <w:numPr>
                <w:ilvl w:val="0"/>
                <w:numId w:val="91"/>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894259">
              <w:rPr>
                <w:rFonts w:cstheme="minorHAnsi"/>
                <w:color w:val="000000"/>
                <w:szCs w:val="20"/>
              </w:rPr>
              <w:t>Pregnant, nursing, or of childbearing potential and not practicing an effective means of birth control.</w:t>
            </w:r>
          </w:p>
          <w:p w14:paraId="5F60FD41" w14:textId="77777777" w:rsidR="00B80B9A" w:rsidRPr="00894259" w:rsidRDefault="00B80B9A" w:rsidP="00B80B9A">
            <w:pPr>
              <w:numPr>
                <w:ilvl w:val="0"/>
                <w:numId w:val="91"/>
              </w:numPr>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894259">
              <w:rPr>
                <w:rFonts w:cstheme="minorHAnsi"/>
                <w:color w:val="000000"/>
                <w:szCs w:val="20"/>
              </w:rPr>
              <w:t>Unable to provide informed consent.</w:t>
            </w:r>
          </w:p>
        </w:tc>
      </w:tr>
      <w:tr w:rsidR="00B80B9A" w:rsidRPr="00894259" w14:paraId="012F20E4"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0E256E62" w14:textId="77777777" w:rsidR="00B80B9A" w:rsidRPr="00894259" w:rsidRDefault="00B80B9A" w:rsidP="004361E5">
            <w:r w:rsidRPr="00894259">
              <w:t>Assessment Time-Point/s</w:t>
            </w:r>
          </w:p>
        </w:tc>
        <w:tc>
          <w:tcPr>
            <w:tcW w:w="3884" w:type="pct"/>
          </w:tcPr>
          <w:p w14:paraId="4D086B5C" w14:textId="77777777" w:rsidR="00B80B9A" w:rsidRPr="00894259" w:rsidRDefault="00B80B9A" w:rsidP="004361E5">
            <w:pPr>
              <w:spacing w:after="0"/>
              <w:contextualSpacing/>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894259">
              <w:rPr>
                <w:rFonts w:cstheme="minorHAnsi"/>
                <w:color w:val="000000"/>
                <w:szCs w:val="20"/>
              </w:rPr>
              <w:t>Two stage trial with a two-week washout period between stages.</w:t>
            </w:r>
          </w:p>
          <w:p w14:paraId="570B8662" w14:textId="77777777" w:rsidR="00B80B9A" w:rsidRPr="00894259" w:rsidRDefault="00B80B9A" w:rsidP="00B80B9A">
            <w:pPr>
              <w:numPr>
                <w:ilvl w:val="0"/>
                <w:numId w:val="37"/>
              </w:numPr>
              <w:spacing w:after="0"/>
              <w:contextualSpacing/>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894259">
              <w:rPr>
                <w:rFonts w:cstheme="minorHAnsi"/>
                <w:color w:val="000000"/>
                <w:szCs w:val="20"/>
              </w:rPr>
              <w:t>Baseline: primary and secondary outcome measures.</w:t>
            </w:r>
          </w:p>
          <w:p w14:paraId="702F2EE5" w14:textId="77777777" w:rsidR="00B80B9A" w:rsidRPr="00894259" w:rsidRDefault="00B80B9A" w:rsidP="00B80B9A">
            <w:pPr>
              <w:numPr>
                <w:ilvl w:val="0"/>
                <w:numId w:val="37"/>
              </w:numPr>
              <w:spacing w:after="0"/>
              <w:contextualSpacing/>
              <w:cnfStyle w:val="000000100000" w:firstRow="0" w:lastRow="0" w:firstColumn="0" w:lastColumn="0" w:oddVBand="0" w:evenVBand="0" w:oddHBand="1" w:evenHBand="0" w:firstRowFirstColumn="0" w:firstRowLastColumn="0" w:lastRowFirstColumn="0" w:lastRowLastColumn="0"/>
              <w:rPr>
                <w:color w:val="000000"/>
              </w:rPr>
            </w:pPr>
            <w:r w:rsidRPr="00894259">
              <w:rPr>
                <w:color w:val="000000" w:themeColor="text1"/>
              </w:rPr>
              <w:t>Stage I (visit 1 to 5): two consecutive self-administration sessions followed by three weeks of ad-libitum use; outcome measures assessed.</w:t>
            </w:r>
          </w:p>
          <w:p w14:paraId="5D270A77" w14:textId="77777777" w:rsidR="00B80B9A" w:rsidRPr="00894259" w:rsidRDefault="00B80B9A" w:rsidP="00B80B9A">
            <w:pPr>
              <w:numPr>
                <w:ilvl w:val="0"/>
                <w:numId w:val="37"/>
              </w:numPr>
              <w:spacing w:after="0"/>
              <w:contextualSpacing/>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894259">
              <w:rPr>
                <w:rFonts w:cstheme="minorHAnsi"/>
                <w:color w:val="000000"/>
                <w:szCs w:val="20"/>
              </w:rPr>
              <w:t>Cessation period I (visit 6 to 7): secondary outcome measures collected; Stage II baseline measures collected.</w:t>
            </w:r>
          </w:p>
          <w:p w14:paraId="3DC95A10" w14:textId="77777777" w:rsidR="00B80B9A" w:rsidRPr="00894259" w:rsidRDefault="00B80B9A" w:rsidP="00B80B9A">
            <w:pPr>
              <w:numPr>
                <w:ilvl w:val="0"/>
                <w:numId w:val="37"/>
              </w:numPr>
              <w:spacing w:after="0"/>
              <w:contextualSpacing/>
              <w:cnfStyle w:val="000000100000" w:firstRow="0" w:lastRow="0" w:firstColumn="0" w:lastColumn="0" w:oddVBand="0" w:evenVBand="0" w:oddHBand="1" w:evenHBand="0" w:firstRowFirstColumn="0" w:firstRowLastColumn="0" w:lastRowFirstColumn="0" w:lastRowLastColumn="0"/>
              <w:rPr>
                <w:color w:val="000000"/>
              </w:rPr>
            </w:pPr>
            <w:r w:rsidRPr="00894259">
              <w:rPr>
                <w:color w:val="000000" w:themeColor="text1"/>
              </w:rPr>
              <w:t>Stage II (visit 8 to 12): two consecutive self-administration sessions followed by three weeks of ad-libitum use; outcome measures assessed.</w:t>
            </w:r>
          </w:p>
          <w:p w14:paraId="7090E1B0" w14:textId="77777777" w:rsidR="00B80B9A" w:rsidRPr="00894259" w:rsidRDefault="00B80B9A" w:rsidP="00B80B9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pPr>
            <w:r w:rsidRPr="00894259">
              <w:rPr>
                <w:color w:val="000000" w:themeColor="text1"/>
              </w:rPr>
              <w:t>Cessation period II (visit 13 to 14): all outcome measures assessed.</w:t>
            </w:r>
          </w:p>
        </w:tc>
      </w:tr>
      <w:tr w:rsidR="00B80B9A" w:rsidRPr="00894259" w14:paraId="089ABA50" w14:textId="77777777" w:rsidTr="002D7161">
        <w:tc>
          <w:tcPr>
            <w:cnfStyle w:val="001000000000" w:firstRow="0" w:lastRow="0" w:firstColumn="1" w:lastColumn="0" w:oddVBand="0" w:evenVBand="0" w:oddHBand="0" w:evenHBand="0" w:firstRowFirstColumn="0" w:firstRowLastColumn="0" w:lastRowFirstColumn="0" w:lastRowLastColumn="0"/>
            <w:tcW w:w="1116" w:type="pct"/>
          </w:tcPr>
          <w:p w14:paraId="080D795D" w14:textId="77777777" w:rsidR="00B80B9A" w:rsidRPr="00CE6085" w:rsidRDefault="00B80B9A" w:rsidP="004361E5">
            <w:r w:rsidRPr="00CE6085">
              <w:t>Main Findings</w:t>
            </w:r>
          </w:p>
        </w:tc>
        <w:tc>
          <w:tcPr>
            <w:tcW w:w="3884" w:type="pct"/>
          </w:tcPr>
          <w:p w14:paraId="6D29201D" w14:textId="77777777" w:rsidR="006D2C42" w:rsidRPr="00F62917" w:rsidRDefault="006D2C42" w:rsidP="006D2C42">
            <w:pPr>
              <w:numPr>
                <w:ilvl w:val="0"/>
                <w:numId w:val="91"/>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CE6085">
              <w:rPr>
                <w:color w:val="000000" w:themeColor="text1"/>
              </w:rPr>
              <w:t xml:space="preserve">In Stage I, no significant between-group differences in change scores (baseline to end of treatment: visit 0 to visit 7) were observed for PTSD severity (as measured by the CAPS-5; </w:t>
            </w:r>
            <w:r w:rsidRPr="00CE6085">
              <w:rPr>
                <w:i/>
                <w:iCs/>
                <w:color w:val="000000" w:themeColor="text1"/>
              </w:rPr>
              <w:t>p</w:t>
            </w:r>
            <w:r w:rsidRPr="00CE6085">
              <w:rPr>
                <w:color w:val="000000" w:themeColor="text1"/>
              </w:rPr>
              <w:t xml:space="preserve"> = 0.15). </w:t>
            </w:r>
          </w:p>
          <w:p w14:paraId="5DC1DA3D" w14:textId="3B0C9FC2" w:rsidR="006D2C42" w:rsidRPr="00F62917" w:rsidRDefault="006D2C42" w:rsidP="006D2C42">
            <w:pPr>
              <w:numPr>
                <w:ilvl w:val="0"/>
                <w:numId w:val="91"/>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CE6085">
              <w:rPr>
                <w:color w:val="000000" w:themeColor="text1"/>
              </w:rPr>
              <w:t xml:space="preserve">However, </w:t>
            </w:r>
            <w:r w:rsidR="003022F2">
              <w:rPr>
                <w:color w:val="000000" w:themeColor="text1"/>
              </w:rPr>
              <w:t xml:space="preserve">in Stage I, </w:t>
            </w:r>
            <w:r w:rsidRPr="00CE6085">
              <w:rPr>
                <w:color w:val="000000" w:themeColor="text1"/>
              </w:rPr>
              <w:t xml:space="preserve">significant within-participant reductions in PTSD severity were observed for all four treatment groups from baseline to end of treatment (visit 0 to visit 5; all </w:t>
            </w:r>
            <w:r w:rsidRPr="00CE6085">
              <w:rPr>
                <w:i/>
                <w:color w:val="000000" w:themeColor="text1"/>
              </w:rPr>
              <w:t>p</w:t>
            </w:r>
            <w:r w:rsidRPr="00CE6085">
              <w:rPr>
                <w:color w:val="000000" w:themeColor="text1"/>
              </w:rPr>
              <w:t xml:space="preserve">’s &lt; 0.05). </w:t>
            </w:r>
          </w:p>
          <w:p w14:paraId="27876BA1" w14:textId="66D04053" w:rsidR="00B80B9A" w:rsidRPr="00CE6085" w:rsidRDefault="00B80B9A" w:rsidP="00F62917">
            <w:pPr>
              <w:numPr>
                <w:ilvl w:val="1"/>
                <w:numId w:val="91"/>
              </w:numPr>
              <w:spacing w:after="0"/>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CE6085">
              <w:rPr>
                <w:rFonts w:cstheme="minorHAnsi"/>
                <w:color w:val="000000"/>
                <w:szCs w:val="20"/>
              </w:rPr>
              <w:t>Placebo group reported a mean reduction of 13.1 (SD = 12.1) points (</w:t>
            </w:r>
            <w:r w:rsidRPr="00F62917">
              <w:rPr>
                <w:rFonts w:cstheme="minorHAnsi"/>
                <w:color w:val="000000"/>
                <w:szCs w:val="20"/>
              </w:rPr>
              <w:t>p</w:t>
            </w:r>
            <w:r w:rsidRPr="00CE6085">
              <w:rPr>
                <w:rFonts w:cstheme="minorHAnsi"/>
                <w:color w:val="000000"/>
                <w:szCs w:val="20"/>
              </w:rPr>
              <w:t xml:space="preserve"> = 0.0002)</w:t>
            </w:r>
            <w:r w:rsidR="00DC4259" w:rsidRPr="00F62917">
              <w:rPr>
                <w:rFonts w:cstheme="minorHAnsi"/>
                <w:color w:val="000000"/>
                <w:szCs w:val="20"/>
              </w:rPr>
              <w:t>.</w:t>
            </w:r>
          </w:p>
          <w:p w14:paraId="1138B72A" w14:textId="10D2E409" w:rsidR="00B80B9A" w:rsidRPr="00CE6085" w:rsidRDefault="00B80B9A" w:rsidP="00F62917">
            <w:pPr>
              <w:numPr>
                <w:ilvl w:val="1"/>
                <w:numId w:val="91"/>
              </w:numPr>
              <w:spacing w:after="0"/>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CE6085">
              <w:rPr>
                <w:rFonts w:cstheme="minorHAnsi"/>
                <w:color w:val="000000"/>
                <w:szCs w:val="20"/>
              </w:rPr>
              <w:t xml:space="preserve">High THC </w:t>
            </w:r>
            <w:r w:rsidR="000D20B3" w:rsidRPr="00CE6085">
              <w:rPr>
                <w:rFonts w:cstheme="minorHAnsi"/>
                <w:color w:val="000000"/>
                <w:szCs w:val="20"/>
              </w:rPr>
              <w:t xml:space="preserve">group </w:t>
            </w:r>
            <w:r w:rsidRPr="00CE6085">
              <w:rPr>
                <w:rFonts w:cstheme="minorHAnsi"/>
                <w:color w:val="000000"/>
                <w:szCs w:val="20"/>
              </w:rPr>
              <w:t>reported a mean reduction of 15.2 (SD = 11.3) points (</w:t>
            </w:r>
            <w:r w:rsidRPr="00F62917">
              <w:rPr>
                <w:rFonts w:cstheme="minorHAnsi"/>
                <w:color w:val="000000"/>
                <w:szCs w:val="20"/>
              </w:rPr>
              <w:t>p</w:t>
            </w:r>
            <w:r w:rsidRPr="00CE6085">
              <w:rPr>
                <w:rFonts w:cstheme="minorHAnsi"/>
                <w:color w:val="000000"/>
                <w:szCs w:val="20"/>
              </w:rPr>
              <w:t xml:space="preserve"> &lt; 0.0001)</w:t>
            </w:r>
            <w:r w:rsidR="008D3AE8" w:rsidRPr="00CE6085">
              <w:rPr>
                <w:rFonts w:cstheme="minorHAnsi"/>
                <w:color w:val="000000"/>
                <w:szCs w:val="20"/>
              </w:rPr>
              <w:t>.</w:t>
            </w:r>
          </w:p>
          <w:p w14:paraId="47D77829" w14:textId="4F5B689A" w:rsidR="00B80B9A" w:rsidRPr="00CE6085" w:rsidRDefault="00B80B9A" w:rsidP="00F62917">
            <w:pPr>
              <w:numPr>
                <w:ilvl w:val="1"/>
                <w:numId w:val="91"/>
              </w:numPr>
              <w:spacing w:after="0"/>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CE6085">
              <w:rPr>
                <w:rFonts w:cstheme="minorHAnsi"/>
                <w:color w:val="000000"/>
                <w:szCs w:val="20"/>
              </w:rPr>
              <w:t xml:space="preserve">High CBD </w:t>
            </w:r>
            <w:r w:rsidR="00F44C4A" w:rsidRPr="00CE6085">
              <w:rPr>
                <w:rFonts w:cstheme="minorHAnsi"/>
                <w:color w:val="000000"/>
                <w:szCs w:val="20"/>
              </w:rPr>
              <w:t xml:space="preserve">group </w:t>
            </w:r>
            <w:r w:rsidRPr="00CE6085">
              <w:rPr>
                <w:rFonts w:cstheme="minorHAnsi"/>
                <w:color w:val="000000"/>
                <w:szCs w:val="20"/>
              </w:rPr>
              <w:t>reported a mean reduction of 8.4 (SD = 10.09) points (</w:t>
            </w:r>
            <w:r w:rsidRPr="00F62917">
              <w:rPr>
                <w:rFonts w:cstheme="minorHAnsi"/>
                <w:color w:val="000000"/>
                <w:szCs w:val="20"/>
              </w:rPr>
              <w:t>p</w:t>
            </w:r>
            <w:r w:rsidRPr="00CE6085">
              <w:rPr>
                <w:rFonts w:cstheme="minorHAnsi"/>
                <w:color w:val="000000"/>
                <w:szCs w:val="20"/>
              </w:rPr>
              <w:t xml:space="preserve"> = 0.0181)</w:t>
            </w:r>
            <w:r w:rsidR="008D3AE8" w:rsidRPr="00CE6085">
              <w:rPr>
                <w:rFonts w:cstheme="minorHAnsi"/>
                <w:color w:val="000000"/>
                <w:szCs w:val="20"/>
              </w:rPr>
              <w:t>.</w:t>
            </w:r>
          </w:p>
          <w:p w14:paraId="302995B0" w14:textId="4DC0B359" w:rsidR="00B80B9A" w:rsidRPr="00CE6085" w:rsidRDefault="00B80B9A" w:rsidP="00F62917">
            <w:pPr>
              <w:numPr>
                <w:ilvl w:val="1"/>
                <w:numId w:val="91"/>
              </w:numPr>
              <w:spacing w:after="0"/>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CE6085">
              <w:rPr>
                <w:rFonts w:cstheme="minorHAnsi"/>
                <w:color w:val="000000"/>
                <w:szCs w:val="20"/>
              </w:rPr>
              <w:t xml:space="preserve">THC+CBD </w:t>
            </w:r>
            <w:r w:rsidR="00F44C4A" w:rsidRPr="00CE6085">
              <w:rPr>
                <w:rFonts w:cstheme="minorHAnsi"/>
                <w:color w:val="000000"/>
                <w:szCs w:val="20"/>
              </w:rPr>
              <w:t xml:space="preserve">group </w:t>
            </w:r>
            <w:r w:rsidRPr="00CE6085">
              <w:rPr>
                <w:rFonts w:cstheme="minorHAnsi"/>
                <w:color w:val="000000"/>
                <w:szCs w:val="20"/>
              </w:rPr>
              <w:t>reported a mean reduction of 8.5 (SD = 9.88) points (</w:t>
            </w:r>
            <w:r w:rsidRPr="00F62917">
              <w:rPr>
                <w:rFonts w:cstheme="minorHAnsi"/>
                <w:color w:val="000000"/>
                <w:szCs w:val="20"/>
              </w:rPr>
              <w:t>p</w:t>
            </w:r>
            <w:r w:rsidRPr="00CE6085">
              <w:rPr>
                <w:rFonts w:cstheme="minorHAnsi"/>
                <w:color w:val="000000"/>
                <w:szCs w:val="20"/>
              </w:rPr>
              <w:t xml:space="preserve"> = 0.0143).</w:t>
            </w:r>
          </w:p>
          <w:p w14:paraId="5C99FFD7" w14:textId="77777777" w:rsidR="008A51CE" w:rsidRPr="00F62917" w:rsidRDefault="0074209D" w:rsidP="00B80B9A">
            <w:pPr>
              <w:numPr>
                <w:ilvl w:val="0"/>
                <w:numId w:val="91"/>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CE6085">
              <w:rPr>
                <w:color w:val="000000" w:themeColor="text1"/>
              </w:rPr>
              <w:t xml:space="preserve">Additionally, in Stage I, no significant between-group differences in change scores (visit 0 to visit 6) were observed for self-reported (past week) PTSD symptoms, depression and anxiety symptoms, psychosocial functioning, and insomnia severity (as measured by the PCL-5, IDAS, ISI, and IPF, respectively). </w:t>
            </w:r>
          </w:p>
          <w:p w14:paraId="2AF15538" w14:textId="77777777" w:rsidR="008A51CE" w:rsidRPr="00F62917" w:rsidRDefault="0074209D" w:rsidP="00B80B9A">
            <w:pPr>
              <w:numPr>
                <w:ilvl w:val="0"/>
                <w:numId w:val="91"/>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CE6085">
              <w:rPr>
                <w:color w:val="000000" w:themeColor="text1"/>
              </w:rPr>
              <w:t xml:space="preserve">In Stage II, significant between-group differences in change scores (baseline to end of treatment: visit 7 to visit 12) were observed for PTSD severity (as measured by CAPS-5; </w:t>
            </w:r>
            <w:r w:rsidRPr="00CE6085">
              <w:rPr>
                <w:i/>
                <w:iCs/>
                <w:color w:val="000000" w:themeColor="text1"/>
              </w:rPr>
              <w:t>p</w:t>
            </w:r>
            <w:r w:rsidRPr="00CE6085">
              <w:rPr>
                <w:color w:val="000000" w:themeColor="text1"/>
              </w:rPr>
              <w:t xml:space="preserve"> = 0.0019). </w:t>
            </w:r>
          </w:p>
          <w:p w14:paraId="0D325A95" w14:textId="77777777" w:rsidR="00CE6085" w:rsidRPr="00F62917" w:rsidRDefault="0074209D" w:rsidP="00B80B9A">
            <w:pPr>
              <w:numPr>
                <w:ilvl w:val="0"/>
                <w:numId w:val="91"/>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CE6085">
              <w:rPr>
                <w:color w:val="000000" w:themeColor="text1"/>
              </w:rPr>
              <w:t xml:space="preserve">The authors reported that the follow-up contrasts indicated significant differences in change scores between participants in the high THC and THC+CBD groups (95% CI: 3.82 to 18.88), and between participants in the high CBD and THC+CBD groups (95% CI: 1.19 to 15.86). </w:t>
            </w:r>
          </w:p>
          <w:p w14:paraId="6B71D239" w14:textId="0C21F14A" w:rsidR="0074209D" w:rsidRPr="00CE6085" w:rsidRDefault="0074209D" w:rsidP="00B80B9A">
            <w:pPr>
              <w:numPr>
                <w:ilvl w:val="0"/>
                <w:numId w:val="91"/>
              </w:numPr>
              <w:spacing w:after="0"/>
              <w:contextualSpacing/>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CE6085">
              <w:rPr>
                <w:color w:val="000000" w:themeColor="text1"/>
              </w:rPr>
              <w:t>Notably, in Stage II, a significant within-participant reduction in PTSD symptoms (from baseline to end of treatment: visit 7 to visit 12) was observed for the combined THC+CBD group (</w:t>
            </w:r>
            <w:r w:rsidRPr="00CE6085">
              <w:rPr>
                <w:i/>
                <w:color w:val="000000" w:themeColor="text1"/>
              </w:rPr>
              <w:t>p</w:t>
            </w:r>
            <w:r w:rsidRPr="00CE6085">
              <w:rPr>
                <w:color w:val="000000" w:themeColor="text1"/>
              </w:rPr>
              <w:t xml:space="preserve"> = .0027), but not for the high THC (</w:t>
            </w:r>
            <w:r w:rsidRPr="00CE6085">
              <w:rPr>
                <w:i/>
                <w:color w:val="000000" w:themeColor="text1"/>
              </w:rPr>
              <w:t>p</w:t>
            </w:r>
            <w:r w:rsidRPr="00CE6085">
              <w:rPr>
                <w:color w:val="000000" w:themeColor="text1"/>
              </w:rPr>
              <w:t xml:space="preserve"> = 0.25) or high CBD (</w:t>
            </w:r>
            <w:r w:rsidRPr="00CE6085">
              <w:rPr>
                <w:i/>
                <w:color w:val="000000" w:themeColor="text1"/>
              </w:rPr>
              <w:t>p</w:t>
            </w:r>
            <w:r w:rsidRPr="00CE6085">
              <w:rPr>
                <w:color w:val="000000" w:themeColor="text1"/>
              </w:rPr>
              <w:t xml:space="preserve"> = 0.99) groups.</w:t>
            </w:r>
          </w:p>
        </w:tc>
      </w:tr>
      <w:tr w:rsidR="00B80B9A" w:rsidRPr="00894259" w14:paraId="6B35AC2A" w14:textId="77777777" w:rsidTr="002D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32EA4E3A" w14:textId="77777777" w:rsidR="00B80B9A" w:rsidRPr="00894259" w:rsidRDefault="00B80B9A" w:rsidP="004361E5">
            <w:r w:rsidRPr="00894259">
              <w:lastRenderedPageBreak/>
              <w:t>Safety and Adverse Events</w:t>
            </w:r>
          </w:p>
        </w:tc>
        <w:tc>
          <w:tcPr>
            <w:tcW w:w="3884" w:type="pct"/>
          </w:tcPr>
          <w:p w14:paraId="61C7E5A1" w14:textId="4F927CDB" w:rsidR="00B80B9A" w:rsidRPr="00894259" w:rsidRDefault="00B80B9A" w:rsidP="00B80B9A">
            <w:pPr>
              <w:numPr>
                <w:ilvl w:val="0"/>
                <w:numId w:val="92"/>
              </w:numPr>
              <w:spacing w:after="0"/>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894259">
              <w:rPr>
                <w:rFonts w:cstheme="minorHAnsi"/>
                <w:color w:val="000000"/>
                <w:szCs w:val="20"/>
              </w:rPr>
              <w:t xml:space="preserve">37 participants (61.7%) who received </w:t>
            </w:r>
            <w:r w:rsidR="00BF03A2">
              <w:rPr>
                <w:rFonts w:cstheme="minorHAnsi"/>
                <w:color w:val="000000"/>
                <w:szCs w:val="20"/>
              </w:rPr>
              <w:t xml:space="preserve">an </w:t>
            </w:r>
            <w:r w:rsidRPr="00894259">
              <w:rPr>
                <w:rFonts w:cstheme="minorHAnsi"/>
                <w:color w:val="000000"/>
                <w:szCs w:val="20"/>
              </w:rPr>
              <w:t xml:space="preserve">active treatment reported at least one treatment-related adverse effect by the end of </w:t>
            </w:r>
            <w:r w:rsidR="003F3634">
              <w:rPr>
                <w:rFonts w:cstheme="minorHAnsi"/>
                <w:color w:val="000000"/>
                <w:szCs w:val="20"/>
              </w:rPr>
              <w:t>S</w:t>
            </w:r>
            <w:r w:rsidRPr="00894259">
              <w:rPr>
                <w:rFonts w:cstheme="minorHAnsi"/>
                <w:color w:val="000000"/>
                <w:szCs w:val="20"/>
              </w:rPr>
              <w:t xml:space="preserve">tage </w:t>
            </w:r>
            <w:r w:rsidR="003F3634">
              <w:rPr>
                <w:rFonts w:cstheme="minorHAnsi"/>
                <w:color w:val="000000"/>
                <w:szCs w:val="20"/>
              </w:rPr>
              <w:t>I</w:t>
            </w:r>
            <w:r w:rsidRPr="00894259">
              <w:rPr>
                <w:rFonts w:cstheme="minorHAnsi"/>
                <w:color w:val="000000"/>
                <w:szCs w:val="20"/>
              </w:rPr>
              <w:t>.</w:t>
            </w:r>
          </w:p>
          <w:p w14:paraId="4CC1342B" w14:textId="347AB0AE" w:rsidR="00B80B9A" w:rsidRPr="00894259" w:rsidRDefault="00B80B9A" w:rsidP="00B80B9A">
            <w:pPr>
              <w:numPr>
                <w:ilvl w:val="0"/>
                <w:numId w:val="92"/>
              </w:numPr>
              <w:spacing w:after="0"/>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894259">
              <w:rPr>
                <w:rFonts w:ascii="Calibri" w:hAnsi="Calibri" w:cs="Calibri"/>
                <w:color w:val="000000"/>
                <w:szCs w:val="20"/>
              </w:rPr>
              <w:t xml:space="preserve">45 participants (60.8%) who received </w:t>
            </w:r>
            <w:r w:rsidR="00BF03A2">
              <w:rPr>
                <w:rFonts w:ascii="Calibri" w:hAnsi="Calibri" w:cs="Calibri"/>
                <w:color w:val="000000"/>
                <w:szCs w:val="20"/>
              </w:rPr>
              <w:t xml:space="preserve">an </w:t>
            </w:r>
            <w:r w:rsidRPr="00894259">
              <w:rPr>
                <w:rFonts w:ascii="Calibri" w:hAnsi="Calibri" w:cs="Calibri"/>
                <w:color w:val="000000"/>
                <w:szCs w:val="20"/>
              </w:rPr>
              <w:t xml:space="preserve">active treatment reported at least one treatment-related adverse effect by the end of </w:t>
            </w:r>
            <w:r w:rsidR="003F3634">
              <w:rPr>
                <w:rFonts w:ascii="Calibri" w:hAnsi="Calibri" w:cs="Calibri"/>
                <w:color w:val="000000"/>
                <w:szCs w:val="20"/>
              </w:rPr>
              <w:t>S</w:t>
            </w:r>
            <w:r w:rsidRPr="00894259">
              <w:rPr>
                <w:rFonts w:ascii="Calibri" w:hAnsi="Calibri" w:cs="Calibri"/>
                <w:color w:val="000000"/>
                <w:szCs w:val="20"/>
              </w:rPr>
              <w:t xml:space="preserve">tage </w:t>
            </w:r>
            <w:r w:rsidR="003F3634">
              <w:rPr>
                <w:rFonts w:ascii="Calibri" w:hAnsi="Calibri" w:cs="Calibri"/>
                <w:color w:val="000000"/>
                <w:szCs w:val="20"/>
              </w:rPr>
              <w:t>II</w:t>
            </w:r>
            <w:r w:rsidRPr="00894259">
              <w:rPr>
                <w:rFonts w:ascii="Calibri" w:hAnsi="Calibri" w:cs="Calibri"/>
                <w:color w:val="000000"/>
                <w:szCs w:val="20"/>
              </w:rPr>
              <w:t>.</w:t>
            </w:r>
          </w:p>
          <w:p w14:paraId="2AFB37EE" w14:textId="100B790E" w:rsidR="00B80B9A" w:rsidRPr="00894259" w:rsidRDefault="00B80B9A" w:rsidP="00B80B9A">
            <w:pPr>
              <w:numPr>
                <w:ilvl w:val="0"/>
                <w:numId w:val="92"/>
              </w:numPr>
              <w:spacing w:after="0"/>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894259">
              <w:rPr>
                <w:rFonts w:ascii="Calibri" w:hAnsi="Calibri" w:cs="Calibri"/>
                <w:color w:val="000000" w:themeColor="text1"/>
              </w:rPr>
              <w:t xml:space="preserve">The number of participants reporting adverse effects did not significantly differ between treatment groups in </w:t>
            </w:r>
            <w:r w:rsidRPr="00894259" w:rsidDel="00491DAD">
              <w:rPr>
                <w:rFonts w:ascii="Calibri" w:hAnsi="Calibri" w:cs="Calibri"/>
                <w:color w:val="000000" w:themeColor="text1"/>
              </w:rPr>
              <w:t xml:space="preserve">either </w:t>
            </w:r>
            <w:r w:rsidRPr="00894259">
              <w:rPr>
                <w:rFonts w:ascii="Calibri" w:hAnsi="Calibri" w:cs="Calibri"/>
                <w:color w:val="000000" w:themeColor="text1"/>
              </w:rPr>
              <w:t xml:space="preserve">stage (Stage </w:t>
            </w:r>
            <w:r w:rsidR="003F3634">
              <w:rPr>
                <w:rFonts w:ascii="Calibri" w:hAnsi="Calibri" w:cs="Calibri"/>
                <w:color w:val="000000" w:themeColor="text1"/>
              </w:rPr>
              <w:t>I</w:t>
            </w:r>
            <w:r w:rsidRPr="00894259">
              <w:rPr>
                <w:rFonts w:ascii="Calibri" w:hAnsi="Calibri" w:cs="Calibri"/>
                <w:color w:val="000000" w:themeColor="text1"/>
              </w:rPr>
              <w:t xml:space="preserve">: </w:t>
            </w:r>
            <w:r w:rsidRPr="00F62917">
              <w:rPr>
                <w:rFonts w:ascii="Calibri" w:hAnsi="Calibri" w:cs="Calibri"/>
                <w:color w:val="000000" w:themeColor="text1"/>
              </w:rPr>
              <w:t>p</w:t>
            </w:r>
            <w:r w:rsidRPr="00894259">
              <w:rPr>
                <w:rFonts w:ascii="Calibri" w:hAnsi="Calibri" w:cs="Calibri"/>
                <w:color w:val="000000" w:themeColor="text1"/>
              </w:rPr>
              <w:t xml:space="preserve"> = 0.38; Stage </w:t>
            </w:r>
            <w:r w:rsidR="003F3634">
              <w:rPr>
                <w:rFonts w:ascii="Calibri" w:hAnsi="Calibri" w:cs="Calibri"/>
                <w:color w:val="000000" w:themeColor="text1"/>
              </w:rPr>
              <w:t>II</w:t>
            </w:r>
            <w:r w:rsidRPr="00894259">
              <w:rPr>
                <w:rFonts w:ascii="Calibri" w:hAnsi="Calibri" w:cs="Calibri"/>
                <w:color w:val="000000" w:themeColor="text1"/>
              </w:rPr>
              <w:t xml:space="preserve">: </w:t>
            </w:r>
            <w:r w:rsidRPr="00F62917">
              <w:rPr>
                <w:rFonts w:ascii="Calibri" w:hAnsi="Calibri" w:cs="Calibri"/>
                <w:color w:val="000000" w:themeColor="text1"/>
              </w:rPr>
              <w:t>p</w:t>
            </w:r>
            <w:r w:rsidRPr="00894259">
              <w:rPr>
                <w:rFonts w:ascii="Calibri" w:hAnsi="Calibri" w:cs="Calibri"/>
                <w:color w:val="000000" w:themeColor="text1"/>
              </w:rPr>
              <w:t xml:space="preserve"> = 0.27).</w:t>
            </w:r>
          </w:p>
          <w:p w14:paraId="029D64EE" w14:textId="77777777" w:rsidR="00B80B9A" w:rsidRPr="00894259" w:rsidRDefault="00B80B9A" w:rsidP="00B80B9A">
            <w:pPr>
              <w:numPr>
                <w:ilvl w:val="0"/>
                <w:numId w:val="92"/>
              </w:numPr>
              <w:spacing w:after="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894259">
              <w:rPr>
                <w:rFonts w:ascii="Calibri" w:hAnsi="Calibri" w:cs="Calibri"/>
                <w:color w:val="000000"/>
                <w:szCs w:val="20"/>
              </w:rPr>
              <w:t xml:space="preserve">The most common adverse effects reported were cough (12.3%), throat irritation (11.7%), and anxiety (10.4%). </w:t>
            </w:r>
          </w:p>
        </w:tc>
      </w:tr>
    </w:tbl>
    <w:p w14:paraId="051ABFD3" w14:textId="77777777" w:rsidR="00B80B9A" w:rsidRDefault="00B80B9A" w:rsidP="00B80B9A"/>
    <w:p w14:paraId="6B786124" w14:textId="77777777" w:rsidR="003D2AC1" w:rsidRDefault="003D2AC1">
      <w:pPr>
        <w:spacing w:after="160"/>
        <w:sectPr w:rsidR="003D2AC1" w:rsidSect="00AA7189">
          <w:pgSz w:w="11906" w:h="16838"/>
          <w:pgMar w:top="1440" w:right="1440" w:bottom="1440" w:left="1440" w:header="708" w:footer="708" w:gutter="0"/>
          <w:cols w:space="708"/>
          <w:docGrid w:linePitch="360"/>
        </w:sectPr>
      </w:pPr>
    </w:p>
    <w:p w14:paraId="41D93F52" w14:textId="77777777" w:rsidR="00C612F0" w:rsidRDefault="00BB0D21" w:rsidP="00FD1EBF">
      <w:pPr>
        <w:pStyle w:val="Heading1"/>
      </w:pPr>
      <w:bookmarkStart w:id="331" w:name="_Toc165018253"/>
      <w:r w:rsidRPr="00FD1EBF">
        <w:lastRenderedPageBreak/>
        <w:t>Ap</w:t>
      </w:r>
      <w:r w:rsidR="000412DA" w:rsidRPr="00FD1EBF">
        <w:t>pendix 8: Risk of Bias</w:t>
      </w:r>
      <w:r w:rsidRPr="00FD1EBF">
        <w:t xml:space="preserve"> Assessment</w:t>
      </w:r>
      <w:r w:rsidR="000412DA" w:rsidRPr="00FD1EBF">
        <w:t>s</w:t>
      </w:r>
      <w:r w:rsidRPr="00FD1EBF">
        <w:t xml:space="preserve"> (RoB2)</w:t>
      </w:r>
      <w:bookmarkEnd w:id="331"/>
    </w:p>
    <w:p w14:paraId="197DF090" w14:textId="6E43E987" w:rsidR="00DF71B6" w:rsidRPr="00AF073A" w:rsidRDefault="005965BA" w:rsidP="00F62917">
      <w:pPr>
        <w:pStyle w:val="Heading2"/>
      </w:pPr>
      <w:bookmarkStart w:id="332" w:name="_Toc165018254"/>
      <w:r w:rsidRPr="005965BA">
        <w:t>Medicinal Cannabis: Standalone and combined interventions (n = 12)</w:t>
      </w:r>
      <w:bookmarkEnd w:id="332"/>
      <w:r w:rsidR="00BB0D21" w:rsidRPr="00AF073A">
        <w:t xml:space="preserve"> </w:t>
      </w:r>
      <w:r w:rsidR="00FF67C4" w:rsidRPr="00AF073A">
        <w:t xml:space="preserve"> </w:t>
      </w:r>
    </w:p>
    <w:tbl>
      <w:tblPr>
        <w:tblStyle w:val="TableGrid"/>
        <w:tblW w:w="5000" w:type="pct"/>
        <w:tblLayout w:type="fixed"/>
        <w:tblLook w:val="04A0" w:firstRow="1" w:lastRow="0" w:firstColumn="1" w:lastColumn="0" w:noHBand="0" w:noVBand="1"/>
      </w:tblPr>
      <w:tblGrid>
        <w:gridCol w:w="503"/>
        <w:gridCol w:w="2787"/>
        <w:gridCol w:w="3470"/>
        <w:gridCol w:w="1046"/>
        <w:gridCol w:w="558"/>
        <w:gridCol w:w="558"/>
        <w:gridCol w:w="558"/>
        <w:gridCol w:w="558"/>
        <w:gridCol w:w="558"/>
        <w:gridCol w:w="558"/>
        <w:gridCol w:w="312"/>
        <w:gridCol w:w="1612"/>
        <w:gridCol w:w="870"/>
      </w:tblGrid>
      <w:tr w:rsidR="00DD51A3" w:rsidRPr="00DD51A3" w14:paraId="2A68D317" w14:textId="77777777" w:rsidTr="003A54C8">
        <w:trPr>
          <w:tblHeader/>
        </w:trPr>
        <w:tc>
          <w:tcPr>
            <w:tcW w:w="180" w:type="pct"/>
            <w:tcBorders>
              <w:bottom w:val="single" w:sz="4" w:space="0" w:color="auto"/>
            </w:tcBorders>
          </w:tcPr>
          <w:p w14:paraId="0F82861A" w14:textId="77777777" w:rsidR="00DF71B6" w:rsidRPr="00F62917" w:rsidRDefault="00DF71B6" w:rsidP="00F62917">
            <w:pPr>
              <w:pStyle w:val="NoSpacing"/>
              <w:rPr>
                <w:rFonts w:cstheme="minorHAnsi"/>
                <w:b/>
                <w:bCs/>
                <w:sz w:val="16"/>
                <w:szCs w:val="16"/>
              </w:rPr>
            </w:pPr>
            <w:bookmarkStart w:id="333" w:name="_Hlk151136137"/>
            <w:r w:rsidRPr="00F62917">
              <w:rPr>
                <w:rFonts w:cstheme="minorHAnsi"/>
                <w:b/>
                <w:bCs/>
                <w:sz w:val="16"/>
                <w:szCs w:val="16"/>
              </w:rPr>
              <w:t>#</w:t>
            </w:r>
          </w:p>
        </w:tc>
        <w:tc>
          <w:tcPr>
            <w:tcW w:w="999" w:type="pct"/>
            <w:tcBorders>
              <w:bottom w:val="single" w:sz="4" w:space="0" w:color="auto"/>
            </w:tcBorders>
          </w:tcPr>
          <w:p w14:paraId="1D5F595B" w14:textId="77777777" w:rsidR="00DF71B6" w:rsidRPr="00F62917" w:rsidRDefault="00DF71B6" w:rsidP="00F62917">
            <w:pPr>
              <w:pStyle w:val="NoSpacing"/>
              <w:rPr>
                <w:rFonts w:cstheme="minorHAnsi"/>
                <w:b/>
                <w:bCs/>
                <w:sz w:val="16"/>
                <w:szCs w:val="16"/>
              </w:rPr>
            </w:pPr>
            <w:r w:rsidRPr="00F62917">
              <w:rPr>
                <w:rFonts w:cstheme="minorHAnsi"/>
                <w:b/>
                <w:bCs/>
                <w:sz w:val="16"/>
                <w:szCs w:val="16"/>
              </w:rPr>
              <w:t>Study</w:t>
            </w:r>
          </w:p>
        </w:tc>
        <w:tc>
          <w:tcPr>
            <w:tcW w:w="1244" w:type="pct"/>
            <w:tcBorders>
              <w:bottom w:val="single" w:sz="4" w:space="0" w:color="auto"/>
            </w:tcBorders>
          </w:tcPr>
          <w:p w14:paraId="6DF3BD97" w14:textId="77777777" w:rsidR="00DF71B6" w:rsidRPr="00F62917" w:rsidRDefault="00DF71B6" w:rsidP="00F62917">
            <w:pPr>
              <w:pStyle w:val="NoSpacing"/>
              <w:rPr>
                <w:rFonts w:cstheme="minorHAnsi"/>
                <w:b/>
                <w:bCs/>
                <w:sz w:val="16"/>
                <w:szCs w:val="16"/>
              </w:rPr>
            </w:pPr>
            <w:r w:rsidRPr="00F62917">
              <w:rPr>
                <w:rFonts w:cstheme="minorHAnsi"/>
                <w:b/>
                <w:bCs/>
                <w:sz w:val="16"/>
                <w:szCs w:val="16"/>
              </w:rPr>
              <w:t>Intervention</w:t>
            </w:r>
          </w:p>
        </w:tc>
        <w:tc>
          <w:tcPr>
            <w:tcW w:w="375" w:type="pct"/>
            <w:tcBorders>
              <w:bottom w:val="single" w:sz="4" w:space="0" w:color="auto"/>
            </w:tcBorders>
          </w:tcPr>
          <w:p w14:paraId="3ABD3946" w14:textId="77777777" w:rsidR="00DF71B6" w:rsidRPr="00F62917" w:rsidRDefault="00DF71B6" w:rsidP="00F62917">
            <w:pPr>
              <w:pStyle w:val="NoSpacing"/>
              <w:rPr>
                <w:rFonts w:cstheme="minorHAnsi"/>
                <w:b/>
                <w:bCs/>
                <w:sz w:val="16"/>
                <w:szCs w:val="16"/>
              </w:rPr>
            </w:pPr>
            <w:r w:rsidRPr="00F62917">
              <w:rPr>
                <w:rFonts w:cstheme="minorHAnsi"/>
                <w:b/>
                <w:bCs/>
                <w:sz w:val="16"/>
                <w:szCs w:val="16"/>
              </w:rPr>
              <w:t>Comparator</w:t>
            </w:r>
          </w:p>
        </w:tc>
        <w:tc>
          <w:tcPr>
            <w:tcW w:w="200" w:type="pct"/>
          </w:tcPr>
          <w:p w14:paraId="084B102B" w14:textId="77777777" w:rsidR="00DF71B6" w:rsidRPr="00F62917" w:rsidRDefault="00DF71B6" w:rsidP="00F62917">
            <w:pPr>
              <w:pStyle w:val="NoSpacing"/>
              <w:jc w:val="center"/>
              <w:rPr>
                <w:rFonts w:cstheme="minorHAnsi"/>
                <w:b/>
                <w:bCs/>
                <w:sz w:val="16"/>
                <w:szCs w:val="16"/>
              </w:rPr>
            </w:pPr>
            <w:r w:rsidRPr="00F62917">
              <w:rPr>
                <w:rFonts w:cstheme="minorHAnsi"/>
                <w:b/>
                <w:bCs/>
                <w:sz w:val="16"/>
                <w:szCs w:val="16"/>
              </w:rPr>
              <w:t>D1</w:t>
            </w:r>
          </w:p>
        </w:tc>
        <w:tc>
          <w:tcPr>
            <w:tcW w:w="200" w:type="pct"/>
          </w:tcPr>
          <w:p w14:paraId="42B7FE03" w14:textId="77777777" w:rsidR="00DF71B6" w:rsidRPr="00F62917" w:rsidRDefault="00DF71B6" w:rsidP="00F62917">
            <w:pPr>
              <w:pStyle w:val="NoSpacing"/>
              <w:jc w:val="center"/>
              <w:rPr>
                <w:rFonts w:cstheme="minorHAnsi"/>
                <w:b/>
                <w:bCs/>
                <w:sz w:val="16"/>
                <w:szCs w:val="16"/>
              </w:rPr>
            </w:pPr>
            <w:r w:rsidRPr="00F62917">
              <w:rPr>
                <w:rFonts w:cstheme="minorHAnsi"/>
                <w:b/>
                <w:bCs/>
                <w:sz w:val="16"/>
                <w:szCs w:val="16"/>
              </w:rPr>
              <w:t>DS</w:t>
            </w:r>
          </w:p>
        </w:tc>
        <w:tc>
          <w:tcPr>
            <w:tcW w:w="200" w:type="pct"/>
          </w:tcPr>
          <w:p w14:paraId="2798A25E" w14:textId="77777777" w:rsidR="00DF71B6" w:rsidRPr="00F62917" w:rsidRDefault="00DF71B6" w:rsidP="00F62917">
            <w:pPr>
              <w:pStyle w:val="NoSpacing"/>
              <w:jc w:val="center"/>
              <w:rPr>
                <w:rFonts w:cstheme="minorHAnsi"/>
                <w:b/>
                <w:bCs/>
                <w:sz w:val="16"/>
                <w:szCs w:val="16"/>
              </w:rPr>
            </w:pPr>
            <w:r w:rsidRPr="00F62917">
              <w:rPr>
                <w:rFonts w:cstheme="minorHAnsi"/>
                <w:b/>
                <w:bCs/>
                <w:sz w:val="16"/>
                <w:szCs w:val="16"/>
              </w:rPr>
              <w:t>D2</w:t>
            </w:r>
          </w:p>
        </w:tc>
        <w:tc>
          <w:tcPr>
            <w:tcW w:w="200" w:type="pct"/>
          </w:tcPr>
          <w:p w14:paraId="2599AB7E" w14:textId="77777777" w:rsidR="00DF71B6" w:rsidRPr="00F62917" w:rsidRDefault="00DF71B6" w:rsidP="00F62917">
            <w:pPr>
              <w:pStyle w:val="NoSpacing"/>
              <w:jc w:val="center"/>
              <w:rPr>
                <w:rFonts w:cstheme="minorHAnsi"/>
                <w:b/>
                <w:bCs/>
                <w:sz w:val="16"/>
                <w:szCs w:val="16"/>
              </w:rPr>
            </w:pPr>
            <w:r w:rsidRPr="00F62917">
              <w:rPr>
                <w:rFonts w:cstheme="minorHAnsi"/>
                <w:b/>
                <w:bCs/>
                <w:sz w:val="16"/>
                <w:szCs w:val="16"/>
              </w:rPr>
              <w:t>D3</w:t>
            </w:r>
          </w:p>
        </w:tc>
        <w:tc>
          <w:tcPr>
            <w:tcW w:w="200" w:type="pct"/>
          </w:tcPr>
          <w:p w14:paraId="1354D538" w14:textId="77777777" w:rsidR="00DF71B6" w:rsidRPr="00F62917" w:rsidRDefault="00DF71B6" w:rsidP="00F62917">
            <w:pPr>
              <w:pStyle w:val="NoSpacing"/>
              <w:jc w:val="center"/>
              <w:rPr>
                <w:rFonts w:cstheme="minorHAnsi"/>
                <w:b/>
                <w:bCs/>
                <w:sz w:val="16"/>
                <w:szCs w:val="16"/>
              </w:rPr>
            </w:pPr>
            <w:r w:rsidRPr="00F62917">
              <w:rPr>
                <w:rFonts w:cstheme="minorHAnsi"/>
                <w:b/>
                <w:bCs/>
                <w:sz w:val="16"/>
                <w:szCs w:val="16"/>
              </w:rPr>
              <w:t>D4</w:t>
            </w:r>
          </w:p>
        </w:tc>
        <w:tc>
          <w:tcPr>
            <w:tcW w:w="200" w:type="pct"/>
          </w:tcPr>
          <w:p w14:paraId="38849405" w14:textId="77777777" w:rsidR="00DF71B6" w:rsidRPr="00F62917" w:rsidRDefault="00DF71B6" w:rsidP="00F62917">
            <w:pPr>
              <w:pStyle w:val="NoSpacing"/>
              <w:jc w:val="center"/>
              <w:rPr>
                <w:rFonts w:cstheme="minorHAnsi"/>
                <w:b/>
                <w:bCs/>
                <w:sz w:val="16"/>
                <w:szCs w:val="16"/>
              </w:rPr>
            </w:pPr>
            <w:r w:rsidRPr="00F62917">
              <w:rPr>
                <w:rFonts w:cstheme="minorHAnsi"/>
                <w:b/>
                <w:bCs/>
                <w:sz w:val="16"/>
                <w:szCs w:val="16"/>
              </w:rPr>
              <w:t>D5</w:t>
            </w:r>
          </w:p>
        </w:tc>
        <w:tc>
          <w:tcPr>
            <w:tcW w:w="112" w:type="pct"/>
            <w:shd w:val="clear" w:color="auto" w:fill="auto"/>
          </w:tcPr>
          <w:p w14:paraId="512F5304" w14:textId="77777777" w:rsidR="00DF71B6" w:rsidRPr="00F62917" w:rsidRDefault="00DF71B6" w:rsidP="00F62917">
            <w:pPr>
              <w:pStyle w:val="NoSpacing"/>
              <w:rPr>
                <w:rFonts w:cstheme="minorHAnsi"/>
                <w:b/>
                <w:bCs/>
                <w:sz w:val="16"/>
                <w:szCs w:val="16"/>
              </w:rPr>
            </w:pPr>
          </w:p>
        </w:tc>
        <w:tc>
          <w:tcPr>
            <w:tcW w:w="578" w:type="pct"/>
          </w:tcPr>
          <w:p w14:paraId="1F909A12" w14:textId="77777777" w:rsidR="00DF71B6" w:rsidRPr="00F62917" w:rsidRDefault="00DF71B6" w:rsidP="00F62917">
            <w:pPr>
              <w:pStyle w:val="NoSpacing"/>
              <w:jc w:val="center"/>
              <w:rPr>
                <w:rFonts w:cstheme="minorHAnsi"/>
                <w:b/>
                <w:bCs/>
                <w:sz w:val="16"/>
                <w:szCs w:val="16"/>
              </w:rPr>
            </w:pPr>
            <w:r w:rsidRPr="00F62917">
              <w:rPr>
                <w:rFonts w:cstheme="minorHAnsi"/>
                <w:b/>
                <w:bCs/>
                <w:sz w:val="16"/>
                <w:szCs w:val="16"/>
              </w:rPr>
              <w:t>Overall</w:t>
            </w:r>
          </w:p>
        </w:tc>
        <w:tc>
          <w:tcPr>
            <w:tcW w:w="312" w:type="pct"/>
            <w:shd w:val="clear" w:color="auto" w:fill="auto"/>
          </w:tcPr>
          <w:p w14:paraId="0973614F" w14:textId="77777777" w:rsidR="00DF71B6" w:rsidRPr="00F62917" w:rsidRDefault="00DF71B6" w:rsidP="00F62917">
            <w:pPr>
              <w:pStyle w:val="NoSpacing"/>
              <w:jc w:val="center"/>
              <w:rPr>
                <w:rFonts w:cstheme="minorHAnsi"/>
                <w:b/>
                <w:bCs/>
                <w:sz w:val="16"/>
                <w:szCs w:val="16"/>
              </w:rPr>
            </w:pPr>
            <w:r w:rsidRPr="00F62917">
              <w:rPr>
                <w:rFonts w:cstheme="minorHAnsi"/>
                <w:b/>
                <w:bCs/>
                <w:sz w:val="16"/>
                <w:szCs w:val="16"/>
              </w:rPr>
              <w:t>n</w:t>
            </w:r>
          </w:p>
        </w:tc>
      </w:tr>
      <w:tr w:rsidR="00664AEE" w:rsidRPr="00DD51A3" w14:paraId="7A682F48" w14:textId="77777777" w:rsidTr="00664AEE">
        <w:tc>
          <w:tcPr>
            <w:tcW w:w="180" w:type="pct"/>
            <w:tcBorders>
              <w:top w:val="single" w:sz="4" w:space="0" w:color="auto"/>
              <w:bottom w:val="single" w:sz="4" w:space="0" w:color="auto"/>
            </w:tcBorders>
          </w:tcPr>
          <w:p w14:paraId="1276E676" w14:textId="77777777" w:rsidR="00DF71B6" w:rsidRPr="00F62917" w:rsidRDefault="00DF71B6" w:rsidP="00F62917">
            <w:pPr>
              <w:pStyle w:val="NoSpacing"/>
              <w:rPr>
                <w:rFonts w:cstheme="minorHAnsi"/>
                <w:sz w:val="16"/>
                <w:szCs w:val="16"/>
              </w:rPr>
            </w:pPr>
            <w:r w:rsidRPr="00F62917">
              <w:rPr>
                <w:rFonts w:cstheme="minorHAnsi"/>
                <w:sz w:val="16"/>
                <w:szCs w:val="16"/>
              </w:rPr>
              <w:t>1</w:t>
            </w:r>
          </w:p>
        </w:tc>
        <w:tc>
          <w:tcPr>
            <w:tcW w:w="999" w:type="pct"/>
            <w:tcBorders>
              <w:top w:val="single" w:sz="4" w:space="0" w:color="auto"/>
              <w:left w:val="nil"/>
              <w:bottom w:val="single" w:sz="4" w:space="0" w:color="auto"/>
              <w:right w:val="single" w:sz="4" w:space="0" w:color="auto"/>
            </w:tcBorders>
            <w:shd w:val="clear" w:color="000000" w:fill="FFFFFF"/>
            <w:vAlign w:val="bottom"/>
          </w:tcPr>
          <w:p w14:paraId="7673ECD1" w14:textId="77777777" w:rsidR="00DF71B6" w:rsidRPr="00F62917" w:rsidRDefault="00DF71B6" w:rsidP="00F62917">
            <w:pPr>
              <w:pStyle w:val="NoSpacing"/>
              <w:rPr>
                <w:rFonts w:cstheme="minorHAnsi"/>
                <w:color w:val="000000"/>
                <w:sz w:val="16"/>
                <w:szCs w:val="16"/>
              </w:rPr>
            </w:pPr>
            <w:r w:rsidRPr="00F62917">
              <w:rPr>
                <w:rFonts w:cstheme="minorHAnsi"/>
                <w:color w:val="000000"/>
                <w:sz w:val="16"/>
                <w:szCs w:val="16"/>
              </w:rPr>
              <w:t>Masataka (2019)</w:t>
            </w:r>
          </w:p>
        </w:tc>
        <w:tc>
          <w:tcPr>
            <w:tcW w:w="1244" w:type="pct"/>
            <w:tcBorders>
              <w:top w:val="single" w:sz="4" w:space="0" w:color="auto"/>
              <w:left w:val="single" w:sz="4" w:space="0" w:color="auto"/>
              <w:bottom w:val="single" w:sz="4" w:space="0" w:color="auto"/>
              <w:right w:val="single" w:sz="4" w:space="0" w:color="auto"/>
            </w:tcBorders>
            <w:shd w:val="clear" w:color="000000" w:fill="FFFFFF"/>
            <w:vAlign w:val="bottom"/>
          </w:tcPr>
          <w:p w14:paraId="585117B8" w14:textId="795230E8" w:rsidR="00DF71B6" w:rsidRPr="00F62917" w:rsidRDefault="00DF71B6" w:rsidP="00F62917">
            <w:pPr>
              <w:pStyle w:val="NoSpacing"/>
              <w:rPr>
                <w:rFonts w:cstheme="minorHAnsi"/>
                <w:color w:val="000000"/>
                <w:sz w:val="16"/>
                <w:szCs w:val="16"/>
              </w:rPr>
            </w:pPr>
            <w:r w:rsidRPr="00F62917">
              <w:rPr>
                <w:rFonts w:cstheme="minorHAnsi"/>
                <w:color w:val="000000"/>
                <w:sz w:val="16"/>
                <w:szCs w:val="16"/>
              </w:rPr>
              <w:t>Cannabidiol</w:t>
            </w:r>
            <w:r w:rsidR="007633AA" w:rsidRPr="00F62917">
              <w:rPr>
                <w:rFonts w:cstheme="minorHAnsi"/>
                <w:color w:val="000000"/>
                <w:sz w:val="16"/>
                <w:szCs w:val="16"/>
              </w:rPr>
              <w:t xml:space="preserve"> (CBD)</w:t>
            </w:r>
            <w:r w:rsidR="005F591E" w:rsidRPr="00F62917">
              <w:rPr>
                <w:rFonts w:cstheme="minorHAnsi"/>
                <w:color w:val="000000"/>
                <w:sz w:val="16"/>
                <w:szCs w:val="16"/>
              </w:rPr>
              <w:t xml:space="preserve"> – </w:t>
            </w:r>
            <w:r w:rsidR="00DA6BAE" w:rsidRPr="00F62917">
              <w:rPr>
                <w:rFonts w:cstheme="minorHAnsi"/>
                <w:color w:val="000000"/>
                <w:sz w:val="16"/>
                <w:szCs w:val="16"/>
              </w:rPr>
              <w:t>oral solution</w:t>
            </w:r>
          </w:p>
        </w:tc>
        <w:tc>
          <w:tcPr>
            <w:tcW w:w="375" w:type="pct"/>
            <w:tcBorders>
              <w:top w:val="single" w:sz="4" w:space="0" w:color="auto"/>
              <w:left w:val="single" w:sz="4" w:space="0" w:color="auto"/>
              <w:bottom w:val="single" w:sz="4" w:space="0" w:color="auto"/>
              <w:right w:val="nil"/>
            </w:tcBorders>
            <w:shd w:val="clear" w:color="000000" w:fill="FFFFFF"/>
            <w:vAlign w:val="bottom"/>
          </w:tcPr>
          <w:p w14:paraId="3A07C92F" w14:textId="77777777" w:rsidR="00DF71B6" w:rsidRPr="00F62917" w:rsidRDefault="00DF71B6" w:rsidP="00F62917">
            <w:pPr>
              <w:pStyle w:val="NoSpacing"/>
              <w:rPr>
                <w:rFonts w:cstheme="minorHAnsi"/>
                <w:sz w:val="16"/>
                <w:szCs w:val="16"/>
              </w:rPr>
            </w:pPr>
            <w:r w:rsidRPr="00F62917">
              <w:rPr>
                <w:rFonts w:cstheme="minorHAnsi"/>
                <w:color w:val="000000"/>
                <w:sz w:val="16"/>
                <w:szCs w:val="16"/>
              </w:rPr>
              <w:t>Placebo</w:t>
            </w:r>
          </w:p>
        </w:tc>
        <w:tc>
          <w:tcPr>
            <w:tcW w:w="200" w:type="pct"/>
            <w:shd w:val="clear" w:color="auto" w:fill="FFFF00"/>
          </w:tcPr>
          <w:p w14:paraId="57BDD3A9" w14:textId="016DC95B" w:rsidR="00DF71B6" w:rsidRPr="00F62917" w:rsidRDefault="00C54903" w:rsidP="00F62917">
            <w:pPr>
              <w:pStyle w:val="NoSpacing"/>
              <w:jc w:val="center"/>
              <w:rPr>
                <w:rFonts w:cstheme="minorHAnsi"/>
                <w:sz w:val="16"/>
                <w:szCs w:val="16"/>
              </w:rPr>
            </w:pPr>
            <w:r>
              <w:rPr>
                <w:rFonts w:cstheme="minorHAnsi"/>
                <w:sz w:val="16"/>
                <w:szCs w:val="16"/>
              </w:rPr>
              <w:t>--</w:t>
            </w:r>
          </w:p>
        </w:tc>
        <w:tc>
          <w:tcPr>
            <w:tcW w:w="200" w:type="pct"/>
            <w:shd w:val="clear" w:color="auto" w:fill="auto"/>
          </w:tcPr>
          <w:p w14:paraId="286DCE17" w14:textId="77777777" w:rsidR="00DF71B6" w:rsidRPr="00F62917" w:rsidRDefault="00DF71B6" w:rsidP="00F62917">
            <w:pPr>
              <w:pStyle w:val="NoSpacing"/>
              <w:jc w:val="center"/>
              <w:rPr>
                <w:rFonts w:cstheme="minorHAnsi"/>
                <w:sz w:val="16"/>
                <w:szCs w:val="16"/>
              </w:rPr>
            </w:pPr>
          </w:p>
        </w:tc>
        <w:tc>
          <w:tcPr>
            <w:tcW w:w="200" w:type="pct"/>
            <w:shd w:val="clear" w:color="auto" w:fill="FF0000"/>
          </w:tcPr>
          <w:p w14:paraId="17881E14" w14:textId="77777777" w:rsidR="00DF71B6" w:rsidRPr="00F62917" w:rsidRDefault="00DF71B6" w:rsidP="00F62917">
            <w:pPr>
              <w:pStyle w:val="NoSpacing"/>
              <w:jc w:val="center"/>
              <w:rPr>
                <w:rFonts w:cstheme="minorHAnsi"/>
                <w:sz w:val="16"/>
                <w:szCs w:val="16"/>
              </w:rPr>
            </w:pPr>
            <w:r w:rsidRPr="00F62917">
              <w:rPr>
                <w:rFonts w:cstheme="minorHAnsi"/>
                <w:sz w:val="16"/>
                <w:szCs w:val="16"/>
              </w:rPr>
              <w:t>x</w:t>
            </w:r>
          </w:p>
        </w:tc>
        <w:tc>
          <w:tcPr>
            <w:tcW w:w="200" w:type="pct"/>
            <w:shd w:val="clear" w:color="auto" w:fill="FF0000"/>
          </w:tcPr>
          <w:p w14:paraId="5BF690F3" w14:textId="2BE17E9F" w:rsidR="00DF71B6" w:rsidRPr="00F62917" w:rsidRDefault="00664AEE" w:rsidP="00F62917">
            <w:pPr>
              <w:pStyle w:val="NoSpacing"/>
              <w:jc w:val="center"/>
              <w:rPr>
                <w:rFonts w:cstheme="minorHAnsi"/>
                <w:sz w:val="16"/>
                <w:szCs w:val="16"/>
              </w:rPr>
            </w:pPr>
            <w:r>
              <w:rPr>
                <w:rFonts w:cstheme="minorHAnsi"/>
                <w:sz w:val="16"/>
                <w:szCs w:val="16"/>
              </w:rPr>
              <w:t>x</w:t>
            </w:r>
          </w:p>
        </w:tc>
        <w:tc>
          <w:tcPr>
            <w:tcW w:w="200" w:type="pct"/>
            <w:shd w:val="clear" w:color="auto" w:fill="FFFF00"/>
          </w:tcPr>
          <w:p w14:paraId="1D239026"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200" w:type="pct"/>
            <w:shd w:val="clear" w:color="auto" w:fill="FFFF00"/>
          </w:tcPr>
          <w:p w14:paraId="785DBB6C"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112" w:type="pct"/>
            <w:shd w:val="clear" w:color="auto" w:fill="auto"/>
          </w:tcPr>
          <w:p w14:paraId="3EEC1239" w14:textId="77777777" w:rsidR="00DF71B6" w:rsidRPr="00F62917" w:rsidRDefault="00DF71B6" w:rsidP="00F62917">
            <w:pPr>
              <w:pStyle w:val="NoSpacing"/>
              <w:rPr>
                <w:rFonts w:cstheme="minorHAnsi"/>
                <w:sz w:val="16"/>
                <w:szCs w:val="16"/>
              </w:rPr>
            </w:pPr>
          </w:p>
        </w:tc>
        <w:tc>
          <w:tcPr>
            <w:tcW w:w="578" w:type="pct"/>
            <w:shd w:val="clear" w:color="auto" w:fill="FF0000"/>
          </w:tcPr>
          <w:p w14:paraId="0183F572" w14:textId="77777777" w:rsidR="00DF71B6" w:rsidRPr="00F62917" w:rsidRDefault="00DF71B6" w:rsidP="00F62917">
            <w:pPr>
              <w:pStyle w:val="NoSpacing"/>
              <w:jc w:val="center"/>
              <w:rPr>
                <w:rFonts w:cstheme="minorHAnsi"/>
                <w:sz w:val="16"/>
                <w:szCs w:val="16"/>
              </w:rPr>
            </w:pPr>
            <w:r w:rsidRPr="00F62917">
              <w:rPr>
                <w:rFonts w:cstheme="minorHAnsi"/>
                <w:sz w:val="16"/>
                <w:szCs w:val="16"/>
              </w:rPr>
              <w:t>x</w:t>
            </w:r>
          </w:p>
        </w:tc>
        <w:tc>
          <w:tcPr>
            <w:tcW w:w="312" w:type="pct"/>
            <w:shd w:val="clear" w:color="auto" w:fill="auto"/>
          </w:tcPr>
          <w:p w14:paraId="3E6BB6A2" w14:textId="084E4653" w:rsidR="00DF71B6" w:rsidRPr="00F62917" w:rsidRDefault="00281FA1" w:rsidP="00F62917">
            <w:pPr>
              <w:pStyle w:val="NoSpacing"/>
              <w:jc w:val="center"/>
              <w:rPr>
                <w:rFonts w:cstheme="minorHAnsi"/>
                <w:sz w:val="16"/>
                <w:szCs w:val="16"/>
              </w:rPr>
            </w:pPr>
            <w:r w:rsidRPr="00F62917">
              <w:rPr>
                <w:rFonts w:cstheme="minorHAnsi"/>
                <w:sz w:val="16"/>
                <w:szCs w:val="16"/>
              </w:rPr>
              <w:t>40</w:t>
            </w:r>
          </w:p>
        </w:tc>
      </w:tr>
      <w:tr w:rsidR="00EC03A3" w:rsidRPr="00DD51A3" w14:paraId="5BD6ACD1" w14:textId="77777777" w:rsidTr="00EC03A3">
        <w:tc>
          <w:tcPr>
            <w:tcW w:w="180" w:type="pct"/>
            <w:tcBorders>
              <w:top w:val="single" w:sz="4" w:space="0" w:color="auto"/>
              <w:bottom w:val="single" w:sz="4" w:space="0" w:color="auto"/>
            </w:tcBorders>
          </w:tcPr>
          <w:p w14:paraId="4CEF2274" w14:textId="77777777" w:rsidR="00DF71B6" w:rsidRPr="00F62917" w:rsidRDefault="00DF71B6" w:rsidP="00F62917">
            <w:pPr>
              <w:pStyle w:val="NoSpacing"/>
              <w:rPr>
                <w:rFonts w:cstheme="minorHAnsi"/>
                <w:sz w:val="16"/>
                <w:szCs w:val="16"/>
              </w:rPr>
            </w:pPr>
            <w:r w:rsidRPr="00F62917">
              <w:rPr>
                <w:rFonts w:cstheme="minorHAnsi"/>
                <w:sz w:val="16"/>
                <w:szCs w:val="16"/>
              </w:rPr>
              <w:t>2</w:t>
            </w:r>
          </w:p>
        </w:tc>
        <w:tc>
          <w:tcPr>
            <w:tcW w:w="999" w:type="pct"/>
            <w:tcBorders>
              <w:top w:val="single" w:sz="4" w:space="0" w:color="auto"/>
              <w:left w:val="nil"/>
              <w:bottom w:val="single" w:sz="4" w:space="0" w:color="auto"/>
              <w:right w:val="single" w:sz="4" w:space="0" w:color="auto"/>
            </w:tcBorders>
            <w:shd w:val="clear" w:color="000000" w:fill="FFFFFF"/>
            <w:vAlign w:val="bottom"/>
          </w:tcPr>
          <w:p w14:paraId="0D099529" w14:textId="77777777" w:rsidR="00DF71B6" w:rsidRPr="00F62917" w:rsidRDefault="00DF71B6" w:rsidP="00F62917">
            <w:pPr>
              <w:pStyle w:val="NoSpacing"/>
              <w:rPr>
                <w:rFonts w:cstheme="minorHAnsi"/>
                <w:color w:val="000000"/>
                <w:sz w:val="16"/>
                <w:szCs w:val="16"/>
              </w:rPr>
            </w:pPr>
            <w:r w:rsidRPr="00F62917">
              <w:rPr>
                <w:rFonts w:cstheme="minorHAnsi"/>
                <w:color w:val="000000"/>
                <w:sz w:val="16"/>
                <w:szCs w:val="16"/>
              </w:rPr>
              <w:t>Kayser et al. (2020)</w:t>
            </w:r>
          </w:p>
        </w:tc>
        <w:tc>
          <w:tcPr>
            <w:tcW w:w="1244" w:type="pct"/>
            <w:tcBorders>
              <w:top w:val="single" w:sz="4" w:space="0" w:color="auto"/>
              <w:left w:val="single" w:sz="4" w:space="0" w:color="auto"/>
              <w:bottom w:val="single" w:sz="4" w:space="0" w:color="auto"/>
              <w:right w:val="single" w:sz="4" w:space="0" w:color="auto"/>
            </w:tcBorders>
            <w:shd w:val="clear" w:color="000000" w:fill="FFFFFF"/>
            <w:vAlign w:val="bottom"/>
          </w:tcPr>
          <w:p w14:paraId="43ABF147" w14:textId="7890FC72" w:rsidR="00DF71B6" w:rsidRPr="00F62917" w:rsidRDefault="008C41CC" w:rsidP="00F62917">
            <w:pPr>
              <w:pStyle w:val="NoSpacing"/>
              <w:rPr>
                <w:rFonts w:cstheme="minorHAnsi"/>
                <w:sz w:val="16"/>
                <w:szCs w:val="16"/>
              </w:rPr>
            </w:pPr>
            <w:r>
              <w:rPr>
                <w:rFonts w:cstheme="minorHAnsi"/>
                <w:color w:val="000000"/>
                <w:sz w:val="16"/>
                <w:szCs w:val="16"/>
              </w:rPr>
              <w:t>Cannabinoid</w:t>
            </w:r>
            <w:r w:rsidR="00DF71B6" w:rsidRPr="00F62917">
              <w:rPr>
                <w:rFonts w:cstheme="minorHAnsi"/>
                <w:color w:val="000000"/>
                <w:sz w:val="16"/>
                <w:szCs w:val="16"/>
              </w:rPr>
              <w:t xml:space="preserve"> (THC</w:t>
            </w:r>
            <w:r w:rsidR="00AA1974">
              <w:rPr>
                <w:rFonts w:cstheme="minorHAnsi"/>
                <w:color w:val="000000"/>
                <w:sz w:val="16"/>
                <w:szCs w:val="16"/>
              </w:rPr>
              <w:t>±</w:t>
            </w:r>
            <w:r w:rsidR="00DF71B6" w:rsidRPr="00F62917">
              <w:rPr>
                <w:rFonts w:cstheme="minorHAnsi"/>
                <w:color w:val="000000"/>
                <w:sz w:val="16"/>
                <w:szCs w:val="16"/>
              </w:rPr>
              <w:t>CBD)</w:t>
            </w:r>
            <w:r w:rsidR="009473BD" w:rsidRPr="00F62917">
              <w:rPr>
                <w:rFonts w:cstheme="minorHAnsi"/>
                <w:color w:val="000000"/>
                <w:sz w:val="16"/>
                <w:szCs w:val="16"/>
              </w:rPr>
              <w:t xml:space="preserve"> – smoked</w:t>
            </w:r>
            <w:r>
              <w:rPr>
                <w:rFonts w:cstheme="minorHAnsi"/>
                <w:color w:val="000000"/>
                <w:sz w:val="16"/>
                <w:szCs w:val="16"/>
              </w:rPr>
              <w:t xml:space="preserve"> dried cannabis</w:t>
            </w:r>
          </w:p>
        </w:tc>
        <w:tc>
          <w:tcPr>
            <w:tcW w:w="375" w:type="pct"/>
            <w:tcBorders>
              <w:top w:val="single" w:sz="4" w:space="0" w:color="auto"/>
              <w:left w:val="single" w:sz="4" w:space="0" w:color="auto"/>
              <w:bottom w:val="single" w:sz="4" w:space="0" w:color="auto"/>
              <w:right w:val="nil"/>
            </w:tcBorders>
            <w:shd w:val="clear" w:color="000000" w:fill="FFFFFF"/>
            <w:vAlign w:val="bottom"/>
          </w:tcPr>
          <w:p w14:paraId="36541127" w14:textId="77777777" w:rsidR="00DF71B6" w:rsidRPr="00F62917" w:rsidRDefault="00DF71B6" w:rsidP="00F62917">
            <w:pPr>
              <w:pStyle w:val="NoSpacing"/>
              <w:rPr>
                <w:rFonts w:cstheme="minorHAnsi"/>
                <w:sz w:val="16"/>
                <w:szCs w:val="16"/>
              </w:rPr>
            </w:pPr>
            <w:r w:rsidRPr="00F62917">
              <w:rPr>
                <w:rFonts w:cstheme="minorHAnsi"/>
                <w:color w:val="000000"/>
                <w:sz w:val="16"/>
                <w:szCs w:val="16"/>
              </w:rPr>
              <w:t>Placebo</w:t>
            </w:r>
          </w:p>
        </w:tc>
        <w:tc>
          <w:tcPr>
            <w:tcW w:w="200" w:type="pct"/>
            <w:shd w:val="clear" w:color="auto" w:fill="00B050"/>
          </w:tcPr>
          <w:p w14:paraId="5222CF45"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200" w:type="pct"/>
            <w:shd w:val="clear" w:color="auto" w:fill="00B050"/>
          </w:tcPr>
          <w:p w14:paraId="1C767C8F" w14:textId="1C128320" w:rsidR="00DF71B6" w:rsidRPr="00F62917" w:rsidRDefault="00EC03A3" w:rsidP="00F62917">
            <w:pPr>
              <w:pStyle w:val="NoSpacing"/>
              <w:jc w:val="center"/>
              <w:rPr>
                <w:rFonts w:cstheme="minorHAnsi"/>
                <w:sz w:val="16"/>
                <w:szCs w:val="16"/>
              </w:rPr>
            </w:pPr>
            <w:r>
              <w:rPr>
                <w:rFonts w:cstheme="minorHAnsi"/>
                <w:sz w:val="16"/>
                <w:szCs w:val="16"/>
              </w:rPr>
              <w:t>+</w:t>
            </w:r>
          </w:p>
        </w:tc>
        <w:tc>
          <w:tcPr>
            <w:tcW w:w="200" w:type="pct"/>
            <w:shd w:val="clear" w:color="auto" w:fill="FF0000"/>
          </w:tcPr>
          <w:p w14:paraId="08954269" w14:textId="77777777" w:rsidR="00DF71B6" w:rsidRPr="00F62917" w:rsidRDefault="00DF71B6" w:rsidP="00F62917">
            <w:pPr>
              <w:pStyle w:val="NoSpacing"/>
              <w:jc w:val="center"/>
              <w:rPr>
                <w:rFonts w:cstheme="minorHAnsi"/>
                <w:sz w:val="16"/>
                <w:szCs w:val="16"/>
              </w:rPr>
            </w:pPr>
            <w:r w:rsidRPr="00F62917">
              <w:rPr>
                <w:rFonts w:cstheme="minorHAnsi"/>
                <w:sz w:val="16"/>
                <w:szCs w:val="16"/>
              </w:rPr>
              <w:t>x</w:t>
            </w:r>
          </w:p>
        </w:tc>
        <w:tc>
          <w:tcPr>
            <w:tcW w:w="200" w:type="pct"/>
            <w:shd w:val="clear" w:color="auto" w:fill="FF0000"/>
          </w:tcPr>
          <w:p w14:paraId="61215C0E" w14:textId="77777777" w:rsidR="00DF71B6" w:rsidRPr="00F62917" w:rsidRDefault="00DF71B6" w:rsidP="00F62917">
            <w:pPr>
              <w:pStyle w:val="NoSpacing"/>
              <w:jc w:val="center"/>
              <w:rPr>
                <w:rFonts w:cstheme="minorHAnsi"/>
                <w:sz w:val="16"/>
                <w:szCs w:val="16"/>
              </w:rPr>
            </w:pPr>
            <w:r w:rsidRPr="00F62917">
              <w:rPr>
                <w:rFonts w:cstheme="minorHAnsi"/>
                <w:sz w:val="16"/>
                <w:szCs w:val="16"/>
              </w:rPr>
              <w:t>x</w:t>
            </w:r>
          </w:p>
        </w:tc>
        <w:tc>
          <w:tcPr>
            <w:tcW w:w="200" w:type="pct"/>
            <w:shd w:val="clear" w:color="auto" w:fill="FFFF00"/>
          </w:tcPr>
          <w:p w14:paraId="57D581D7" w14:textId="29B96E4F" w:rsidR="00DF71B6" w:rsidRPr="00F62917" w:rsidRDefault="003B5A4A" w:rsidP="00F62917">
            <w:pPr>
              <w:pStyle w:val="NoSpacing"/>
              <w:jc w:val="center"/>
              <w:rPr>
                <w:rFonts w:cstheme="minorHAnsi"/>
                <w:sz w:val="16"/>
                <w:szCs w:val="16"/>
              </w:rPr>
            </w:pPr>
            <w:r w:rsidRPr="00F62917">
              <w:rPr>
                <w:rFonts w:cstheme="minorHAnsi"/>
                <w:sz w:val="16"/>
                <w:szCs w:val="16"/>
              </w:rPr>
              <w:t>--</w:t>
            </w:r>
          </w:p>
        </w:tc>
        <w:tc>
          <w:tcPr>
            <w:tcW w:w="200" w:type="pct"/>
            <w:shd w:val="clear" w:color="auto" w:fill="00B050"/>
          </w:tcPr>
          <w:p w14:paraId="34E2FF81"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112" w:type="pct"/>
            <w:shd w:val="clear" w:color="auto" w:fill="auto"/>
          </w:tcPr>
          <w:p w14:paraId="0370CF02" w14:textId="77777777" w:rsidR="00DF71B6" w:rsidRPr="00F62917" w:rsidRDefault="00DF71B6" w:rsidP="00F62917">
            <w:pPr>
              <w:pStyle w:val="NoSpacing"/>
              <w:rPr>
                <w:rFonts w:cstheme="minorHAnsi"/>
                <w:sz w:val="16"/>
                <w:szCs w:val="16"/>
              </w:rPr>
            </w:pPr>
          </w:p>
        </w:tc>
        <w:tc>
          <w:tcPr>
            <w:tcW w:w="578" w:type="pct"/>
            <w:shd w:val="clear" w:color="auto" w:fill="FF0000"/>
          </w:tcPr>
          <w:p w14:paraId="19C23CB9" w14:textId="77777777" w:rsidR="00DF71B6" w:rsidRPr="00F62917" w:rsidRDefault="00DF71B6" w:rsidP="00F62917">
            <w:pPr>
              <w:pStyle w:val="NoSpacing"/>
              <w:jc w:val="center"/>
              <w:rPr>
                <w:rFonts w:cstheme="minorHAnsi"/>
                <w:sz w:val="16"/>
                <w:szCs w:val="16"/>
              </w:rPr>
            </w:pPr>
            <w:r w:rsidRPr="00F62917">
              <w:rPr>
                <w:rFonts w:cstheme="minorHAnsi"/>
                <w:sz w:val="16"/>
                <w:szCs w:val="16"/>
              </w:rPr>
              <w:t>x</w:t>
            </w:r>
          </w:p>
        </w:tc>
        <w:tc>
          <w:tcPr>
            <w:tcW w:w="312" w:type="pct"/>
            <w:shd w:val="clear" w:color="auto" w:fill="auto"/>
          </w:tcPr>
          <w:p w14:paraId="4BA03323" w14:textId="27A332E1" w:rsidR="00DF71B6" w:rsidRPr="00F62917" w:rsidRDefault="00DF71B6" w:rsidP="00F62917">
            <w:pPr>
              <w:pStyle w:val="NoSpacing"/>
              <w:jc w:val="center"/>
              <w:rPr>
                <w:rFonts w:cstheme="minorHAnsi"/>
                <w:sz w:val="16"/>
                <w:szCs w:val="16"/>
              </w:rPr>
            </w:pPr>
            <w:r w:rsidRPr="00F62917">
              <w:rPr>
                <w:rFonts w:cstheme="minorHAnsi"/>
                <w:sz w:val="16"/>
                <w:szCs w:val="16"/>
              </w:rPr>
              <w:t>1</w:t>
            </w:r>
            <w:r w:rsidR="005B1B34" w:rsidRPr="00F62917">
              <w:rPr>
                <w:rFonts w:cstheme="minorHAnsi"/>
                <w:sz w:val="16"/>
                <w:szCs w:val="16"/>
              </w:rPr>
              <w:t>4</w:t>
            </w:r>
          </w:p>
        </w:tc>
      </w:tr>
      <w:tr w:rsidR="00427E4D" w:rsidRPr="00DD51A3" w14:paraId="79E01D9C" w14:textId="77777777" w:rsidTr="00F62917">
        <w:tc>
          <w:tcPr>
            <w:tcW w:w="180" w:type="pct"/>
            <w:tcBorders>
              <w:top w:val="single" w:sz="4" w:space="0" w:color="auto"/>
              <w:bottom w:val="single" w:sz="4" w:space="0" w:color="auto"/>
            </w:tcBorders>
          </w:tcPr>
          <w:p w14:paraId="55B0A55E" w14:textId="77777777" w:rsidR="00DF71B6" w:rsidRPr="00F62917" w:rsidRDefault="00DF71B6" w:rsidP="00F62917">
            <w:pPr>
              <w:pStyle w:val="NoSpacing"/>
              <w:rPr>
                <w:rFonts w:cstheme="minorHAnsi"/>
                <w:sz w:val="16"/>
                <w:szCs w:val="16"/>
              </w:rPr>
            </w:pPr>
            <w:r w:rsidRPr="00F62917">
              <w:rPr>
                <w:rFonts w:cstheme="minorHAnsi"/>
                <w:sz w:val="16"/>
                <w:szCs w:val="16"/>
              </w:rPr>
              <w:t>3</w:t>
            </w:r>
          </w:p>
        </w:tc>
        <w:tc>
          <w:tcPr>
            <w:tcW w:w="999" w:type="pct"/>
            <w:tcBorders>
              <w:top w:val="single" w:sz="4" w:space="0" w:color="auto"/>
              <w:left w:val="nil"/>
              <w:bottom w:val="single" w:sz="4" w:space="0" w:color="auto"/>
              <w:right w:val="single" w:sz="4" w:space="0" w:color="auto"/>
            </w:tcBorders>
            <w:shd w:val="clear" w:color="000000" w:fill="FFFFFF"/>
            <w:vAlign w:val="bottom"/>
          </w:tcPr>
          <w:p w14:paraId="74C4E003" w14:textId="77777777" w:rsidR="00DF71B6" w:rsidRPr="00F62917" w:rsidRDefault="00DF71B6" w:rsidP="00F62917">
            <w:pPr>
              <w:pStyle w:val="NoSpacing"/>
              <w:rPr>
                <w:rFonts w:cstheme="minorHAnsi"/>
                <w:color w:val="000000"/>
                <w:sz w:val="16"/>
                <w:szCs w:val="16"/>
              </w:rPr>
            </w:pPr>
            <w:r w:rsidRPr="00F62917">
              <w:rPr>
                <w:rFonts w:cstheme="minorHAnsi"/>
                <w:color w:val="000000"/>
                <w:sz w:val="16"/>
                <w:szCs w:val="16"/>
              </w:rPr>
              <w:t>Schlienz et al. (2018)</w:t>
            </w:r>
          </w:p>
        </w:tc>
        <w:tc>
          <w:tcPr>
            <w:tcW w:w="1244" w:type="pct"/>
            <w:tcBorders>
              <w:top w:val="single" w:sz="4" w:space="0" w:color="auto"/>
              <w:left w:val="single" w:sz="4" w:space="0" w:color="auto"/>
              <w:bottom w:val="single" w:sz="4" w:space="0" w:color="auto"/>
              <w:right w:val="single" w:sz="4" w:space="0" w:color="auto"/>
            </w:tcBorders>
            <w:shd w:val="clear" w:color="000000" w:fill="FFFFFF"/>
            <w:vAlign w:val="bottom"/>
          </w:tcPr>
          <w:p w14:paraId="3FD2BD43" w14:textId="43CB889C" w:rsidR="00DF71B6" w:rsidRPr="00F62917" w:rsidRDefault="00DF71B6" w:rsidP="00F62917">
            <w:pPr>
              <w:pStyle w:val="NoSpacing"/>
              <w:rPr>
                <w:rFonts w:cstheme="minorHAnsi"/>
                <w:sz w:val="16"/>
                <w:szCs w:val="16"/>
              </w:rPr>
            </w:pPr>
            <w:r w:rsidRPr="00F62917">
              <w:rPr>
                <w:rFonts w:cstheme="minorHAnsi"/>
                <w:color w:val="000000"/>
                <w:sz w:val="16"/>
                <w:szCs w:val="16"/>
              </w:rPr>
              <w:t>Dronabinol (</w:t>
            </w:r>
            <w:r w:rsidR="00174CA8">
              <w:rPr>
                <w:rFonts w:cstheme="minorHAnsi"/>
                <w:color w:val="000000"/>
                <w:sz w:val="16"/>
                <w:szCs w:val="16"/>
              </w:rPr>
              <w:t xml:space="preserve">synthetic </w:t>
            </w:r>
            <w:r w:rsidRPr="00F62917">
              <w:rPr>
                <w:rFonts w:cstheme="minorHAnsi"/>
                <w:color w:val="000000"/>
                <w:sz w:val="16"/>
                <w:szCs w:val="16"/>
              </w:rPr>
              <w:t>THC)</w:t>
            </w:r>
            <w:r w:rsidR="009473BD" w:rsidRPr="00F62917">
              <w:rPr>
                <w:rFonts w:cstheme="minorHAnsi"/>
                <w:color w:val="000000"/>
                <w:sz w:val="16"/>
                <w:szCs w:val="16"/>
              </w:rPr>
              <w:t xml:space="preserve"> – oral </w:t>
            </w:r>
            <w:r w:rsidR="0036378A" w:rsidRPr="00F62917">
              <w:rPr>
                <w:rFonts w:cstheme="minorHAnsi"/>
                <w:color w:val="000000"/>
                <w:sz w:val="16"/>
                <w:szCs w:val="16"/>
              </w:rPr>
              <w:t>capsules</w:t>
            </w:r>
          </w:p>
        </w:tc>
        <w:tc>
          <w:tcPr>
            <w:tcW w:w="375" w:type="pct"/>
            <w:tcBorders>
              <w:top w:val="single" w:sz="4" w:space="0" w:color="auto"/>
              <w:left w:val="single" w:sz="4" w:space="0" w:color="auto"/>
              <w:bottom w:val="single" w:sz="4" w:space="0" w:color="auto"/>
              <w:right w:val="nil"/>
            </w:tcBorders>
            <w:shd w:val="clear" w:color="000000" w:fill="FFFFFF"/>
            <w:vAlign w:val="bottom"/>
          </w:tcPr>
          <w:p w14:paraId="12B39C05" w14:textId="77777777" w:rsidR="00DF71B6" w:rsidRPr="00F62917" w:rsidRDefault="00DF71B6" w:rsidP="00F62917">
            <w:pPr>
              <w:pStyle w:val="NoSpacing"/>
              <w:rPr>
                <w:rFonts w:cstheme="minorHAnsi"/>
                <w:sz w:val="16"/>
                <w:szCs w:val="16"/>
              </w:rPr>
            </w:pPr>
            <w:r w:rsidRPr="00F62917">
              <w:rPr>
                <w:rFonts w:cstheme="minorHAnsi"/>
                <w:color w:val="000000"/>
                <w:sz w:val="16"/>
                <w:szCs w:val="16"/>
              </w:rPr>
              <w:t>Placebo</w:t>
            </w:r>
          </w:p>
        </w:tc>
        <w:tc>
          <w:tcPr>
            <w:tcW w:w="200" w:type="pct"/>
            <w:shd w:val="clear" w:color="auto" w:fill="00B050"/>
          </w:tcPr>
          <w:p w14:paraId="0F7515C8"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200" w:type="pct"/>
            <w:shd w:val="clear" w:color="auto" w:fill="FFFF00"/>
          </w:tcPr>
          <w:p w14:paraId="19D14258"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200" w:type="pct"/>
            <w:shd w:val="clear" w:color="auto" w:fill="FF0000"/>
          </w:tcPr>
          <w:p w14:paraId="0BEAF5A6" w14:textId="2F698021" w:rsidR="00DF71B6" w:rsidRPr="00F62917" w:rsidRDefault="0095109B" w:rsidP="00F62917">
            <w:pPr>
              <w:pStyle w:val="NoSpacing"/>
              <w:jc w:val="center"/>
              <w:rPr>
                <w:rFonts w:cstheme="minorHAnsi"/>
                <w:sz w:val="16"/>
                <w:szCs w:val="16"/>
              </w:rPr>
            </w:pPr>
            <w:r>
              <w:rPr>
                <w:rFonts w:cstheme="minorHAnsi"/>
                <w:sz w:val="16"/>
                <w:szCs w:val="16"/>
              </w:rPr>
              <w:t>x</w:t>
            </w:r>
          </w:p>
        </w:tc>
        <w:tc>
          <w:tcPr>
            <w:tcW w:w="200" w:type="pct"/>
            <w:shd w:val="clear" w:color="auto" w:fill="FF0000"/>
          </w:tcPr>
          <w:p w14:paraId="4FDEA650" w14:textId="51F640BE" w:rsidR="00DF71B6" w:rsidRPr="00F62917" w:rsidRDefault="00427E4D" w:rsidP="00F62917">
            <w:pPr>
              <w:pStyle w:val="NoSpacing"/>
              <w:jc w:val="center"/>
              <w:rPr>
                <w:rFonts w:cstheme="minorHAnsi"/>
                <w:sz w:val="16"/>
                <w:szCs w:val="16"/>
              </w:rPr>
            </w:pPr>
            <w:r>
              <w:rPr>
                <w:rFonts w:cstheme="minorHAnsi"/>
                <w:sz w:val="16"/>
                <w:szCs w:val="16"/>
              </w:rPr>
              <w:t>x</w:t>
            </w:r>
          </w:p>
        </w:tc>
        <w:tc>
          <w:tcPr>
            <w:tcW w:w="200" w:type="pct"/>
            <w:shd w:val="clear" w:color="auto" w:fill="FFFF00"/>
          </w:tcPr>
          <w:p w14:paraId="2B9F3011" w14:textId="2B5DC72D" w:rsidR="00DF71B6" w:rsidRPr="00F62917" w:rsidRDefault="00DD614A" w:rsidP="00F62917">
            <w:pPr>
              <w:pStyle w:val="NoSpacing"/>
              <w:jc w:val="center"/>
              <w:rPr>
                <w:rFonts w:cstheme="minorHAnsi"/>
                <w:sz w:val="16"/>
                <w:szCs w:val="16"/>
              </w:rPr>
            </w:pPr>
            <w:r>
              <w:rPr>
                <w:rFonts w:cstheme="minorHAnsi"/>
                <w:sz w:val="16"/>
                <w:szCs w:val="16"/>
              </w:rPr>
              <w:t>--</w:t>
            </w:r>
          </w:p>
        </w:tc>
        <w:tc>
          <w:tcPr>
            <w:tcW w:w="200" w:type="pct"/>
            <w:shd w:val="clear" w:color="auto" w:fill="FF0000"/>
          </w:tcPr>
          <w:p w14:paraId="1503D053" w14:textId="7E6CAA2D" w:rsidR="00DF71B6" w:rsidRPr="00F62917" w:rsidRDefault="000C0A30" w:rsidP="00F62917">
            <w:pPr>
              <w:pStyle w:val="NoSpacing"/>
              <w:jc w:val="center"/>
              <w:rPr>
                <w:rFonts w:cstheme="minorHAnsi"/>
                <w:sz w:val="16"/>
                <w:szCs w:val="16"/>
              </w:rPr>
            </w:pPr>
            <w:r w:rsidRPr="00F62917">
              <w:rPr>
                <w:rFonts w:cstheme="minorHAnsi"/>
                <w:sz w:val="16"/>
                <w:szCs w:val="16"/>
              </w:rPr>
              <w:t>x</w:t>
            </w:r>
          </w:p>
        </w:tc>
        <w:tc>
          <w:tcPr>
            <w:tcW w:w="112" w:type="pct"/>
            <w:shd w:val="clear" w:color="auto" w:fill="auto"/>
          </w:tcPr>
          <w:p w14:paraId="4E5BB2F4" w14:textId="77777777" w:rsidR="00DF71B6" w:rsidRPr="00F62917" w:rsidRDefault="00DF71B6" w:rsidP="00F62917">
            <w:pPr>
              <w:pStyle w:val="NoSpacing"/>
              <w:rPr>
                <w:rFonts w:cstheme="minorHAnsi"/>
                <w:sz w:val="16"/>
                <w:szCs w:val="16"/>
              </w:rPr>
            </w:pPr>
          </w:p>
        </w:tc>
        <w:tc>
          <w:tcPr>
            <w:tcW w:w="578" w:type="pct"/>
            <w:shd w:val="clear" w:color="auto" w:fill="FF0000"/>
          </w:tcPr>
          <w:p w14:paraId="2EED1A53" w14:textId="1FE348AA" w:rsidR="00DF71B6" w:rsidRPr="00F62917" w:rsidRDefault="00560ADD" w:rsidP="00F62917">
            <w:pPr>
              <w:pStyle w:val="NoSpacing"/>
              <w:jc w:val="center"/>
              <w:rPr>
                <w:rFonts w:cstheme="minorHAnsi"/>
                <w:sz w:val="16"/>
                <w:szCs w:val="16"/>
              </w:rPr>
            </w:pPr>
            <w:r w:rsidRPr="00F62917">
              <w:rPr>
                <w:rFonts w:cstheme="minorHAnsi"/>
                <w:sz w:val="16"/>
                <w:szCs w:val="16"/>
              </w:rPr>
              <w:t>x</w:t>
            </w:r>
          </w:p>
        </w:tc>
        <w:tc>
          <w:tcPr>
            <w:tcW w:w="312" w:type="pct"/>
            <w:shd w:val="clear" w:color="auto" w:fill="auto"/>
          </w:tcPr>
          <w:p w14:paraId="5917BA44" w14:textId="36408840" w:rsidR="00DF71B6" w:rsidRPr="00F62917" w:rsidRDefault="00DF71B6" w:rsidP="00F62917">
            <w:pPr>
              <w:pStyle w:val="NoSpacing"/>
              <w:jc w:val="center"/>
              <w:rPr>
                <w:rFonts w:cstheme="minorHAnsi"/>
                <w:sz w:val="16"/>
                <w:szCs w:val="16"/>
              </w:rPr>
            </w:pPr>
            <w:r w:rsidRPr="00F62917">
              <w:rPr>
                <w:rFonts w:cstheme="minorHAnsi"/>
                <w:sz w:val="16"/>
                <w:szCs w:val="16"/>
              </w:rPr>
              <w:t>1</w:t>
            </w:r>
            <w:r w:rsidR="00317D09" w:rsidRPr="00F62917">
              <w:rPr>
                <w:rFonts w:cstheme="minorHAnsi"/>
                <w:sz w:val="16"/>
                <w:szCs w:val="16"/>
              </w:rPr>
              <w:t>6</w:t>
            </w:r>
          </w:p>
        </w:tc>
      </w:tr>
      <w:tr w:rsidR="00D6301A" w:rsidRPr="00DD51A3" w14:paraId="6614012F" w14:textId="77777777" w:rsidTr="00F62917">
        <w:tc>
          <w:tcPr>
            <w:tcW w:w="180" w:type="pct"/>
            <w:tcBorders>
              <w:top w:val="single" w:sz="4" w:space="0" w:color="auto"/>
              <w:bottom w:val="single" w:sz="4" w:space="0" w:color="auto"/>
            </w:tcBorders>
          </w:tcPr>
          <w:p w14:paraId="1F7029D2" w14:textId="77777777" w:rsidR="00DF71B6" w:rsidRPr="00F62917" w:rsidRDefault="00DF71B6" w:rsidP="00F62917">
            <w:pPr>
              <w:pStyle w:val="NoSpacing"/>
              <w:rPr>
                <w:rFonts w:cstheme="minorHAnsi"/>
                <w:sz w:val="16"/>
                <w:szCs w:val="16"/>
              </w:rPr>
            </w:pPr>
            <w:r w:rsidRPr="00F62917">
              <w:rPr>
                <w:rFonts w:cstheme="minorHAnsi"/>
                <w:sz w:val="16"/>
                <w:szCs w:val="16"/>
              </w:rPr>
              <w:t>4</w:t>
            </w:r>
          </w:p>
        </w:tc>
        <w:tc>
          <w:tcPr>
            <w:tcW w:w="999" w:type="pct"/>
            <w:tcBorders>
              <w:top w:val="single" w:sz="4" w:space="0" w:color="auto"/>
              <w:left w:val="nil"/>
              <w:bottom w:val="single" w:sz="4" w:space="0" w:color="auto"/>
              <w:right w:val="single" w:sz="4" w:space="0" w:color="auto"/>
            </w:tcBorders>
            <w:shd w:val="clear" w:color="000000" w:fill="FFFFFF"/>
            <w:vAlign w:val="bottom"/>
          </w:tcPr>
          <w:p w14:paraId="2D01230C" w14:textId="77777777" w:rsidR="00DF71B6" w:rsidRPr="00F62917" w:rsidRDefault="00DF71B6" w:rsidP="00F62917">
            <w:pPr>
              <w:pStyle w:val="NoSpacing"/>
              <w:rPr>
                <w:rFonts w:cstheme="minorHAnsi"/>
                <w:color w:val="000000"/>
                <w:sz w:val="16"/>
                <w:szCs w:val="16"/>
              </w:rPr>
            </w:pPr>
            <w:r w:rsidRPr="00F62917">
              <w:rPr>
                <w:rFonts w:cstheme="minorHAnsi"/>
                <w:color w:val="000000"/>
                <w:sz w:val="16"/>
                <w:szCs w:val="16"/>
              </w:rPr>
              <w:t>Hurd et al. (2019)</w:t>
            </w:r>
          </w:p>
        </w:tc>
        <w:tc>
          <w:tcPr>
            <w:tcW w:w="1244" w:type="pct"/>
            <w:tcBorders>
              <w:top w:val="single" w:sz="4" w:space="0" w:color="auto"/>
              <w:left w:val="single" w:sz="4" w:space="0" w:color="auto"/>
              <w:bottom w:val="single" w:sz="4" w:space="0" w:color="auto"/>
              <w:right w:val="single" w:sz="4" w:space="0" w:color="auto"/>
            </w:tcBorders>
            <w:shd w:val="clear" w:color="000000" w:fill="FFFFFF"/>
            <w:vAlign w:val="bottom"/>
          </w:tcPr>
          <w:p w14:paraId="1FAA6152" w14:textId="2AF86090" w:rsidR="00DF71B6" w:rsidRPr="00F62917" w:rsidRDefault="00DF71B6" w:rsidP="00F62917">
            <w:pPr>
              <w:pStyle w:val="NoSpacing"/>
              <w:rPr>
                <w:rFonts w:cstheme="minorHAnsi"/>
                <w:sz w:val="16"/>
                <w:szCs w:val="16"/>
              </w:rPr>
            </w:pPr>
            <w:r w:rsidRPr="00F62917">
              <w:rPr>
                <w:rFonts w:cstheme="minorHAnsi"/>
                <w:color w:val="000000"/>
                <w:sz w:val="16"/>
                <w:szCs w:val="16"/>
              </w:rPr>
              <w:t>Cannabidiol</w:t>
            </w:r>
            <w:r w:rsidR="007633AA" w:rsidRPr="00F62917">
              <w:rPr>
                <w:rFonts w:cstheme="minorHAnsi"/>
                <w:color w:val="000000"/>
                <w:sz w:val="16"/>
                <w:szCs w:val="16"/>
              </w:rPr>
              <w:t xml:space="preserve"> (CBD)</w:t>
            </w:r>
            <w:r w:rsidR="005D3734" w:rsidRPr="00F62917">
              <w:rPr>
                <w:rFonts w:cstheme="minorHAnsi"/>
                <w:color w:val="000000"/>
                <w:sz w:val="16"/>
                <w:szCs w:val="16"/>
              </w:rPr>
              <w:t xml:space="preserve"> – oral solution</w:t>
            </w:r>
          </w:p>
        </w:tc>
        <w:tc>
          <w:tcPr>
            <w:tcW w:w="375" w:type="pct"/>
            <w:tcBorders>
              <w:top w:val="single" w:sz="4" w:space="0" w:color="auto"/>
              <w:left w:val="single" w:sz="4" w:space="0" w:color="auto"/>
              <w:bottom w:val="single" w:sz="4" w:space="0" w:color="auto"/>
              <w:right w:val="nil"/>
            </w:tcBorders>
            <w:shd w:val="clear" w:color="000000" w:fill="FFFFFF"/>
            <w:vAlign w:val="bottom"/>
          </w:tcPr>
          <w:p w14:paraId="66645816" w14:textId="77777777" w:rsidR="00DF71B6" w:rsidRPr="00F62917" w:rsidRDefault="00DF71B6" w:rsidP="00F62917">
            <w:pPr>
              <w:pStyle w:val="NoSpacing"/>
              <w:rPr>
                <w:rFonts w:cstheme="minorHAnsi"/>
                <w:sz w:val="16"/>
                <w:szCs w:val="16"/>
              </w:rPr>
            </w:pPr>
            <w:r w:rsidRPr="00F62917">
              <w:rPr>
                <w:rFonts w:cstheme="minorHAnsi"/>
                <w:color w:val="000000"/>
                <w:sz w:val="16"/>
                <w:szCs w:val="16"/>
              </w:rPr>
              <w:t>Placebo</w:t>
            </w:r>
          </w:p>
        </w:tc>
        <w:tc>
          <w:tcPr>
            <w:tcW w:w="200" w:type="pct"/>
            <w:shd w:val="clear" w:color="auto" w:fill="00B050"/>
          </w:tcPr>
          <w:p w14:paraId="329420E8"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200" w:type="pct"/>
            <w:shd w:val="clear" w:color="auto" w:fill="auto"/>
          </w:tcPr>
          <w:p w14:paraId="77BF20BF" w14:textId="77777777" w:rsidR="00DF71B6" w:rsidRPr="00F62917" w:rsidRDefault="00DF71B6" w:rsidP="00F62917">
            <w:pPr>
              <w:pStyle w:val="NoSpacing"/>
              <w:jc w:val="center"/>
              <w:rPr>
                <w:rFonts w:cstheme="minorHAnsi"/>
                <w:sz w:val="16"/>
                <w:szCs w:val="16"/>
              </w:rPr>
            </w:pPr>
          </w:p>
        </w:tc>
        <w:tc>
          <w:tcPr>
            <w:tcW w:w="200" w:type="pct"/>
            <w:shd w:val="clear" w:color="auto" w:fill="FF0000"/>
          </w:tcPr>
          <w:p w14:paraId="7A582FA0" w14:textId="77777777" w:rsidR="00DF71B6" w:rsidRPr="00F62917" w:rsidRDefault="00DF71B6" w:rsidP="00F62917">
            <w:pPr>
              <w:pStyle w:val="NoSpacing"/>
              <w:jc w:val="center"/>
              <w:rPr>
                <w:rFonts w:cstheme="minorHAnsi"/>
                <w:sz w:val="16"/>
                <w:szCs w:val="16"/>
              </w:rPr>
            </w:pPr>
            <w:r w:rsidRPr="00F62917">
              <w:rPr>
                <w:rFonts w:cstheme="minorHAnsi"/>
                <w:sz w:val="16"/>
                <w:szCs w:val="16"/>
              </w:rPr>
              <w:t>x</w:t>
            </w:r>
          </w:p>
        </w:tc>
        <w:tc>
          <w:tcPr>
            <w:tcW w:w="200" w:type="pct"/>
            <w:shd w:val="clear" w:color="auto" w:fill="FF0000"/>
          </w:tcPr>
          <w:p w14:paraId="2428113A" w14:textId="77777777" w:rsidR="00DF71B6" w:rsidRPr="00F62917" w:rsidRDefault="00DF71B6" w:rsidP="00F62917">
            <w:pPr>
              <w:pStyle w:val="NoSpacing"/>
              <w:jc w:val="center"/>
              <w:rPr>
                <w:rFonts w:cstheme="minorHAnsi"/>
                <w:sz w:val="16"/>
                <w:szCs w:val="16"/>
              </w:rPr>
            </w:pPr>
            <w:r w:rsidRPr="00F62917">
              <w:rPr>
                <w:rFonts w:cstheme="minorHAnsi"/>
                <w:sz w:val="16"/>
                <w:szCs w:val="16"/>
              </w:rPr>
              <w:t>x</w:t>
            </w:r>
          </w:p>
        </w:tc>
        <w:tc>
          <w:tcPr>
            <w:tcW w:w="200" w:type="pct"/>
            <w:shd w:val="clear" w:color="auto" w:fill="FFFF00"/>
          </w:tcPr>
          <w:p w14:paraId="30299A8A" w14:textId="1A8A6C23" w:rsidR="00DF71B6" w:rsidRPr="00F62917" w:rsidRDefault="009F6642" w:rsidP="00F62917">
            <w:pPr>
              <w:pStyle w:val="NoSpacing"/>
              <w:jc w:val="center"/>
              <w:rPr>
                <w:rFonts w:cstheme="minorHAnsi"/>
                <w:sz w:val="16"/>
                <w:szCs w:val="16"/>
              </w:rPr>
            </w:pPr>
            <w:r>
              <w:rPr>
                <w:rFonts w:cstheme="minorHAnsi"/>
                <w:sz w:val="16"/>
                <w:szCs w:val="16"/>
              </w:rPr>
              <w:t>--</w:t>
            </w:r>
          </w:p>
        </w:tc>
        <w:tc>
          <w:tcPr>
            <w:tcW w:w="200" w:type="pct"/>
            <w:shd w:val="clear" w:color="auto" w:fill="00B050"/>
          </w:tcPr>
          <w:p w14:paraId="471A6A03"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112" w:type="pct"/>
            <w:shd w:val="clear" w:color="auto" w:fill="auto"/>
          </w:tcPr>
          <w:p w14:paraId="5B61D2AD" w14:textId="77777777" w:rsidR="00DF71B6" w:rsidRPr="00F62917" w:rsidRDefault="00DF71B6" w:rsidP="00F62917">
            <w:pPr>
              <w:pStyle w:val="NoSpacing"/>
              <w:rPr>
                <w:rFonts w:cstheme="minorHAnsi"/>
                <w:sz w:val="16"/>
                <w:szCs w:val="16"/>
              </w:rPr>
            </w:pPr>
          </w:p>
        </w:tc>
        <w:tc>
          <w:tcPr>
            <w:tcW w:w="578" w:type="pct"/>
            <w:shd w:val="clear" w:color="auto" w:fill="FF0000"/>
          </w:tcPr>
          <w:p w14:paraId="52DC0BAA" w14:textId="77777777" w:rsidR="00DF71B6" w:rsidRPr="00F62917" w:rsidRDefault="00DF71B6" w:rsidP="00F62917">
            <w:pPr>
              <w:pStyle w:val="NoSpacing"/>
              <w:jc w:val="center"/>
              <w:rPr>
                <w:rFonts w:cstheme="minorHAnsi"/>
                <w:sz w:val="16"/>
                <w:szCs w:val="16"/>
              </w:rPr>
            </w:pPr>
            <w:r w:rsidRPr="00F62917">
              <w:rPr>
                <w:rFonts w:cstheme="minorHAnsi"/>
                <w:sz w:val="16"/>
                <w:szCs w:val="16"/>
              </w:rPr>
              <w:t>x</w:t>
            </w:r>
          </w:p>
        </w:tc>
        <w:tc>
          <w:tcPr>
            <w:tcW w:w="312" w:type="pct"/>
            <w:shd w:val="clear" w:color="auto" w:fill="auto"/>
          </w:tcPr>
          <w:p w14:paraId="5EB86A46" w14:textId="5D32CF56" w:rsidR="00DF71B6" w:rsidRPr="00F62917" w:rsidRDefault="00373A10" w:rsidP="00F62917">
            <w:pPr>
              <w:pStyle w:val="NoSpacing"/>
              <w:jc w:val="center"/>
              <w:rPr>
                <w:rFonts w:cstheme="minorHAnsi"/>
                <w:sz w:val="16"/>
                <w:szCs w:val="16"/>
              </w:rPr>
            </w:pPr>
            <w:r w:rsidRPr="00F62917">
              <w:rPr>
                <w:rFonts w:cstheme="minorHAnsi"/>
                <w:sz w:val="16"/>
                <w:szCs w:val="16"/>
              </w:rPr>
              <w:t>50</w:t>
            </w:r>
          </w:p>
        </w:tc>
      </w:tr>
      <w:tr w:rsidR="00FF076D" w:rsidRPr="00DD51A3" w14:paraId="7A4E5912" w14:textId="77777777" w:rsidTr="00FF076D">
        <w:tc>
          <w:tcPr>
            <w:tcW w:w="180" w:type="pct"/>
            <w:tcBorders>
              <w:top w:val="single" w:sz="4" w:space="0" w:color="auto"/>
              <w:bottom w:val="single" w:sz="4" w:space="0" w:color="auto"/>
            </w:tcBorders>
          </w:tcPr>
          <w:p w14:paraId="059A1175" w14:textId="77777777" w:rsidR="00DF71B6" w:rsidRPr="00F62917" w:rsidRDefault="00DF71B6" w:rsidP="00F62917">
            <w:pPr>
              <w:pStyle w:val="NoSpacing"/>
              <w:rPr>
                <w:rFonts w:cstheme="minorHAnsi"/>
                <w:sz w:val="16"/>
                <w:szCs w:val="16"/>
              </w:rPr>
            </w:pPr>
            <w:r w:rsidRPr="00F62917">
              <w:rPr>
                <w:rFonts w:cstheme="minorHAnsi"/>
                <w:sz w:val="16"/>
                <w:szCs w:val="16"/>
              </w:rPr>
              <w:t>5</w:t>
            </w:r>
          </w:p>
        </w:tc>
        <w:tc>
          <w:tcPr>
            <w:tcW w:w="999" w:type="pct"/>
            <w:tcBorders>
              <w:top w:val="single" w:sz="4" w:space="0" w:color="auto"/>
              <w:left w:val="nil"/>
              <w:bottom w:val="single" w:sz="4" w:space="0" w:color="auto"/>
              <w:right w:val="single" w:sz="4" w:space="0" w:color="auto"/>
            </w:tcBorders>
            <w:shd w:val="clear" w:color="000000" w:fill="FFFFFF"/>
            <w:vAlign w:val="bottom"/>
          </w:tcPr>
          <w:p w14:paraId="029C60AB" w14:textId="77777777" w:rsidR="00DF71B6" w:rsidRPr="00F62917" w:rsidRDefault="00DF71B6" w:rsidP="00F62917">
            <w:pPr>
              <w:pStyle w:val="NoSpacing"/>
              <w:rPr>
                <w:rFonts w:cstheme="minorHAnsi"/>
                <w:color w:val="000000"/>
                <w:sz w:val="16"/>
                <w:szCs w:val="16"/>
              </w:rPr>
            </w:pPr>
            <w:r w:rsidRPr="00F62917">
              <w:rPr>
                <w:rFonts w:cstheme="minorHAnsi"/>
                <w:color w:val="000000"/>
                <w:sz w:val="16"/>
                <w:szCs w:val="16"/>
              </w:rPr>
              <w:t>Hindocha et al. (2018)</w:t>
            </w:r>
          </w:p>
        </w:tc>
        <w:tc>
          <w:tcPr>
            <w:tcW w:w="1244" w:type="pct"/>
            <w:tcBorders>
              <w:top w:val="single" w:sz="4" w:space="0" w:color="auto"/>
              <w:left w:val="single" w:sz="4" w:space="0" w:color="auto"/>
              <w:bottom w:val="single" w:sz="4" w:space="0" w:color="auto"/>
              <w:right w:val="single" w:sz="4" w:space="0" w:color="auto"/>
            </w:tcBorders>
            <w:shd w:val="clear" w:color="000000" w:fill="FFFFFF"/>
            <w:vAlign w:val="bottom"/>
          </w:tcPr>
          <w:p w14:paraId="44352536" w14:textId="52B25C46" w:rsidR="00DF71B6" w:rsidRPr="00F62917" w:rsidRDefault="00DF71B6" w:rsidP="00F62917">
            <w:pPr>
              <w:pStyle w:val="NoSpacing"/>
              <w:rPr>
                <w:rFonts w:cstheme="minorHAnsi"/>
                <w:sz w:val="16"/>
                <w:szCs w:val="16"/>
              </w:rPr>
            </w:pPr>
            <w:r w:rsidRPr="00F62917">
              <w:rPr>
                <w:rFonts w:cstheme="minorHAnsi"/>
                <w:color w:val="000000"/>
                <w:sz w:val="16"/>
                <w:szCs w:val="16"/>
              </w:rPr>
              <w:t>Cannabidiol</w:t>
            </w:r>
            <w:r w:rsidR="0047221C" w:rsidRPr="00F62917">
              <w:rPr>
                <w:rFonts w:cstheme="minorHAnsi"/>
                <w:color w:val="000000"/>
                <w:sz w:val="16"/>
                <w:szCs w:val="16"/>
              </w:rPr>
              <w:t xml:space="preserve"> (CBD)</w:t>
            </w:r>
            <w:r w:rsidR="008E5950" w:rsidRPr="00F62917">
              <w:rPr>
                <w:rFonts w:cstheme="minorHAnsi"/>
                <w:color w:val="000000"/>
                <w:sz w:val="16"/>
                <w:szCs w:val="16"/>
              </w:rPr>
              <w:t xml:space="preserve"> – oral capsules</w:t>
            </w:r>
          </w:p>
        </w:tc>
        <w:tc>
          <w:tcPr>
            <w:tcW w:w="375" w:type="pct"/>
            <w:tcBorders>
              <w:top w:val="single" w:sz="4" w:space="0" w:color="auto"/>
              <w:left w:val="single" w:sz="4" w:space="0" w:color="auto"/>
              <w:bottom w:val="single" w:sz="4" w:space="0" w:color="auto"/>
              <w:right w:val="nil"/>
            </w:tcBorders>
            <w:shd w:val="clear" w:color="000000" w:fill="FFFFFF"/>
            <w:vAlign w:val="bottom"/>
          </w:tcPr>
          <w:p w14:paraId="45E15F16" w14:textId="77777777" w:rsidR="00DF71B6" w:rsidRPr="00F62917" w:rsidRDefault="00DF71B6" w:rsidP="00F62917">
            <w:pPr>
              <w:pStyle w:val="NoSpacing"/>
              <w:rPr>
                <w:rFonts w:cstheme="minorHAnsi"/>
                <w:sz w:val="16"/>
                <w:szCs w:val="16"/>
              </w:rPr>
            </w:pPr>
            <w:r w:rsidRPr="00F62917">
              <w:rPr>
                <w:rFonts w:cstheme="minorHAnsi"/>
                <w:color w:val="000000"/>
                <w:sz w:val="16"/>
                <w:szCs w:val="16"/>
              </w:rPr>
              <w:t>Placebo</w:t>
            </w:r>
          </w:p>
        </w:tc>
        <w:tc>
          <w:tcPr>
            <w:tcW w:w="200" w:type="pct"/>
            <w:shd w:val="clear" w:color="auto" w:fill="00B050"/>
          </w:tcPr>
          <w:p w14:paraId="7209B0FF"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200" w:type="pct"/>
            <w:shd w:val="clear" w:color="auto" w:fill="00B050"/>
          </w:tcPr>
          <w:p w14:paraId="78D816F3"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200" w:type="pct"/>
            <w:shd w:val="clear" w:color="auto" w:fill="FF0000"/>
          </w:tcPr>
          <w:p w14:paraId="14F57346" w14:textId="77777777" w:rsidR="00DF71B6" w:rsidRPr="00F62917" w:rsidRDefault="00DF71B6" w:rsidP="00F62917">
            <w:pPr>
              <w:pStyle w:val="NoSpacing"/>
              <w:jc w:val="center"/>
              <w:rPr>
                <w:rFonts w:cstheme="minorHAnsi"/>
                <w:sz w:val="16"/>
                <w:szCs w:val="16"/>
              </w:rPr>
            </w:pPr>
            <w:r w:rsidRPr="00F62917">
              <w:rPr>
                <w:rFonts w:cstheme="minorHAnsi"/>
                <w:sz w:val="16"/>
                <w:szCs w:val="16"/>
              </w:rPr>
              <w:t>x</w:t>
            </w:r>
          </w:p>
        </w:tc>
        <w:tc>
          <w:tcPr>
            <w:tcW w:w="200" w:type="pct"/>
            <w:shd w:val="clear" w:color="auto" w:fill="FF0000"/>
          </w:tcPr>
          <w:p w14:paraId="2753F5CF" w14:textId="77777777" w:rsidR="00DF71B6" w:rsidRPr="00F62917" w:rsidRDefault="00DF71B6" w:rsidP="00F62917">
            <w:pPr>
              <w:pStyle w:val="NoSpacing"/>
              <w:jc w:val="center"/>
              <w:rPr>
                <w:rFonts w:cstheme="minorHAnsi"/>
                <w:sz w:val="16"/>
                <w:szCs w:val="16"/>
              </w:rPr>
            </w:pPr>
            <w:r w:rsidRPr="00F62917">
              <w:rPr>
                <w:rFonts w:cstheme="minorHAnsi"/>
                <w:sz w:val="16"/>
                <w:szCs w:val="16"/>
              </w:rPr>
              <w:t>x</w:t>
            </w:r>
          </w:p>
        </w:tc>
        <w:tc>
          <w:tcPr>
            <w:tcW w:w="200" w:type="pct"/>
            <w:shd w:val="clear" w:color="auto" w:fill="00B050"/>
          </w:tcPr>
          <w:p w14:paraId="5B09D493" w14:textId="0DA0600D" w:rsidR="00DF71B6" w:rsidRPr="00F62917" w:rsidRDefault="002809AB" w:rsidP="00F62917">
            <w:pPr>
              <w:pStyle w:val="NoSpacing"/>
              <w:jc w:val="center"/>
              <w:rPr>
                <w:rFonts w:cstheme="minorHAnsi"/>
                <w:sz w:val="16"/>
                <w:szCs w:val="16"/>
              </w:rPr>
            </w:pPr>
            <w:r>
              <w:rPr>
                <w:rFonts w:cstheme="minorHAnsi"/>
                <w:sz w:val="16"/>
                <w:szCs w:val="16"/>
              </w:rPr>
              <w:t>+</w:t>
            </w:r>
          </w:p>
        </w:tc>
        <w:tc>
          <w:tcPr>
            <w:tcW w:w="200" w:type="pct"/>
            <w:shd w:val="clear" w:color="auto" w:fill="FFFF00"/>
          </w:tcPr>
          <w:p w14:paraId="232CE518" w14:textId="597C4E16" w:rsidR="00DF71B6" w:rsidRPr="00F62917" w:rsidRDefault="00FF076D" w:rsidP="00F62917">
            <w:pPr>
              <w:pStyle w:val="NoSpacing"/>
              <w:jc w:val="center"/>
              <w:rPr>
                <w:rFonts w:cstheme="minorHAnsi"/>
                <w:sz w:val="16"/>
                <w:szCs w:val="16"/>
              </w:rPr>
            </w:pPr>
            <w:r>
              <w:rPr>
                <w:rFonts w:cstheme="minorHAnsi"/>
                <w:sz w:val="16"/>
                <w:szCs w:val="16"/>
              </w:rPr>
              <w:t>--</w:t>
            </w:r>
          </w:p>
        </w:tc>
        <w:tc>
          <w:tcPr>
            <w:tcW w:w="112" w:type="pct"/>
            <w:shd w:val="clear" w:color="auto" w:fill="auto"/>
          </w:tcPr>
          <w:p w14:paraId="0C5D8D75" w14:textId="77777777" w:rsidR="00DF71B6" w:rsidRPr="00F62917" w:rsidRDefault="00DF71B6" w:rsidP="00F62917">
            <w:pPr>
              <w:pStyle w:val="NoSpacing"/>
              <w:rPr>
                <w:rFonts w:cstheme="minorHAnsi"/>
                <w:sz w:val="16"/>
                <w:szCs w:val="16"/>
              </w:rPr>
            </w:pPr>
          </w:p>
        </w:tc>
        <w:tc>
          <w:tcPr>
            <w:tcW w:w="578" w:type="pct"/>
            <w:shd w:val="clear" w:color="auto" w:fill="FF0000"/>
          </w:tcPr>
          <w:p w14:paraId="7C087CC5" w14:textId="77777777" w:rsidR="00DF71B6" w:rsidRPr="00F62917" w:rsidRDefault="00DF71B6" w:rsidP="00F62917">
            <w:pPr>
              <w:pStyle w:val="NoSpacing"/>
              <w:jc w:val="center"/>
              <w:rPr>
                <w:rFonts w:cstheme="minorHAnsi"/>
                <w:sz w:val="16"/>
                <w:szCs w:val="16"/>
              </w:rPr>
            </w:pPr>
            <w:r w:rsidRPr="00F62917">
              <w:rPr>
                <w:rFonts w:cstheme="minorHAnsi"/>
                <w:sz w:val="16"/>
                <w:szCs w:val="16"/>
              </w:rPr>
              <w:t>x</w:t>
            </w:r>
          </w:p>
        </w:tc>
        <w:tc>
          <w:tcPr>
            <w:tcW w:w="312" w:type="pct"/>
            <w:shd w:val="clear" w:color="auto" w:fill="auto"/>
          </w:tcPr>
          <w:p w14:paraId="6CA78567" w14:textId="7AB5E694" w:rsidR="00DF71B6" w:rsidRPr="00F62917" w:rsidRDefault="00F93EEC" w:rsidP="00F62917">
            <w:pPr>
              <w:pStyle w:val="NoSpacing"/>
              <w:jc w:val="center"/>
              <w:rPr>
                <w:rFonts w:cstheme="minorHAnsi"/>
                <w:sz w:val="16"/>
                <w:szCs w:val="16"/>
              </w:rPr>
            </w:pPr>
            <w:r>
              <w:rPr>
                <w:rFonts w:cstheme="minorHAnsi"/>
                <w:sz w:val="16"/>
                <w:szCs w:val="16"/>
              </w:rPr>
              <w:t>44</w:t>
            </w:r>
          </w:p>
        </w:tc>
      </w:tr>
      <w:tr w:rsidR="000C2EE7" w:rsidRPr="00DD51A3" w14:paraId="2FDDBEDC" w14:textId="77777777" w:rsidTr="00F62917">
        <w:tc>
          <w:tcPr>
            <w:tcW w:w="180" w:type="pct"/>
            <w:tcBorders>
              <w:top w:val="single" w:sz="4" w:space="0" w:color="auto"/>
              <w:bottom w:val="single" w:sz="4" w:space="0" w:color="auto"/>
            </w:tcBorders>
          </w:tcPr>
          <w:p w14:paraId="63A2F168" w14:textId="77777777" w:rsidR="00DF71B6" w:rsidRPr="00F62917" w:rsidRDefault="00DF71B6" w:rsidP="00F62917">
            <w:pPr>
              <w:pStyle w:val="NoSpacing"/>
              <w:rPr>
                <w:rFonts w:cstheme="minorHAnsi"/>
                <w:sz w:val="16"/>
                <w:szCs w:val="16"/>
              </w:rPr>
            </w:pPr>
            <w:r w:rsidRPr="00F62917">
              <w:rPr>
                <w:rFonts w:cstheme="minorHAnsi"/>
                <w:sz w:val="16"/>
                <w:szCs w:val="16"/>
              </w:rPr>
              <w:t>6</w:t>
            </w:r>
          </w:p>
        </w:tc>
        <w:tc>
          <w:tcPr>
            <w:tcW w:w="999" w:type="pct"/>
            <w:tcBorders>
              <w:top w:val="single" w:sz="4" w:space="0" w:color="auto"/>
              <w:left w:val="nil"/>
              <w:bottom w:val="single" w:sz="4" w:space="0" w:color="auto"/>
              <w:right w:val="single" w:sz="4" w:space="0" w:color="auto"/>
            </w:tcBorders>
            <w:shd w:val="clear" w:color="000000" w:fill="FFFFFF"/>
            <w:vAlign w:val="bottom"/>
          </w:tcPr>
          <w:p w14:paraId="7D13FEB7" w14:textId="77777777" w:rsidR="00DF71B6" w:rsidRPr="00F62917" w:rsidRDefault="00DF71B6" w:rsidP="00F62917">
            <w:pPr>
              <w:pStyle w:val="NoSpacing"/>
              <w:rPr>
                <w:rFonts w:cstheme="minorHAnsi"/>
                <w:color w:val="000000"/>
                <w:sz w:val="16"/>
                <w:szCs w:val="16"/>
              </w:rPr>
            </w:pPr>
            <w:r w:rsidRPr="00F62917">
              <w:rPr>
                <w:rFonts w:cstheme="minorHAnsi"/>
                <w:color w:val="000000"/>
                <w:sz w:val="16"/>
                <w:szCs w:val="16"/>
              </w:rPr>
              <w:t>Freeman et al. (2020)</w:t>
            </w:r>
          </w:p>
        </w:tc>
        <w:tc>
          <w:tcPr>
            <w:tcW w:w="1244" w:type="pct"/>
            <w:tcBorders>
              <w:top w:val="single" w:sz="4" w:space="0" w:color="auto"/>
              <w:left w:val="single" w:sz="4" w:space="0" w:color="auto"/>
              <w:bottom w:val="single" w:sz="4" w:space="0" w:color="auto"/>
              <w:right w:val="single" w:sz="4" w:space="0" w:color="auto"/>
            </w:tcBorders>
            <w:shd w:val="clear" w:color="000000" w:fill="FFFFFF"/>
            <w:vAlign w:val="bottom"/>
          </w:tcPr>
          <w:p w14:paraId="031FADD1" w14:textId="0435FADA" w:rsidR="00DF71B6" w:rsidRPr="00F62917" w:rsidRDefault="00DF71B6" w:rsidP="00F62917">
            <w:pPr>
              <w:pStyle w:val="NoSpacing"/>
              <w:rPr>
                <w:rFonts w:cstheme="minorHAnsi"/>
                <w:sz w:val="16"/>
                <w:szCs w:val="16"/>
              </w:rPr>
            </w:pPr>
            <w:r w:rsidRPr="00F62917">
              <w:rPr>
                <w:rFonts w:cstheme="minorHAnsi"/>
                <w:color w:val="000000"/>
                <w:sz w:val="16"/>
                <w:szCs w:val="16"/>
              </w:rPr>
              <w:t>Cannabidiol</w:t>
            </w:r>
            <w:r w:rsidR="0047221C" w:rsidRPr="00F62917">
              <w:rPr>
                <w:rFonts w:cstheme="minorHAnsi"/>
                <w:color w:val="000000"/>
                <w:sz w:val="16"/>
                <w:szCs w:val="16"/>
              </w:rPr>
              <w:t xml:space="preserve"> (CBD)</w:t>
            </w:r>
            <w:r w:rsidR="00A15643" w:rsidRPr="00F62917">
              <w:rPr>
                <w:rFonts w:cstheme="minorHAnsi"/>
                <w:color w:val="000000"/>
                <w:sz w:val="16"/>
                <w:szCs w:val="16"/>
              </w:rPr>
              <w:t xml:space="preserve"> – oral capsules</w:t>
            </w:r>
          </w:p>
        </w:tc>
        <w:tc>
          <w:tcPr>
            <w:tcW w:w="375" w:type="pct"/>
            <w:tcBorders>
              <w:top w:val="single" w:sz="4" w:space="0" w:color="auto"/>
              <w:left w:val="single" w:sz="4" w:space="0" w:color="auto"/>
              <w:bottom w:val="single" w:sz="4" w:space="0" w:color="auto"/>
              <w:right w:val="nil"/>
            </w:tcBorders>
            <w:shd w:val="clear" w:color="000000" w:fill="FFFFFF"/>
            <w:vAlign w:val="bottom"/>
          </w:tcPr>
          <w:p w14:paraId="715BDDCD" w14:textId="77777777" w:rsidR="00DF71B6" w:rsidRPr="00F62917" w:rsidRDefault="00DF71B6" w:rsidP="00F62917">
            <w:pPr>
              <w:pStyle w:val="NoSpacing"/>
              <w:rPr>
                <w:rFonts w:cstheme="minorHAnsi"/>
                <w:sz w:val="16"/>
                <w:szCs w:val="16"/>
              </w:rPr>
            </w:pPr>
            <w:r w:rsidRPr="00F62917">
              <w:rPr>
                <w:rFonts w:cstheme="minorHAnsi"/>
                <w:color w:val="000000"/>
                <w:sz w:val="16"/>
                <w:szCs w:val="16"/>
              </w:rPr>
              <w:t>Placebo</w:t>
            </w:r>
          </w:p>
        </w:tc>
        <w:tc>
          <w:tcPr>
            <w:tcW w:w="200" w:type="pct"/>
            <w:shd w:val="clear" w:color="auto" w:fill="00B050"/>
          </w:tcPr>
          <w:p w14:paraId="6C58E820"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200" w:type="pct"/>
            <w:shd w:val="clear" w:color="auto" w:fill="auto"/>
          </w:tcPr>
          <w:p w14:paraId="29CDFEB3" w14:textId="77777777" w:rsidR="00DF71B6" w:rsidRPr="00F62917" w:rsidRDefault="00DF71B6" w:rsidP="00F62917">
            <w:pPr>
              <w:pStyle w:val="NoSpacing"/>
              <w:jc w:val="center"/>
              <w:rPr>
                <w:rFonts w:cstheme="minorHAnsi"/>
                <w:sz w:val="16"/>
                <w:szCs w:val="16"/>
              </w:rPr>
            </w:pPr>
          </w:p>
        </w:tc>
        <w:tc>
          <w:tcPr>
            <w:tcW w:w="200" w:type="pct"/>
            <w:shd w:val="clear" w:color="auto" w:fill="00B050"/>
          </w:tcPr>
          <w:p w14:paraId="5EB0E23B" w14:textId="46792DDA" w:rsidR="00DF71B6" w:rsidRPr="00F62917" w:rsidRDefault="0064602D" w:rsidP="00F62917">
            <w:pPr>
              <w:pStyle w:val="NoSpacing"/>
              <w:jc w:val="center"/>
              <w:rPr>
                <w:rFonts w:cstheme="minorHAnsi"/>
                <w:sz w:val="16"/>
                <w:szCs w:val="16"/>
              </w:rPr>
            </w:pPr>
            <w:r>
              <w:rPr>
                <w:rFonts w:cstheme="minorHAnsi"/>
                <w:sz w:val="16"/>
                <w:szCs w:val="16"/>
              </w:rPr>
              <w:t>+</w:t>
            </w:r>
          </w:p>
        </w:tc>
        <w:tc>
          <w:tcPr>
            <w:tcW w:w="200" w:type="pct"/>
            <w:shd w:val="clear" w:color="auto" w:fill="00B050"/>
          </w:tcPr>
          <w:p w14:paraId="42E3DD08" w14:textId="1A181B6B" w:rsidR="00DF71B6" w:rsidRPr="00F62917" w:rsidRDefault="00742349" w:rsidP="00F62917">
            <w:pPr>
              <w:pStyle w:val="NoSpacing"/>
              <w:jc w:val="center"/>
              <w:rPr>
                <w:rFonts w:cstheme="minorHAnsi"/>
                <w:sz w:val="16"/>
                <w:szCs w:val="16"/>
              </w:rPr>
            </w:pPr>
            <w:r w:rsidRPr="00F62917">
              <w:rPr>
                <w:rFonts w:cstheme="minorHAnsi"/>
                <w:sz w:val="16"/>
                <w:szCs w:val="16"/>
              </w:rPr>
              <w:t>+</w:t>
            </w:r>
          </w:p>
        </w:tc>
        <w:tc>
          <w:tcPr>
            <w:tcW w:w="200" w:type="pct"/>
            <w:shd w:val="clear" w:color="auto" w:fill="00B050"/>
          </w:tcPr>
          <w:p w14:paraId="3AA34F74"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200" w:type="pct"/>
            <w:shd w:val="clear" w:color="auto" w:fill="00B050"/>
          </w:tcPr>
          <w:p w14:paraId="262BDCED"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112" w:type="pct"/>
            <w:shd w:val="clear" w:color="auto" w:fill="auto"/>
          </w:tcPr>
          <w:p w14:paraId="7BC72405" w14:textId="77777777" w:rsidR="00DF71B6" w:rsidRPr="00F62917" w:rsidRDefault="00DF71B6" w:rsidP="00F62917">
            <w:pPr>
              <w:pStyle w:val="NoSpacing"/>
              <w:rPr>
                <w:rFonts w:cstheme="minorHAnsi"/>
                <w:sz w:val="16"/>
                <w:szCs w:val="16"/>
              </w:rPr>
            </w:pPr>
          </w:p>
        </w:tc>
        <w:tc>
          <w:tcPr>
            <w:tcW w:w="578" w:type="pct"/>
            <w:shd w:val="clear" w:color="auto" w:fill="00B050"/>
          </w:tcPr>
          <w:p w14:paraId="21BDCF4D" w14:textId="0C583230" w:rsidR="00DF71B6" w:rsidRPr="00F62917" w:rsidRDefault="0064602D" w:rsidP="00F62917">
            <w:pPr>
              <w:pStyle w:val="NoSpacing"/>
              <w:jc w:val="center"/>
              <w:rPr>
                <w:rFonts w:cstheme="minorHAnsi"/>
                <w:sz w:val="16"/>
                <w:szCs w:val="16"/>
              </w:rPr>
            </w:pPr>
            <w:r>
              <w:rPr>
                <w:rFonts w:cstheme="minorHAnsi"/>
                <w:sz w:val="16"/>
                <w:szCs w:val="16"/>
              </w:rPr>
              <w:t>+</w:t>
            </w:r>
          </w:p>
        </w:tc>
        <w:tc>
          <w:tcPr>
            <w:tcW w:w="312" w:type="pct"/>
            <w:shd w:val="clear" w:color="auto" w:fill="auto"/>
          </w:tcPr>
          <w:p w14:paraId="09C67DA4" w14:textId="77777777" w:rsidR="00DF71B6" w:rsidRPr="00F62917" w:rsidRDefault="00DF71B6" w:rsidP="00F62917">
            <w:pPr>
              <w:pStyle w:val="NoSpacing"/>
              <w:jc w:val="center"/>
              <w:rPr>
                <w:rFonts w:cstheme="minorHAnsi"/>
                <w:sz w:val="16"/>
                <w:szCs w:val="16"/>
              </w:rPr>
            </w:pPr>
            <w:r w:rsidRPr="00F62917">
              <w:rPr>
                <w:rFonts w:cstheme="minorHAnsi"/>
                <w:sz w:val="16"/>
                <w:szCs w:val="16"/>
              </w:rPr>
              <w:t>82</w:t>
            </w:r>
          </w:p>
        </w:tc>
      </w:tr>
      <w:tr w:rsidR="0056225B" w:rsidRPr="00DD51A3" w14:paraId="17CDFAF3" w14:textId="77777777" w:rsidTr="00F62917">
        <w:tc>
          <w:tcPr>
            <w:tcW w:w="180" w:type="pct"/>
            <w:tcBorders>
              <w:top w:val="single" w:sz="4" w:space="0" w:color="auto"/>
              <w:bottom w:val="single" w:sz="4" w:space="0" w:color="auto"/>
            </w:tcBorders>
          </w:tcPr>
          <w:p w14:paraId="78DD8AEC" w14:textId="77777777" w:rsidR="00DF71B6" w:rsidRPr="00F62917" w:rsidRDefault="00DF71B6" w:rsidP="00F62917">
            <w:pPr>
              <w:pStyle w:val="NoSpacing"/>
              <w:rPr>
                <w:rFonts w:cstheme="minorHAnsi"/>
                <w:sz w:val="16"/>
                <w:szCs w:val="16"/>
              </w:rPr>
            </w:pPr>
            <w:bookmarkStart w:id="334" w:name="_Hlk151135828"/>
            <w:r w:rsidRPr="00F62917">
              <w:rPr>
                <w:rFonts w:cstheme="minorHAnsi"/>
                <w:sz w:val="16"/>
                <w:szCs w:val="16"/>
              </w:rPr>
              <w:t>7</w:t>
            </w:r>
          </w:p>
        </w:tc>
        <w:tc>
          <w:tcPr>
            <w:tcW w:w="999" w:type="pct"/>
            <w:tcBorders>
              <w:top w:val="single" w:sz="4" w:space="0" w:color="auto"/>
              <w:left w:val="nil"/>
              <w:bottom w:val="single" w:sz="4" w:space="0" w:color="auto"/>
              <w:right w:val="single" w:sz="4" w:space="0" w:color="auto"/>
            </w:tcBorders>
            <w:shd w:val="clear" w:color="000000" w:fill="FFFFFF"/>
            <w:vAlign w:val="bottom"/>
          </w:tcPr>
          <w:p w14:paraId="66276988" w14:textId="77777777" w:rsidR="00DF71B6" w:rsidRPr="00F62917" w:rsidRDefault="00DF71B6" w:rsidP="00F62917">
            <w:pPr>
              <w:pStyle w:val="NoSpacing"/>
              <w:rPr>
                <w:rFonts w:cstheme="minorHAnsi"/>
                <w:color w:val="000000"/>
                <w:sz w:val="16"/>
                <w:szCs w:val="16"/>
              </w:rPr>
            </w:pPr>
            <w:r w:rsidRPr="00F62917">
              <w:rPr>
                <w:rFonts w:cstheme="minorHAnsi"/>
                <w:color w:val="000000"/>
                <w:sz w:val="16"/>
                <w:szCs w:val="16"/>
              </w:rPr>
              <w:t>Lintzeris et al. (2019)</w:t>
            </w:r>
          </w:p>
        </w:tc>
        <w:tc>
          <w:tcPr>
            <w:tcW w:w="1244" w:type="pct"/>
            <w:tcBorders>
              <w:top w:val="single" w:sz="4" w:space="0" w:color="auto"/>
              <w:left w:val="single" w:sz="4" w:space="0" w:color="auto"/>
              <w:bottom w:val="single" w:sz="4" w:space="0" w:color="auto"/>
              <w:right w:val="single" w:sz="4" w:space="0" w:color="auto"/>
            </w:tcBorders>
            <w:shd w:val="clear" w:color="000000" w:fill="FFFFFF"/>
            <w:vAlign w:val="bottom"/>
          </w:tcPr>
          <w:p w14:paraId="11087288" w14:textId="43A96A1C" w:rsidR="00DF71B6" w:rsidRPr="00F62917" w:rsidRDefault="00DF71B6" w:rsidP="00F62917">
            <w:pPr>
              <w:pStyle w:val="NoSpacing"/>
              <w:rPr>
                <w:rFonts w:cstheme="minorHAnsi"/>
                <w:sz w:val="16"/>
                <w:szCs w:val="16"/>
              </w:rPr>
            </w:pPr>
            <w:r w:rsidRPr="00F62917">
              <w:rPr>
                <w:rFonts w:cstheme="minorHAnsi"/>
                <w:color w:val="000000"/>
                <w:sz w:val="16"/>
                <w:szCs w:val="16"/>
              </w:rPr>
              <w:t>Nabiximols (THC</w:t>
            </w:r>
            <w:r w:rsidR="00EB3A5A" w:rsidRPr="00F62917">
              <w:rPr>
                <w:rFonts w:cstheme="minorHAnsi"/>
                <w:color w:val="000000"/>
                <w:sz w:val="16"/>
                <w:szCs w:val="16"/>
              </w:rPr>
              <w:t>+</w:t>
            </w:r>
            <w:r w:rsidRPr="00F62917">
              <w:rPr>
                <w:rFonts w:cstheme="minorHAnsi"/>
                <w:color w:val="000000"/>
                <w:sz w:val="16"/>
                <w:szCs w:val="16"/>
              </w:rPr>
              <w:t>CBD)</w:t>
            </w:r>
            <w:r w:rsidR="00A15643" w:rsidRPr="00F62917">
              <w:rPr>
                <w:rFonts w:cstheme="minorHAnsi"/>
                <w:color w:val="000000"/>
                <w:sz w:val="16"/>
                <w:szCs w:val="16"/>
              </w:rPr>
              <w:t xml:space="preserve"> – oromucosal spray</w:t>
            </w:r>
          </w:p>
        </w:tc>
        <w:tc>
          <w:tcPr>
            <w:tcW w:w="375" w:type="pct"/>
            <w:tcBorders>
              <w:top w:val="single" w:sz="4" w:space="0" w:color="auto"/>
              <w:left w:val="single" w:sz="4" w:space="0" w:color="auto"/>
              <w:bottom w:val="single" w:sz="4" w:space="0" w:color="auto"/>
              <w:right w:val="nil"/>
            </w:tcBorders>
            <w:shd w:val="clear" w:color="000000" w:fill="FFFFFF"/>
            <w:vAlign w:val="bottom"/>
          </w:tcPr>
          <w:p w14:paraId="0C1E8302" w14:textId="77777777" w:rsidR="00DF71B6" w:rsidRPr="00F62917" w:rsidRDefault="00DF71B6" w:rsidP="00F62917">
            <w:pPr>
              <w:pStyle w:val="NoSpacing"/>
              <w:rPr>
                <w:rFonts w:cstheme="minorHAnsi"/>
                <w:sz w:val="16"/>
                <w:szCs w:val="16"/>
              </w:rPr>
            </w:pPr>
            <w:r w:rsidRPr="00F62917">
              <w:rPr>
                <w:rFonts w:cstheme="minorHAnsi"/>
                <w:color w:val="000000"/>
                <w:sz w:val="16"/>
                <w:szCs w:val="16"/>
              </w:rPr>
              <w:t>Placebo</w:t>
            </w:r>
          </w:p>
        </w:tc>
        <w:tc>
          <w:tcPr>
            <w:tcW w:w="200" w:type="pct"/>
            <w:shd w:val="clear" w:color="auto" w:fill="00B050"/>
          </w:tcPr>
          <w:p w14:paraId="09948EAA"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200" w:type="pct"/>
            <w:shd w:val="clear" w:color="auto" w:fill="auto"/>
          </w:tcPr>
          <w:p w14:paraId="2331C64F" w14:textId="4060ABD1" w:rsidR="00DF71B6" w:rsidRPr="00F62917" w:rsidRDefault="00DF71B6" w:rsidP="00F62917">
            <w:pPr>
              <w:pStyle w:val="NoSpacing"/>
              <w:jc w:val="center"/>
              <w:rPr>
                <w:rFonts w:cstheme="minorHAnsi"/>
                <w:sz w:val="16"/>
                <w:szCs w:val="16"/>
              </w:rPr>
            </w:pPr>
          </w:p>
        </w:tc>
        <w:tc>
          <w:tcPr>
            <w:tcW w:w="200" w:type="pct"/>
            <w:shd w:val="clear" w:color="auto" w:fill="FF0000"/>
          </w:tcPr>
          <w:p w14:paraId="4791812B" w14:textId="62434051" w:rsidR="00DF71B6" w:rsidRPr="00F62917" w:rsidRDefault="006C5DB6" w:rsidP="00F62917">
            <w:pPr>
              <w:pStyle w:val="NoSpacing"/>
              <w:jc w:val="center"/>
              <w:rPr>
                <w:rFonts w:cstheme="minorHAnsi"/>
                <w:sz w:val="16"/>
                <w:szCs w:val="16"/>
              </w:rPr>
            </w:pPr>
            <w:r>
              <w:rPr>
                <w:rFonts w:cstheme="minorHAnsi"/>
                <w:sz w:val="16"/>
                <w:szCs w:val="16"/>
              </w:rPr>
              <w:t>x</w:t>
            </w:r>
          </w:p>
        </w:tc>
        <w:tc>
          <w:tcPr>
            <w:tcW w:w="200" w:type="pct"/>
            <w:shd w:val="clear" w:color="auto" w:fill="FF0000"/>
          </w:tcPr>
          <w:p w14:paraId="34151880" w14:textId="723B2CDA" w:rsidR="00DF71B6" w:rsidRPr="00F62917" w:rsidRDefault="002A091D" w:rsidP="00F62917">
            <w:pPr>
              <w:pStyle w:val="NoSpacing"/>
              <w:jc w:val="center"/>
              <w:rPr>
                <w:rFonts w:cstheme="minorHAnsi"/>
                <w:sz w:val="16"/>
                <w:szCs w:val="16"/>
              </w:rPr>
            </w:pPr>
            <w:r w:rsidRPr="00F62917">
              <w:rPr>
                <w:rFonts w:cstheme="minorHAnsi"/>
                <w:sz w:val="16"/>
                <w:szCs w:val="16"/>
              </w:rPr>
              <w:t>x</w:t>
            </w:r>
          </w:p>
        </w:tc>
        <w:tc>
          <w:tcPr>
            <w:tcW w:w="200" w:type="pct"/>
            <w:shd w:val="clear" w:color="auto" w:fill="FF0000"/>
          </w:tcPr>
          <w:p w14:paraId="2859C416" w14:textId="614E72DB" w:rsidR="00DF71B6" w:rsidRPr="00F62917" w:rsidRDefault="00AB1A0F" w:rsidP="00F62917">
            <w:pPr>
              <w:pStyle w:val="NoSpacing"/>
              <w:jc w:val="center"/>
              <w:rPr>
                <w:rFonts w:cstheme="minorHAnsi"/>
                <w:sz w:val="16"/>
                <w:szCs w:val="16"/>
              </w:rPr>
            </w:pPr>
            <w:r>
              <w:rPr>
                <w:rFonts w:cstheme="minorHAnsi"/>
                <w:sz w:val="16"/>
                <w:szCs w:val="16"/>
              </w:rPr>
              <w:t>x</w:t>
            </w:r>
          </w:p>
        </w:tc>
        <w:tc>
          <w:tcPr>
            <w:tcW w:w="200" w:type="pct"/>
            <w:shd w:val="clear" w:color="auto" w:fill="00B050"/>
          </w:tcPr>
          <w:p w14:paraId="16C454D0"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112" w:type="pct"/>
            <w:shd w:val="clear" w:color="auto" w:fill="auto"/>
          </w:tcPr>
          <w:p w14:paraId="04F67AB8" w14:textId="77777777" w:rsidR="00DF71B6" w:rsidRPr="00F62917" w:rsidRDefault="00DF71B6" w:rsidP="00F62917">
            <w:pPr>
              <w:pStyle w:val="NoSpacing"/>
              <w:rPr>
                <w:rFonts w:cstheme="minorHAnsi"/>
                <w:sz w:val="16"/>
                <w:szCs w:val="16"/>
              </w:rPr>
            </w:pPr>
          </w:p>
        </w:tc>
        <w:tc>
          <w:tcPr>
            <w:tcW w:w="578" w:type="pct"/>
            <w:shd w:val="clear" w:color="auto" w:fill="FF0000"/>
          </w:tcPr>
          <w:p w14:paraId="7ECE9F6F" w14:textId="3805CFCB" w:rsidR="00DF71B6" w:rsidRPr="00F62917" w:rsidRDefault="002A091D" w:rsidP="00F62917">
            <w:pPr>
              <w:pStyle w:val="NoSpacing"/>
              <w:jc w:val="center"/>
              <w:rPr>
                <w:rFonts w:cstheme="minorHAnsi"/>
                <w:sz w:val="16"/>
                <w:szCs w:val="16"/>
              </w:rPr>
            </w:pPr>
            <w:r w:rsidRPr="00F62917">
              <w:rPr>
                <w:rFonts w:cstheme="minorHAnsi"/>
                <w:sz w:val="16"/>
                <w:szCs w:val="16"/>
              </w:rPr>
              <w:t>x</w:t>
            </w:r>
          </w:p>
        </w:tc>
        <w:tc>
          <w:tcPr>
            <w:tcW w:w="312" w:type="pct"/>
            <w:shd w:val="clear" w:color="auto" w:fill="auto"/>
          </w:tcPr>
          <w:p w14:paraId="57C7672C" w14:textId="46B6869B" w:rsidR="00DF71B6" w:rsidRPr="00F62917" w:rsidRDefault="00DF71B6" w:rsidP="00F62917">
            <w:pPr>
              <w:pStyle w:val="NoSpacing"/>
              <w:jc w:val="center"/>
              <w:rPr>
                <w:rFonts w:cstheme="minorHAnsi"/>
                <w:sz w:val="16"/>
                <w:szCs w:val="16"/>
              </w:rPr>
            </w:pPr>
            <w:r w:rsidRPr="00F62917">
              <w:rPr>
                <w:rFonts w:cstheme="minorHAnsi"/>
                <w:sz w:val="16"/>
                <w:szCs w:val="16"/>
              </w:rPr>
              <w:t>1</w:t>
            </w:r>
            <w:r w:rsidR="00000967">
              <w:rPr>
                <w:rFonts w:cstheme="minorHAnsi"/>
                <w:sz w:val="16"/>
                <w:szCs w:val="16"/>
              </w:rPr>
              <w:t>37</w:t>
            </w:r>
          </w:p>
        </w:tc>
      </w:tr>
      <w:bookmarkEnd w:id="334"/>
      <w:tr w:rsidR="001C5086" w:rsidRPr="00DD51A3" w14:paraId="4CDFB5EF" w14:textId="77777777" w:rsidTr="001C5086">
        <w:tc>
          <w:tcPr>
            <w:tcW w:w="180" w:type="pct"/>
            <w:tcBorders>
              <w:top w:val="single" w:sz="4" w:space="0" w:color="auto"/>
              <w:bottom w:val="single" w:sz="4" w:space="0" w:color="auto"/>
            </w:tcBorders>
          </w:tcPr>
          <w:p w14:paraId="5420E856" w14:textId="77777777" w:rsidR="00DF71B6" w:rsidRPr="00F62917" w:rsidRDefault="00DF71B6" w:rsidP="00F62917">
            <w:pPr>
              <w:pStyle w:val="NoSpacing"/>
              <w:rPr>
                <w:rFonts w:cstheme="minorHAnsi"/>
                <w:sz w:val="16"/>
                <w:szCs w:val="16"/>
              </w:rPr>
            </w:pPr>
            <w:r w:rsidRPr="00F62917">
              <w:rPr>
                <w:rFonts w:cstheme="minorHAnsi"/>
                <w:sz w:val="16"/>
                <w:szCs w:val="16"/>
              </w:rPr>
              <w:t>8</w:t>
            </w:r>
          </w:p>
        </w:tc>
        <w:tc>
          <w:tcPr>
            <w:tcW w:w="999" w:type="pct"/>
            <w:tcBorders>
              <w:top w:val="single" w:sz="4" w:space="0" w:color="auto"/>
              <w:left w:val="nil"/>
              <w:bottom w:val="single" w:sz="4" w:space="0" w:color="auto"/>
              <w:right w:val="single" w:sz="4" w:space="0" w:color="auto"/>
            </w:tcBorders>
            <w:shd w:val="clear" w:color="000000" w:fill="FFFFFF"/>
            <w:vAlign w:val="bottom"/>
          </w:tcPr>
          <w:p w14:paraId="0D7DFD97" w14:textId="77777777" w:rsidR="00DF71B6" w:rsidRPr="00F62917" w:rsidRDefault="00DF71B6" w:rsidP="00F62917">
            <w:pPr>
              <w:pStyle w:val="NoSpacing"/>
              <w:rPr>
                <w:rFonts w:cstheme="minorHAnsi"/>
                <w:color w:val="000000"/>
                <w:sz w:val="16"/>
                <w:szCs w:val="16"/>
              </w:rPr>
            </w:pPr>
            <w:r w:rsidRPr="00F62917">
              <w:rPr>
                <w:rFonts w:cstheme="minorHAnsi"/>
                <w:color w:val="000000"/>
                <w:sz w:val="16"/>
                <w:szCs w:val="16"/>
              </w:rPr>
              <w:t>Trigo et al. (2018)</w:t>
            </w:r>
          </w:p>
        </w:tc>
        <w:tc>
          <w:tcPr>
            <w:tcW w:w="1244" w:type="pct"/>
            <w:tcBorders>
              <w:top w:val="single" w:sz="4" w:space="0" w:color="auto"/>
              <w:left w:val="single" w:sz="4" w:space="0" w:color="auto"/>
              <w:bottom w:val="single" w:sz="4" w:space="0" w:color="auto"/>
              <w:right w:val="single" w:sz="4" w:space="0" w:color="auto"/>
            </w:tcBorders>
            <w:shd w:val="clear" w:color="000000" w:fill="FFFFFF"/>
            <w:vAlign w:val="bottom"/>
          </w:tcPr>
          <w:p w14:paraId="3576553C" w14:textId="7D113EBA" w:rsidR="00DF71B6" w:rsidRPr="00F62917" w:rsidRDefault="00DF71B6" w:rsidP="00F62917">
            <w:pPr>
              <w:pStyle w:val="NoSpacing"/>
              <w:rPr>
                <w:rFonts w:cstheme="minorHAnsi"/>
                <w:sz w:val="16"/>
                <w:szCs w:val="16"/>
              </w:rPr>
            </w:pPr>
            <w:r w:rsidRPr="00F62917">
              <w:rPr>
                <w:rFonts w:cstheme="minorHAnsi"/>
                <w:color w:val="000000"/>
                <w:sz w:val="16"/>
                <w:szCs w:val="16"/>
              </w:rPr>
              <w:t>Nabiximols (THC</w:t>
            </w:r>
            <w:r w:rsidR="00EB3A5A" w:rsidRPr="00F62917">
              <w:rPr>
                <w:rFonts w:cstheme="minorHAnsi"/>
                <w:color w:val="000000"/>
                <w:sz w:val="16"/>
                <w:szCs w:val="16"/>
              </w:rPr>
              <w:t>+</w:t>
            </w:r>
            <w:r w:rsidRPr="00F62917">
              <w:rPr>
                <w:rFonts w:cstheme="minorHAnsi"/>
                <w:color w:val="000000"/>
                <w:sz w:val="16"/>
                <w:szCs w:val="16"/>
              </w:rPr>
              <w:t>CBD)</w:t>
            </w:r>
            <w:r w:rsidR="00A15643" w:rsidRPr="00F62917">
              <w:rPr>
                <w:rFonts w:cstheme="minorHAnsi"/>
                <w:color w:val="000000"/>
                <w:sz w:val="16"/>
                <w:szCs w:val="16"/>
              </w:rPr>
              <w:t xml:space="preserve"> – oromuscosal spray</w:t>
            </w:r>
          </w:p>
        </w:tc>
        <w:tc>
          <w:tcPr>
            <w:tcW w:w="375" w:type="pct"/>
            <w:tcBorders>
              <w:top w:val="single" w:sz="4" w:space="0" w:color="auto"/>
              <w:left w:val="single" w:sz="4" w:space="0" w:color="auto"/>
              <w:bottom w:val="single" w:sz="4" w:space="0" w:color="auto"/>
              <w:right w:val="nil"/>
            </w:tcBorders>
            <w:shd w:val="clear" w:color="000000" w:fill="FFFFFF"/>
            <w:vAlign w:val="bottom"/>
          </w:tcPr>
          <w:p w14:paraId="17B0AE4C" w14:textId="77777777" w:rsidR="00DF71B6" w:rsidRPr="00F62917" w:rsidRDefault="00DF71B6" w:rsidP="00F62917">
            <w:pPr>
              <w:pStyle w:val="NoSpacing"/>
              <w:rPr>
                <w:rFonts w:cstheme="minorHAnsi"/>
                <w:sz w:val="16"/>
                <w:szCs w:val="16"/>
              </w:rPr>
            </w:pPr>
            <w:r w:rsidRPr="00F62917">
              <w:rPr>
                <w:rFonts w:cstheme="minorHAnsi"/>
                <w:color w:val="000000"/>
                <w:sz w:val="16"/>
                <w:szCs w:val="16"/>
              </w:rPr>
              <w:t>Placebo</w:t>
            </w:r>
          </w:p>
        </w:tc>
        <w:tc>
          <w:tcPr>
            <w:tcW w:w="200" w:type="pct"/>
            <w:shd w:val="clear" w:color="auto" w:fill="00B050"/>
          </w:tcPr>
          <w:p w14:paraId="701B68BB"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200" w:type="pct"/>
            <w:shd w:val="clear" w:color="auto" w:fill="auto"/>
          </w:tcPr>
          <w:p w14:paraId="668DC6F1" w14:textId="77777777" w:rsidR="00DF71B6" w:rsidRPr="00F62917" w:rsidRDefault="00DF71B6" w:rsidP="00F62917">
            <w:pPr>
              <w:pStyle w:val="NoSpacing"/>
              <w:jc w:val="center"/>
              <w:rPr>
                <w:rFonts w:cstheme="minorHAnsi"/>
                <w:sz w:val="16"/>
                <w:szCs w:val="16"/>
              </w:rPr>
            </w:pPr>
          </w:p>
        </w:tc>
        <w:tc>
          <w:tcPr>
            <w:tcW w:w="200" w:type="pct"/>
            <w:shd w:val="clear" w:color="auto" w:fill="FFFF00"/>
          </w:tcPr>
          <w:p w14:paraId="6815F2E0" w14:textId="158AC938" w:rsidR="00DF71B6" w:rsidRPr="00F62917" w:rsidRDefault="001C5086" w:rsidP="00F62917">
            <w:pPr>
              <w:pStyle w:val="NoSpacing"/>
              <w:jc w:val="center"/>
              <w:rPr>
                <w:rFonts w:cstheme="minorHAnsi"/>
                <w:sz w:val="16"/>
                <w:szCs w:val="16"/>
              </w:rPr>
            </w:pPr>
            <w:r>
              <w:rPr>
                <w:rFonts w:cstheme="minorHAnsi"/>
                <w:sz w:val="16"/>
                <w:szCs w:val="16"/>
              </w:rPr>
              <w:t>--</w:t>
            </w:r>
          </w:p>
        </w:tc>
        <w:tc>
          <w:tcPr>
            <w:tcW w:w="200" w:type="pct"/>
            <w:shd w:val="clear" w:color="auto" w:fill="FF0000"/>
          </w:tcPr>
          <w:p w14:paraId="2D1367B9" w14:textId="25BAAC2B" w:rsidR="00DF71B6" w:rsidRPr="00F62917" w:rsidRDefault="005B01CC" w:rsidP="00F62917">
            <w:pPr>
              <w:pStyle w:val="NoSpacing"/>
              <w:jc w:val="center"/>
              <w:rPr>
                <w:rFonts w:cstheme="minorHAnsi"/>
                <w:sz w:val="16"/>
                <w:szCs w:val="16"/>
              </w:rPr>
            </w:pPr>
            <w:r w:rsidRPr="00F62917">
              <w:rPr>
                <w:rFonts w:cstheme="minorHAnsi"/>
                <w:sz w:val="16"/>
                <w:szCs w:val="16"/>
              </w:rPr>
              <w:t>x</w:t>
            </w:r>
          </w:p>
        </w:tc>
        <w:tc>
          <w:tcPr>
            <w:tcW w:w="200" w:type="pct"/>
            <w:shd w:val="clear" w:color="auto" w:fill="FFFF00"/>
          </w:tcPr>
          <w:p w14:paraId="5C7EF0B5" w14:textId="5B43CACB" w:rsidR="00DF71B6" w:rsidRPr="00F62917" w:rsidRDefault="008E0F50" w:rsidP="00F62917">
            <w:pPr>
              <w:pStyle w:val="NoSpacing"/>
              <w:jc w:val="center"/>
              <w:rPr>
                <w:rFonts w:cstheme="minorHAnsi"/>
                <w:sz w:val="16"/>
                <w:szCs w:val="16"/>
              </w:rPr>
            </w:pPr>
            <w:r>
              <w:rPr>
                <w:rFonts w:cstheme="minorHAnsi"/>
                <w:sz w:val="16"/>
                <w:szCs w:val="16"/>
              </w:rPr>
              <w:t>--</w:t>
            </w:r>
          </w:p>
        </w:tc>
        <w:tc>
          <w:tcPr>
            <w:tcW w:w="200" w:type="pct"/>
            <w:shd w:val="clear" w:color="auto" w:fill="00B050"/>
          </w:tcPr>
          <w:p w14:paraId="0CE53B0E"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112" w:type="pct"/>
            <w:shd w:val="clear" w:color="auto" w:fill="auto"/>
          </w:tcPr>
          <w:p w14:paraId="51173FC2" w14:textId="77777777" w:rsidR="00DF71B6" w:rsidRPr="00F62917" w:rsidRDefault="00DF71B6" w:rsidP="00F62917">
            <w:pPr>
              <w:pStyle w:val="NoSpacing"/>
              <w:rPr>
                <w:rFonts w:cstheme="minorHAnsi"/>
                <w:sz w:val="16"/>
                <w:szCs w:val="16"/>
              </w:rPr>
            </w:pPr>
          </w:p>
        </w:tc>
        <w:tc>
          <w:tcPr>
            <w:tcW w:w="578" w:type="pct"/>
            <w:shd w:val="clear" w:color="auto" w:fill="FF0000"/>
          </w:tcPr>
          <w:p w14:paraId="03F5CDBF" w14:textId="2BD7AF90" w:rsidR="00DF71B6" w:rsidRPr="00F62917" w:rsidRDefault="005B01CC" w:rsidP="00F62917">
            <w:pPr>
              <w:pStyle w:val="NoSpacing"/>
              <w:jc w:val="center"/>
              <w:rPr>
                <w:rFonts w:cstheme="minorHAnsi"/>
                <w:sz w:val="16"/>
                <w:szCs w:val="16"/>
              </w:rPr>
            </w:pPr>
            <w:r w:rsidRPr="00F62917">
              <w:rPr>
                <w:rFonts w:cstheme="minorHAnsi"/>
                <w:sz w:val="16"/>
                <w:szCs w:val="16"/>
              </w:rPr>
              <w:t>x</w:t>
            </w:r>
          </w:p>
        </w:tc>
        <w:tc>
          <w:tcPr>
            <w:tcW w:w="312" w:type="pct"/>
            <w:shd w:val="clear" w:color="auto" w:fill="auto"/>
          </w:tcPr>
          <w:p w14:paraId="07E2CAD1" w14:textId="750A574E" w:rsidR="00DF71B6" w:rsidRPr="00F62917" w:rsidRDefault="00E17D80" w:rsidP="00F62917">
            <w:pPr>
              <w:pStyle w:val="NoSpacing"/>
              <w:jc w:val="center"/>
              <w:rPr>
                <w:rFonts w:cstheme="minorHAnsi"/>
                <w:sz w:val="16"/>
                <w:szCs w:val="16"/>
              </w:rPr>
            </w:pPr>
            <w:r>
              <w:rPr>
                <w:rFonts w:cstheme="minorHAnsi"/>
                <w:sz w:val="16"/>
                <w:szCs w:val="16"/>
              </w:rPr>
              <w:t>5</w:t>
            </w:r>
            <w:r w:rsidR="00DF71B6" w:rsidRPr="00F62917">
              <w:rPr>
                <w:rFonts w:cstheme="minorHAnsi"/>
                <w:sz w:val="16"/>
                <w:szCs w:val="16"/>
              </w:rPr>
              <w:t>0</w:t>
            </w:r>
          </w:p>
        </w:tc>
      </w:tr>
      <w:tr w:rsidR="00113EAB" w:rsidRPr="00DD51A3" w14:paraId="417580AB" w14:textId="77777777" w:rsidTr="00097AA6">
        <w:tc>
          <w:tcPr>
            <w:tcW w:w="180" w:type="pct"/>
            <w:tcBorders>
              <w:top w:val="single" w:sz="4" w:space="0" w:color="auto"/>
              <w:bottom w:val="single" w:sz="4" w:space="0" w:color="auto"/>
            </w:tcBorders>
          </w:tcPr>
          <w:p w14:paraId="5A71FBEC" w14:textId="77777777" w:rsidR="00DF71B6" w:rsidRPr="00F62917" w:rsidRDefault="00DF71B6" w:rsidP="00F62917">
            <w:pPr>
              <w:pStyle w:val="NoSpacing"/>
              <w:rPr>
                <w:rFonts w:cstheme="minorHAnsi"/>
                <w:sz w:val="16"/>
                <w:szCs w:val="16"/>
              </w:rPr>
            </w:pPr>
            <w:r w:rsidRPr="00F62917">
              <w:rPr>
                <w:rFonts w:cstheme="minorHAnsi"/>
                <w:sz w:val="16"/>
                <w:szCs w:val="16"/>
              </w:rPr>
              <w:t>9</w:t>
            </w:r>
          </w:p>
        </w:tc>
        <w:tc>
          <w:tcPr>
            <w:tcW w:w="999" w:type="pct"/>
            <w:tcBorders>
              <w:top w:val="single" w:sz="4" w:space="0" w:color="auto"/>
              <w:left w:val="nil"/>
              <w:bottom w:val="single" w:sz="4" w:space="0" w:color="auto"/>
              <w:right w:val="single" w:sz="4" w:space="0" w:color="auto"/>
            </w:tcBorders>
            <w:shd w:val="clear" w:color="000000" w:fill="FFFFFF"/>
            <w:vAlign w:val="bottom"/>
          </w:tcPr>
          <w:p w14:paraId="61DA7C13" w14:textId="77777777" w:rsidR="00DF71B6" w:rsidRPr="00F62917" w:rsidRDefault="00DF71B6" w:rsidP="00F62917">
            <w:pPr>
              <w:pStyle w:val="NoSpacing"/>
              <w:rPr>
                <w:rFonts w:cstheme="minorHAnsi"/>
                <w:color w:val="000000"/>
                <w:sz w:val="16"/>
                <w:szCs w:val="16"/>
              </w:rPr>
            </w:pPr>
            <w:r w:rsidRPr="00F62917">
              <w:rPr>
                <w:rFonts w:cstheme="minorHAnsi"/>
                <w:color w:val="000000"/>
                <w:sz w:val="16"/>
                <w:szCs w:val="16"/>
              </w:rPr>
              <w:t>Hill et al. (2017)</w:t>
            </w:r>
          </w:p>
        </w:tc>
        <w:tc>
          <w:tcPr>
            <w:tcW w:w="1244" w:type="pct"/>
            <w:tcBorders>
              <w:top w:val="single" w:sz="4" w:space="0" w:color="auto"/>
              <w:left w:val="single" w:sz="4" w:space="0" w:color="auto"/>
              <w:bottom w:val="single" w:sz="4" w:space="0" w:color="auto"/>
              <w:right w:val="single" w:sz="4" w:space="0" w:color="auto"/>
            </w:tcBorders>
            <w:shd w:val="clear" w:color="000000" w:fill="FFFFFF"/>
            <w:vAlign w:val="bottom"/>
          </w:tcPr>
          <w:p w14:paraId="15D6E1F6" w14:textId="14DAE281" w:rsidR="00DF71B6" w:rsidRPr="00F62917" w:rsidRDefault="00DF71B6" w:rsidP="00F62917">
            <w:pPr>
              <w:pStyle w:val="NoSpacing"/>
              <w:rPr>
                <w:rFonts w:cstheme="minorHAnsi"/>
                <w:sz w:val="16"/>
                <w:szCs w:val="16"/>
              </w:rPr>
            </w:pPr>
            <w:r w:rsidRPr="00F62917">
              <w:rPr>
                <w:rFonts w:cstheme="minorHAnsi"/>
                <w:color w:val="000000"/>
                <w:sz w:val="16"/>
                <w:szCs w:val="16"/>
              </w:rPr>
              <w:t>Nabilone</w:t>
            </w:r>
            <w:r w:rsidR="004A1693" w:rsidRPr="00F62917">
              <w:rPr>
                <w:rFonts w:cstheme="minorHAnsi"/>
                <w:color w:val="000000"/>
                <w:sz w:val="16"/>
                <w:szCs w:val="16"/>
              </w:rPr>
              <w:t xml:space="preserve"> (</w:t>
            </w:r>
            <w:r w:rsidR="00871176">
              <w:rPr>
                <w:rFonts w:cstheme="minorHAnsi"/>
                <w:color w:val="000000"/>
                <w:sz w:val="16"/>
                <w:szCs w:val="16"/>
              </w:rPr>
              <w:t xml:space="preserve">synthetic </w:t>
            </w:r>
            <w:r w:rsidR="004A1693" w:rsidRPr="00F62917">
              <w:rPr>
                <w:rFonts w:cstheme="minorHAnsi"/>
                <w:color w:val="000000"/>
                <w:sz w:val="16"/>
                <w:szCs w:val="16"/>
              </w:rPr>
              <w:t>THC)</w:t>
            </w:r>
            <w:r w:rsidR="008A09A1" w:rsidRPr="00F62917">
              <w:rPr>
                <w:rFonts w:cstheme="minorHAnsi"/>
                <w:color w:val="000000"/>
                <w:sz w:val="16"/>
                <w:szCs w:val="16"/>
              </w:rPr>
              <w:t xml:space="preserve"> – oral capsules</w:t>
            </w:r>
          </w:p>
        </w:tc>
        <w:tc>
          <w:tcPr>
            <w:tcW w:w="375" w:type="pct"/>
            <w:tcBorders>
              <w:top w:val="single" w:sz="4" w:space="0" w:color="auto"/>
              <w:left w:val="single" w:sz="4" w:space="0" w:color="auto"/>
              <w:bottom w:val="single" w:sz="4" w:space="0" w:color="auto"/>
              <w:right w:val="nil"/>
            </w:tcBorders>
            <w:shd w:val="clear" w:color="000000" w:fill="FFFFFF"/>
            <w:vAlign w:val="bottom"/>
          </w:tcPr>
          <w:p w14:paraId="6FA753E9" w14:textId="77777777" w:rsidR="00DF71B6" w:rsidRPr="00F62917" w:rsidRDefault="00DF71B6" w:rsidP="00F62917">
            <w:pPr>
              <w:pStyle w:val="NoSpacing"/>
              <w:rPr>
                <w:rFonts w:cstheme="minorHAnsi"/>
                <w:sz w:val="16"/>
                <w:szCs w:val="16"/>
              </w:rPr>
            </w:pPr>
            <w:r w:rsidRPr="00F62917">
              <w:rPr>
                <w:rFonts w:cstheme="minorHAnsi"/>
                <w:color w:val="000000"/>
                <w:sz w:val="16"/>
                <w:szCs w:val="16"/>
              </w:rPr>
              <w:t>Placebo</w:t>
            </w:r>
          </w:p>
        </w:tc>
        <w:tc>
          <w:tcPr>
            <w:tcW w:w="200" w:type="pct"/>
            <w:shd w:val="clear" w:color="auto" w:fill="FFFF00"/>
          </w:tcPr>
          <w:p w14:paraId="014AFEAB"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200" w:type="pct"/>
            <w:shd w:val="clear" w:color="auto" w:fill="auto"/>
          </w:tcPr>
          <w:p w14:paraId="3518A4B0" w14:textId="77777777" w:rsidR="00DF71B6" w:rsidRPr="00F62917" w:rsidRDefault="00DF71B6" w:rsidP="00F62917">
            <w:pPr>
              <w:pStyle w:val="NoSpacing"/>
              <w:jc w:val="center"/>
              <w:rPr>
                <w:rFonts w:cstheme="minorHAnsi"/>
                <w:sz w:val="16"/>
                <w:szCs w:val="16"/>
              </w:rPr>
            </w:pPr>
          </w:p>
        </w:tc>
        <w:tc>
          <w:tcPr>
            <w:tcW w:w="200" w:type="pct"/>
            <w:shd w:val="clear" w:color="auto" w:fill="FFFF00"/>
          </w:tcPr>
          <w:p w14:paraId="0D72C11E"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200" w:type="pct"/>
            <w:shd w:val="clear" w:color="auto" w:fill="FF0000"/>
          </w:tcPr>
          <w:p w14:paraId="06675E54" w14:textId="77777777" w:rsidR="00DF71B6" w:rsidRPr="00F62917" w:rsidRDefault="00DF71B6" w:rsidP="00F62917">
            <w:pPr>
              <w:pStyle w:val="NoSpacing"/>
              <w:jc w:val="center"/>
              <w:rPr>
                <w:rFonts w:cstheme="minorHAnsi"/>
                <w:sz w:val="16"/>
                <w:szCs w:val="16"/>
              </w:rPr>
            </w:pPr>
            <w:r w:rsidRPr="00F62917">
              <w:rPr>
                <w:rFonts w:cstheme="minorHAnsi"/>
                <w:sz w:val="16"/>
                <w:szCs w:val="16"/>
              </w:rPr>
              <w:t>x</w:t>
            </w:r>
          </w:p>
        </w:tc>
        <w:tc>
          <w:tcPr>
            <w:tcW w:w="200" w:type="pct"/>
            <w:shd w:val="clear" w:color="auto" w:fill="FFFF00"/>
          </w:tcPr>
          <w:p w14:paraId="469A5DBF" w14:textId="5F5A9550" w:rsidR="00DF71B6" w:rsidRPr="00F62917" w:rsidRDefault="00097AA6" w:rsidP="00F62917">
            <w:pPr>
              <w:pStyle w:val="NoSpacing"/>
              <w:jc w:val="center"/>
              <w:rPr>
                <w:rFonts w:cstheme="minorHAnsi"/>
                <w:sz w:val="16"/>
                <w:szCs w:val="16"/>
              </w:rPr>
            </w:pPr>
            <w:r>
              <w:rPr>
                <w:rFonts w:cstheme="minorHAnsi"/>
                <w:sz w:val="16"/>
                <w:szCs w:val="16"/>
              </w:rPr>
              <w:t>--</w:t>
            </w:r>
          </w:p>
        </w:tc>
        <w:tc>
          <w:tcPr>
            <w:tcW w:w="200" w:type="pct"/>
            <w:shd w:val="clear" w:color="auto" w:fill="00B050"/>
          </w:tcPr>
          <w:p w14:paraId="2B0B4470"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112" w:type="pct"/>
            <w:shd w:val="clear" w:color="auto" w:fill="auto"/>
          </w:tcPr>
          <w:p w14:paraId="6A4D48F6" w14:textId="77777777" w:rsidR="00DF71B6" w:rsidRPr="00F62917" w:rsidRDefault="00DF71B6" w:rsidP="00F62917">
            <w:pPr>
              <w:pStyle w:val="NoSpacing"/>
              <w:rPr>
                <w:rFonts w:cstheme="minorHAnsi"/>
                <w:sz w:val="16"/>
                <w:szCs w:val="16"/>
              </w:rPr>
            </w:pPr>
          </w:p>
        </w:tc>
        <w:tc>
          <w:tcPr>
            <w:tcW w:w="578" w:type="pct"/>
            <w:shd w:val="clear" w:color="auto" w:fill="FF0000"/>
          </w:tcPr>
          <w:p w14:paraId="31F50220" w14:textId="77777777" w:rsidR="00DF71B6" w:rsidRPr="00F62917" w:rsidRDefault="00DF71B6" w:rsidP="00F62917">
            <w:pPr>
              <w:pStyle w:val="NoSpacing"/>
              <w:jc w:val="center"/>
              <w:rPr>
                <w:rFonts w:cstheme="minorHAnsi"/>
                <w:sz w:val="16"/>
                <w:szCs w:val="16"/>
              </w:rPr>
            </w:pPr>
            <w:r w:rsidRPr="00F62917">
              <w:rPr>
                <w:rFonts w:cstheme="minorHAnsi"/>
                <w:sz w:val="16"/>
                <w:szCs w:val="16"/>
              </w:rPr>
              <w:t>x</w:t>
            </w:r>
          </w:p>
        </w:tc>
        <w:tc>
          <w:tcPr>
            <w:tcW w:w="312" w:type="pct"/>
            <w:shd w:val="clear" w:color="auto" w:fill="auto"/>
          </w:tcPr>
          <w:p w14:paraId="1F5F49AA" w14:textId="77777777" w:rsidR="00DF71B6" w:rsidRPr="00F62917" w:rsidRDefault="00DF71B6" w:rsidP="00F62917">
            <w:pPr>
              <w:pStyle w:val="NoSpacing"/>
              <w:jc w:val="center"/>
              <w:rPr>
                <w:rFonts w:cstheme="minorHAnsi"/>
                <w:sz w:val="16"/>
                <w:szCs w:val="16"/>
              </w:rPr>
            </w:pPr>
            <w:r w:rsidRPr="00F62917">
              <w:rPr>
                <w:rFonts w:cstheme="minorHAnsi"/>
                <w:sz w:val="16"/>
                <w:szCs w:val="16"/>
              </w:rPr>
              <w:t>18</w:t>
            </w:r>
          </w:p>
        </w:tc>
      </w:tr>
      <w:tr w:rsidR="00092D99" w:rsidRPr="00DD51A3" w14:paraId="1B2C9F82" w14:textId="77777777" w:rsidTr="00E86B07">
        <w:tc>
          <w:tcPr>
            <w:tcW w:w="180" w:type="pct"/>
            <w:tcBorders>
              <w:top w:val="single" w:sz="4" w:space="0" w:color="auto"/>
              <w:bottom w:val="single" w:sz="4" w:space="0" w:color="auto"/>
            </w:tcBorders>
          </w:tcPr>
          <w:p w14:paraId="13EFFE21" w14:textId="77777777" w:rsidR="00DF71B6" w:rsidRPr="00F62917" w:rsidRDefault="00DF71B6" w:rsidP="00F62917">
            <w:pPr>
              <w:pStyle w:val="NoSpacing"/>
              <w:rPr>
                <w:rFonts w:cstheme="minorHAnsi"/>
                <w:sz w:val="16"/>
                <w:szCs w:val="16"/>
              </w:rPr>
            </w:pPr>
            <w:r w:rsidRPr="00F62917">
              <w:rPr>
                <w:rFonts w:cstheme="minorHAnsi"/>
                <w:sz w:val="16"/>
                <w:szCs w:val="16"/>
              </w:rPr>
              <w:t>10</w:t>
            </w:r>
          </w:p>
        </w:tc>
        <w:tc>
          <w:tcPr>
            <w:tcW w:w="999" w:type="pct"/>
            <w:tcBorders>
              <w:top w:val="single" w:sz="4" w:space="0" w:color="auto"/>
              <w:left w:val="nil"/>
              <w:bottom w:val="single" w:sz="4" w:space="0" w:color="auto"/>
              <w:right w:val="single" w:sz="4" w:space="0" w:color="auto"/>
            </w:tcBorders>
            <w:shd w:val="clear" w:color="000000" w:fill="FFFFFF"/>
            <w:vAlign w:val="bottom"/>
          </w:tcPr>
          <w:p w14:paraId="78F4E5EB" w14:textId="77777777" w:rsidR="00DF71B6" w:rsidRPr="00F62917" w:rsidRDefault="00DF71B6" w:rsidP="00F62917">
            <w:pPr>
              <w:pStyle w:val="NoSpacing"/>
              <w:rPr>
                <w:rFonts w:cstheme="minorHAnsi"/>
                <w:color w:val="000000"/>
                <w:sz w:val="16"/>
                <w:szCs w:val="16"/>
              </w:rPr>
            </w:pPr>
            <w:r w:rsidRPr="00F62917">
              <w:rPr>
                <w:rFonts w:cstheme="minorHAnsi"/>
                <w:color w:val="000000"/>
                <w:sz w:val="16"/>
                <w:szCs w:val="16"/>
              </w:rPr>
              <w:t>Meneses-Gaya et al. (2021)</w:t>
            </w:r>
          </w:p>
        </w:tc>
        <w:tc>
          <w:tcPr>
            <w:tcW w:w="1244" w:type="pct"/>
            <w:tcBorders>
              <w:top w:val="single" w:sz="4" w:space="0" w:color="auto"/>
              <w:left w:val="single" w:sz="4" w:space="0" w:color="auto"/>
              <w:bottom w:val="single" w:sz="4" w:space="0" w:color="auto"/>
              <w:right w:val="single" w:sz="4" w:space="0" w:color="auto"/>
            </w:tcBorders>
            <w:shd w:val="clear" w:color="000000" w:fill="FFFFFF"/>
            <w:vAlign w:val="bottom"/>
          </w:tcPr>
          <w:p w14:paraId="66254F78" w14:textId="60BA7967" w:rsidR="00DF71B6" w:rsidRPr="00F62917" w:rsidRDefault="00DF71B6" w:rsidP="00F62917">
            <w:pPr>
              <w:pStyle w:val="NoSpacing"/>
              <w:rPr>
                <w:rFonts w:cstheme="minorHAnsi"/>
                <w:sz w:val="16"/>
                <w:szCs w:val="16"/>
              </w:rPr>
            </w:pPr>
            <w:r w:rsidRPr="00F62917">
              <w:rPr>
                <w:rFonts w:cstheme="minorHAnsi"/>
                <w:color w:val="000000"/>
                <w:sz w:val="16"/>
                <w:szCs w:val="16"/>
              </w:rPr>
              <w:t>Cannabidiol</w:t>
            </w:r>
            <w:r w:rsidR="00961D54" w:rsidRPr="00F62917">
              <w:rPr>
                <w:rFonts w:cstheme="minorHAnsi"/>
                <w:color w:val="000000"/>
                <w:sz w:val="16"/>
                <w:szCs w:val="16"/>
              </w:rPr>
              <w:t xml:space="preserve"> (CBD)</w:t>
            </w:r>
            <w:r w:rsidR="005F0E8A" w:rsidRPr="00F62917">
              <w:rPr>
                <w:rFonts w:cstheme="minorHAnsi"/>
                <w:color w:val="000000"/>
                <w:sz w:val="16"/>
                <w:szCs w:val="16"/>
              </w:rPr>
              <w:t xml:space="preserve"> – oral capsules</w:t>
            </w:r>
          </w:p>
        </w:tc>
        <w:tc>
          <w:tcPr>
            <w:tcW w:w="375" w:type="pct"/>
            <w:tcBorders>
              <w:top w:val="single" w:sz="4" w:space="0" w:color="auto"/>
              <w:left w:val="single" w:sz="4" w:space="0" w:color="auto"/>
              <w:bottom w:val="single" w:sz="4" w:space="0" w:color="auto"/>
              <w:right w:val="nil"/>
            </w:tcBorders>
            <w:shd w:val="clear" w:color="000000" w:fill="FFFFFF"/>
            <w:vAlign w:val="bottom"/>
          </w:tcPr>
          <w:p w14:paraId="4066AC66" w14:textId="77777777" w:rsidR="00DF71B6" w:rsidRPr="00F62917" w:rsidRDefault="00DF71B6" w:rsidP="00F62917">
            <w:pPr>
              <w:pStyle w:val="NoSpacing"/>
              <w:rPr>
                <w:rFonts w:cstheme="minorHAnsi"/>
                <w:sz w:val="16"/>
                <w:szCs w:val="16"/>
              </w:rPr>
            </w:pPr>
            <w:r w:rsidRPr="00F62917">
              <w:rPr>
                <w:rFonts w:cstheme="minorHAnsi"/>
                <w:color w:val="000000"/>
                <w:sz w:val="16"/>
                <w:szCs w:val="16"/>
              </w:rPr>
              <w:t>Placebo</w:t>
            </w:r>
          </w:p>
        </w:tc>
        <w:tc>
          <w:tcPr>
            <w:tcW w:w="200" w:type="pct"/>
            <w:shd w:val="clear" w:color="auto" w:fill="FFFF00"/>
          </w:tcPr>
          <w:p w14:paraId="3DF09DEC"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200" w:type="pct"/>
            <w:shd w:val="clear" w:color="auto" w:fill="auto"/>
          </w:tcPr>
          <w:p w14:paraId="52E72A8B" w14:textId="77777777" w:rsidR="00DF71B6" w:rsidRPr="00F62917" w:rsidRDefault="00DF71B6" w:rsidP="00F62917">
            <w:pPr>
              <w:pStyle w:val="NoSpacing"/>
              <w:jc w:val="center"/>
              <w:rPr>
                <w:rFonts w:cstheme="minorHAnsi"/>
                <w:sz w:val="16"/>
                <w:szCs w:val="16"/>
              </w:rPr>
            </w:pPr>
          </w:p>
        </w:tc>
        <w:tc>
          <w:tcPr>
            <w:tcW w:w="200" w:type="pct"/>
            <w:shd w:val="clear" w:color="auto" w:fill="00B050"/>
          </w:tcPr>
          <w:p w14:paraId="0957FF1A" w14:textId="6A13D730" w:rsidR="00DF71B6" w:rsidRPr="00F62917" w:rsidRDefault="00E32A8D" w:rsidP="00F62917">
            <w:pPr>
              <w:pStyle w:val="NoSpacing"/>
              <w:jc w:val="center"/>
              <w:rPr>
                <w:rFonts w:cstheme="minorHAnsi"/>
                <w:sz w:val="16"/>
                <w:szCs w:val="16"/>
              </w:rPr>
            </w:pPr>
            <w:r>
              <w:rPr>
                <w:rFonts w:cstheme="minorHAnsi"/>
                <w:sz w:val="16"/>
                <w:szCs w:val="16"/>
              </w:rPr>
              <w:t>+</w:t>
            </w:r>
          </w:p>
        </w:tc>
        <w:tc>
          <w:tcPr>
            <w:tcW w:w="200" w:type="pct"/>
            <w:shd w:val="clear" w:color="auto" w:fill="FF0000"/>
          </w:tcPr>
          <w:p w14:paraId="0FE22B71" w14:textId="5AD91F61" w:rsidR="00DF71B6" w:rsidRPr="00F62917" w:rsidRDefault="00E86B07" w:rsidP="00F62917">
            <w:pPr>
              <w:pStyle w:val="NoSpacing"/>
              <w:jc w:val="center"/>
              <w:rPr>
                <w:rFonts w:cstheme="minorHAnsi"/>
                <w:sz w:val="16"/>
                <w:szCs w:val="16"/>
              </w:rPr>
            </w:pPr>
            <w:r>
              <w:rPr>
                <w:rFonts w:cstheme="minorHAnsi"/>
                <w:sz w:val="16"/>
                <w:szCs w:val="16"/>
              </w:rPr>
              <w:t>x</w:t>
            </w:r>
          </w:p>
        </w:tc>
        <w:tc>
          <w:tcPr>
            <w:tcW w:w="200" w:type="pct"/>
            <w:shd w:val="clear" w:color="auto" w:fill="00B050"/>
          </w:tcPr>
          <w:p w14:paraId="72A93ADB" w14:textId="5FA19D20" w:rsidR="00DF71B6" w:rsidRPr="00F62917" w:rsidRDefault="00E32A8D" w:rsidP="00F62917">
            <w:pPr>
              <w:pStyle w:val="NoSpacing"/>
              <w:jc w:val="center"/>
              <w:rPr>
                <w:rFonts w:cstheme="minorHAnsi"/>
                <w:sz w:val="16"/>
                <w:szCs w:val="16"/>
              </w:rPr>
            </w:pPr>
            <w:r>
              <w:rPr>
                <w:rFonts w:cstheme="minorHAnsi"/>
                <w:sz w:val="16"/>
                <w:szCs w:val="16"/>
              </w:rPr>
              <w:t>+</w:t>
            </w:r>
          </w:p>
        </w:tc>
        <w:tc>
          <w:tcPr>
            <w:tcW w:w="200" w:type="pct"/>
            <w:shd w:val="clear" w:color="auto" w:fill="FFFF00"/>
          </w:tcPr>
          <w:p w14:paraId="6143D539"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112" w:type="pct"/>
            <w:shd w:val="clear" w:color="auto" w:fill="auto"/>
          </w:tcPr>
          <w:p w14:paraId="0257DAAE" w14:textId="77777777" w:rsidR="00DF71B6" w:rsidRPr="00F62917" w:rsidRDefault="00DF71B6" w:rsidP="00F62917">
            <w:pPr>
              <w:pStyle w:val="NoSpacing"/>
              <w:rPr>
                <w:rFonts w:cstheme="minorHAnsi"/>
                <w:sz w:val="16"/>
                <w:szCs w:val="16"/>
              </w:rPr>
            </w:pPr>
          </w:p>
        </w:tc>
        <w:tc>
          <w:tcPr>
            <w:tcW w:w="578" w:type="pct"/>
            <w:shd w:val="clear" w:color="auto" w:fill="FF0000"/>
          </w:tcPr>
          <w:p w14:paraId="7F6CF90F" w14:textId="77777777" w:rsidR="00DF71B6" w:rsidRPr="00F62917" w:rsidRDefault="00DF71B6" w:rsidP="00F62917">
            <w:pPr>
              <w:pStyle w:val="NoSpacing"/>
              <w:jc w:val="center"/>
              <w:rPr>
                <w:rFonts w:cstheme="minorHAnsi"/>
                <w:sz w:val="16"/>
                <w:szCs w:val="16"/>
              </w:rPr>
            </w:pPr>
            <w:r w:rsidRPr="00F62917">
              <w:rPr>
                <w:rFonts w:cstheme="minorHAnsi"/>
                <w:sz w:val="16"/>
                <w:szCs w:val="16"/>
              </w:rPr>
              <w:t>x</w:t>
            </w:r>
          </w:p>
        </w:tc>
        <w:tc>
          <w:tcPr>
            <w:tcW w:w="312" w:type="pct"/>
            <w:shd w:val="clear" w:color="auto" w:fill="auto"/>
          </w:tcPr>
          <w:p w14:paraId="129BA8F8" w14:textId="77777777" w:rsidR="00DF71B6" w:rsidRPr="00F62917" w:rsidRDefault="00DF71B6" w:rsidP="00F62917">
            <w:pPr>
              <w:pStyle w:val="NoSpacing"/>
              <w:jc w:val="center"/>
              <w:rPr>
                <w:rFonts w:cstheme="minorHAnsi"/>
                <w:sz w:val="16"/>
                <w:szCs w:val="16"/>
              </w:rPr>
            </w:pPr>
            <w:r w:rsidRPr="00F62917">
              <w:rPr>
                <w:rFonts w:cstheme="minorHAnsi"/>
                <w:sz w:val="16"/>
                <w:szCs w:val="16"/>
              </w:rPr>
              <w:t>31</w:t>
            </w:r>
          </w:p>
        </w:tc>
      </w:tr>
      <w:tr w:rsidR="00C360BF" w:rsidRPr="00DD51A3" w14:paraId="0AD36AA3" w14:textId="77777777" w:rsidTr="00C360BF">
        <w:tc>
          <w:tcPr>
            <w:tcW w:w="180" w:type="pct"/>
            <w:tcBorders>
              <w:top w:val="single" w:sz="4" w:space="0" w:color="auto"/>
              <w:bottom w:val="single" w:sz="4" w:space="0" w:color="auto"/>
            </w:tcBorders>
          </w:tcPr>
          <w:p w14:paraId="4297A059" w14:textId="77777777" w:rsidR="00DF71B6" w:rsidRPr="00F62917" w:rsidRDefault="00DF71B6" w:rsidP="00F62917">
            <w:pPr>
              <w:pStyle w:val="NoSpacing"/>
              <w:rPr>
                <w:rFonts w:cstheme="minorHAnsi"/>
                <w:sz w:val="16"/>
                <w:szCs w:val="16"/>
              </w:rPr>
            </w:pPr>
            <w:r w:rsidRPr="00F62917">
              <w:rPr>
                <w:rFonts w:cstheme="minorHAnsi"/>
                <w:sz w:val="16"/>
                <w:szCs w:val="16"/>
              </w:rPr>
              <w:t>11</w:t>
            </w:r>
          </w:p>
        </w:tc>
        <w:tc>
          <w:tcPr>
            <w:tcW w:w="999" w:type="pct"/>
            <w:tcBorders>
              <w:top w:val="single" w:sz="4" w:space="0" w:color="auto"/>
              <w:left w:val="nil"/>
              <w:bottom w:val="single" w:sz="4" w:space="0" w:color="auto"/>
              <w:right w:val="single" w:sz="4" w:space="0" w:color="auto"/>
            </w:tcBorders>
            <w:shd w:val="clear" w:color="000000" w:fill="FFFFFF"/>
            <w:vAlign w:val="bottom"/>
          </w:tcPr>
          <w:p w14:paraId="4DEF57AA" w14:textId="77777777" w:rsidR="00DF71B6" w:rsidRPr="00F62917" w:rsidRDefault="00DF71B6" w:rsidP="00F62917">
            <w:pPr>
              <w:pStyle w:val="NoSpacing"/>
              <w:rPr>
                <w:rFonts w:cstheme="minorHAnsi"/>
                <w:color w:val="000000"/>
                <w:sz w:val="16"/>
                <w:szCs w:val="16"/>
              </w:rPr>
            </w:pPr>
            <w:r w:rsidRPr="00F62917">
              <w:rPr>
                <w:rFonts w:cstheme="minorHAnsi"/>
                <w:color w:val="000000"/>
                <w:sz w:val="16"/>
                <w:szCs w:val="16"/>
              </w:rPr>
              <w:t>Mongeau-Pérusse et al. (2021)</w:t>
            </w:r>
          </w:p>
        </w:tc>
        <w:tc>
          <w:tcPr>
            <w:tcW w:w="1244" w:type="pct"/>
            <w:tcBorders>
              <w:top w:val="single" w:sz="4" w:space="0" w:color="auto"/>
              <w:left w:val="single" w:sz="4" w:space="0" w:color="auto"/>
              <w:bottom w:val="single" w:sz="4" w:space="0" w:color="auto"/>
              <w:right w:val="single" w:sz="4" w:space="0" w:color="auto"/>
            </w:tcBorders>
            <w:shd w:val="clear" w:color="000000" w:fill="FFFFFF"/>
            <w:vAlign w:val="bottom"/>
          </w:tcPr>
          <w:p w14:paraId="7202ECB9" w14:textId="6C5CD651" w:rsidR="00DF71B6" w:rsidRPr="00F62917" w:rsidRDefault="00DF71B6" w:rsidP="00F62917">
            <w:pPr>
              <w:pStyle w:val="NoSpacing"/>
              <w:rPr>
                <w:rFonts w:cstheme="minorHAnsi"/>
                <w:color w:val="000000"/>
                <w:sz w:val="16"/>
                <w:szCs w:val="16"/>
              </w:rPr>
            </w:pPr>
            <w:r w:rsidRPr="00F62917">
              <w:rPr>
                <w:rFonts w:cstheme="minorHAnsi"/>
                <w:color w:val="000000"/>
                <w:sz w:val="16"/>
                <w:szCs w:val="16"/>
              </w:rPr>
              <w:t>Cannabidiol</w:t>
            </w:r>
            <w:r w:rsidR="00961D54" w:rsidRPr="00F62917">
              <w:rPr>
                <w:rFonts w:cstheme="minorHAnsi"/>
                <w:color w:val="000000"/>
                <w:sz w:val="16"/>
                <w:szCs w:val="16"/>
              </w:rPr>
              <w:t xml:space="preserve"> (CBD)</w:t>
            </w:r>
            <w:r w:rsidR="002765D3" w:rsidRPr="00F62917">
              <w:rPr>
                <w:rFonts w:cstheme="minorHAnsi"/>
                <w:color w:val="000000"/>
                <w:sz w:val="16"/>
                <w:szCs w:val="16"/>
              </w:rPr>
              <w:t xml:space="preserve"> – oral solution</w:t>
            </w:r>
          </w:p>
        </w:tc>
        <w:tc>
          <w:tcPr>
            <w:tcW w:w="375" w:type="pct"/>
            <w:tcBorders>
              <w:top w:val="single" w:sz="4" w:space="0" w:color="auto"/>
              <w:left w:val="single" w:sz="4" w:space="0" w:color="auto"/>
              <w:bottom w:val="single" w:sz="4" w:space="0" w:color="auto"/>
              <w:right w:val="nil"/>
            </w:tcBorders>
            <w:shd w:val="clear" w:color="000000" w:fill="FFFFFF"/>
            <w:vAlign w:val="bottom"/>
          </w:tcPr>
          <w:p w14:paraId="7540587C" w14:textId="77777777" w:rsidR="00DF71B6" w:rsidRPr="00F62917" w:rsidRDefault="00DF71B6" w:rsidP="00F62917">
            <w:pPr>
              <w:pStyle w:val="NoSpacing"/>
              <w:rPr>
                <w:rFonts w:cstheme="minorHAnsi"/>
                <w:sz w:val="16"/>
                <w:szCs w:val="16"/>
              </w:rPr>
            </w:pPr>
            <w:r w:rsidRPr="00F62917">
              <w:rPr>
                <w:rFonts w:cstheme="minorHAnsi"/>
                <w:color w:val="000000"/>
                <w:sz w:val="16"/>
                <w:szCs w:val="16"/>
              </w:rPr>
              <w:t>Placebo</w:t>
            </w:r>
          </w:p>
        </w:tc>
        <w:tc>
          <w:tcPr>
            <w:tcW w:w="200" w:type="pct"/>
            <w:shd w:val="clear" w:color="auto" w:fill="00B050"/>
          </w:tcPr>
          <w:p w14:paraId="408F80D0"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200" w:type="pct"/>
            <w:shd w:val="clear" w:color="auto" w:fill="auto"/>
          </w:tcPr>
          <w:p w14:paraId="5C4D7777" w14:textId="77777777" w:rsidR="00DF71B6" w:rsidRPr="00F62917" w:rsidRDefault="00DF71B6" w:rsidP="00F62917">
            <w:pPr>
              <w:pStyle w:val="NoSpacing"/>
              <w:jc w:val="center"/>
              <w:rPr>
                <w:rFonts w:cstheme="minorHAnsi"/>
                <w:sz w:val="16"/>
                <w:szCs w:val="16"/>
              </w:rPr>
            </w:pPr>
          </w:p>
        </w:tc>
        <w:tc>
          <w:tcPr>
            <w:tcW w:w="200" w:type="pct"/>
            <w:shd w:val="clear" w:color="auto" w:fill="FF0000"/>
          </w:tcPr>
          <w:p w14:paraId="22ECEA26" w14:textId="3A0BF2DD" w:rsidR="00DF71B6" w:rsidRPr="00F62917" w:rsidRDefault="00C360BF" w:rsidP="00F62917">
            <w:pPr>
              <w:pStyle w:val="NoSpacing"/>
              <w:jc w:val="center"/>
              <w:rPr>
                <w:rFonts w:cstheme="minorHAnsi"/>
                <w:sz w:val="16"/>
                <w:szCs w:val="16"/>
              </w:rPr>
            </w:pPr>
            <w:r>
              <w:rPr>
                <w:rFonts w:cstheme="minorHAnsi"/>
                <w:sz w:val="16"/>
                <w:szCs w:val="16"/>
              </w:rPr>
              <w:t>x</w:t>
            </w:r>
          </w:p>
        </w:tc>
        <w:tc>
          <w:tcPr>
            <w:tcW w:w="200" w:type="pct"/>
            <w:shd w:val="clear" w:color="auto" w:fill="FF0000"/>
          </w:tcPr>
          <w:p w14:paraId="75DF6614" w14:textId="4D504ED8" w:rsidR="00DF71B6" w:rsidRPr="00F62917" w:rsidRDefault="00F0108E" w:rsidP="00F62917">
            <w:pPr>
              <w:pStyle w:val="NoSpacing"/>
              <w:jc w:val="center"/>
              <w:rPr>
                <w:rFonts w:cstheme="minorHAnsi"/>
                <w:sz w:val="16"/>
                <w:szCs w:val="16"/>
              </w:rPr>
            </w:pPr>
            <w:r w:rsidRPr="00F62917">
              <w:rPr>
                <w:rFonts w:cstheme="minorHAnsi"/>
                <w:sz w:val="16"/>
                <w:szCs w:val="16"/>
              </w:rPr>
              <w:t>x</w:t>
            </w:r>
          </w:p>
        </w:tc>
        <w:tc>
          <w:tcPr>
            <w:tcW w:w="200" w:type="pct"/>
            <w:shd w:val="clear" w:color="auto" w:fill="00B050"/>
          </w:tcPr>
          <w:p w14:paraId="165C08E6"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200" w:type="pct"/>
            <w:shd w:val="clear" w:color="auto" w:fill="00B050"/>
          </w:tcPr>
          <w:p w14:paraId="63CE2E4D"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112" w:type="pct"/>
            <w:shd w:val="clear" w:color="auto" w:fill="auto"/>
          </w:tcPr>
          <w:p w14:paraId="77D33C80" w14:textId="77777777" w:rsidR="00DF71B6" w:rsidRPr="00F62917" w:rsidRDefault="00DF71B6" w:rsidP="00F62917">
            <w:pPr>
              <w:pStyle w:val="NoSpacing"/>
              <w:rPr>
                <w:rFonts w:cstheme="minorHAnsi"/>
                <w:sz w:val="16"/>
                <w:szCs w:val="16"/>
              </w:rPr>
            </w:pPr>
          </w:p>
        </w:tc>
        <w:tc>
          <w:tcPr>
            <w:tcW w:w="578" w:type="pct"/>
            <w:shd w:val="clear" w:color="auto" w:fill="FF0000"/>
          </w:tcPr>
          <w:p w14:paraId="7DC4F65A" w14:textId="2967A469" w:rsidR="00DF71B6" w:rsidRPr="00F62917" w:rsidRDefault="00F0108E" w:rsidP="00F62917">
            <w:pPr>
              <w:pStyle w:val="NoSpacing"/>
              <w:jc w:val="center"/>
              <w:rPr>
                <w:rFonts w:cstheme="minorHAnsi"/>
                <w:sz w:val="16"/>
                <w:szCs w:val="16"/>
              </w:rPr>
            </w:pPr>
            <w:r w:rsidRPr="00F62917">
              <w:rPr>
                <w:rFonts w:cstheme="minorHAnsi"/>
                <w:sz w:val="16"/>
                <w:szCs w:val="16"/>
              </w:rPr>
              <w:t>x</w:t>
            </w:r>
          </w:p>
        </w:tc>
        <w:tc>
          <w:tcPr>
            <w:tcW w:w="312" w:type="pct"/>
            <w:shd w:val="clear" w:color="auto" w:fill="auto"/>
          </w:tcPr>
          <w:p w14:paraId="082BE4A4" w14:textId="77777777" w:rsidR="00DF71B6" w:rsidRPr="00F62917" w:rsidRDefault="00DF71B6" w:rsidP="00F62917">
            <w:pPr>
              <w:pStyle w:val="NoSpacing"/>
              <w:jc w:val="center"/>
              <w:rPr>
                <w:rFonts w:cstheme="minorHAnsi"/>
                <w:sz w:val="16"/>
                <w:szCs w:val="16"/>
              </w:rPr>
            </w:pPr>
            <w:r w:rsidRPr="00F62917">
              <w:rPr>
                <w:rFonts w:cstheme="minorHAnsi"/>
                <w:sz w:val="16"/>
                <w:szCs w:val="16"/>
              </w:rPr>
              <w:t>78</w:t>
            </w:r>
          </w:p>
        </w:tc>
      </w:tr>
      <w:tr w:rsidR="00017845" w:rsidRPr="00DD51A3" w14:paraId="34AD5E78" w14:textId="77777777" w:rsidTr="00017845">
        <w:tc>
          <w:tcPr>
            <w:tcW w:w="180" w:type="pct"/>
            <w:tcBorders>
              <w:top w:val="single" w:sz="4" w:space="0" w:color="auto"/>
            </w:tcBorders>
          </w:tcPr>
          <w:p w14:paraId="703DDF1D" w14:textId="77777777" w:rsidR="00DF71B6" w:rsidRPr="00F62917" w:rsidRDefault="00DF71B6" w:rsidP="00F62917">
            <w:pPr>
              <w:pStyle w:val="NoSpacing"/>
              <w:rPr>
                <w:rFonts w:cstheme="minorHAnsi"/>
                <w:sz w:val="16"/>
                <w:szCs w:val="16"/>
              </w:rPr>
            </w:pPr>
            <w:r w:rsidRPr="00F62917">
              <w:rPr>
                <w:rFonts w:cstheme="minorHAnsi"/>
                <w:sz w:val="16"/>
                <w:szCs w:val="16"/>
              </w:rPr>
              <w:t>12</w:t>
            </w:r>
          </w:p>
        </w:tc>
        <w:tc>
          <w:tcPr>
            <w:tcW w:w="999" w:type="pct"/>
            <w:tcBorders>
              <w:top w:val="single" w:sz="4" w:space="0" w:color="auto"/>
              <w:left w:val="nil"/>
              <w:bottom w:val="single" w:sz="4" w:space="0" w:color="auto"/>
              <w:right w:val="single" w:sz="4" w:space="0" w:color="auto"/>
            </w:tcBorders>
            <w:shd w:val="clear" w:color="000000" w:fill="FFFFFF"/>
            <w:vAlign w:val="bottom"/>
          </w:tcPr>
          <w:p w14:paraId="10A55659" w14:textId="77777777" w:rsidR="00DF71B6" w:rsidRPr="00F62917" w:rsidRDefault="00DF71B6" w:rsidP="00F62917">
            <w:pPr>
              <w:pStyle w:val="NoSpacing"/>
              <w:rPr>
                <w:rFonts w:cstheme="minorHAnsi"/>
                <w:color w:val="000000"/>
                <w:sz w:val="16"/>
                <w:szCs w:val="16"/>
              </w:rPr>
            </w:pPr>
            <w:r w:rsidRPr="00F62917">
              <w:rPr>
                <w:rFonts w:cstheme="minorHAnsi"/>
                <w:color w:val="000000"/>
                <w:sz w:val="16"/>
                <w:szCs w:val="16"/>
              </w:rPr>
              <w:t>Bonn-Miller et al. (2021)</w:t>
            </w:r>
          </w:p>
        </w:tc>
        <w:tc>
          <w:tcPr>
            <w:tcW w:w="1244" w:type="pct"/>
            <w:tcBorders>
              <w:top w:val="single" w:sz="4" w:space="0" w:color="auto"/>
              <w:left w:val="single" w:sz="4" w:space="0" w:color="auto"/>
              <w:bottom w:val="single" w:sz="4" w:space="0" w:color="auto"/>
              <w:right w:val="single" w:sz="4" w:space="0" w:color="auto"/>
            </w:tcBorders>
            <w:shd w:val="clear" w:color="000000" w:fill="FFFFFF"/>
            <w:vAlign w:val="bottom"/>
          </w:tcPr>
          <w:p w14:paraId="31EE3CB8" w14:textId="3A0ED560" w:rsidR="00DF71B6" w:rsidRPr="00F62917" w:rsidRDefault="008C41CC" w:rsidP="00F62917">
            <w:pPr>
              <w:pStyle w:val="NoSpacing"/>
              <w:rPr>
                <w:rFonts w:cstheme="minorHAnsi"/>
                <w:sz w:val="16"/>
                <w:szCs w:val="16"/>
              </w:rPr>
            </w:pPr>
            <w:r>
              <w:rPr>
                <w:rFonts w:cstheme="minorHAnsi"/>
                <w:color w:val="000000"/>
                <w:sz w:val="16"/>
                <w:szCs w:val="16"/>
              </w:rPr>
              <w:t>Cannabinoid</w:t>
            </w:r>
            <w:r w:rsidR="00DF71B6" w:rsidRPr="00F62917">
              <w:rPr>
                <w:rFonts w:cstheme="minorHAnsi"/>
                <w:color w:val="000000"/>
                <w:sz w:val="16"/>
                <w:szCs w:val="16"/>
              </w:rPr>
              <w:t xml:space="preserve"> (</w:t>
            </w:r>
            <w:r w:rsidR="00636707" w:rsidRPr="00F62917">
              <w:rPr>
                <w:rFonts w:cstheme="minorHAnsi"/>
                <w:color w:val="000000"/>
                <w:sz w:val="16"/>
                <w:szCs w:val="16"/>
              </w:rPr>
              <w:t>THC</w:t>
            </w:r>
            <w:r w:rsidR="00AA1974">
              <w:rPr>
                <w:rFonts w:cstheme="minorHAnsi"/>
                <w:color w:val="000000"/>
                <w:sz w:val="16"/>
                <w:szCs w:val="16"/>
              </w:rPr>
              <w:t>±</w:t>
            </w:r>
            <w:r w:rsidR="00636707" w:rsidRPr="00F62917">
              <w:rPr>
                <w:rFonts w:cstheme="minorHAnsi"/>
                <w:color w:val="000000"/>
                <w:sz w:val="16"/>
                <w:szCs w:val="16"/>
              </w:rPr>
              <w:t>CBD</w:t>
            </w:r>
            <w:r w:rsidR="00DF71B6" w:rsidRPr="00F62917">
              <w:rPr>
                <w:rFonts w:cstheme="minorHAnsi"/>
                <w:color w:val="000000"/>
                <w:sz w:val="16"/>
                <w:szCs w:val="16"/>
              </w:rPr>
              <w:t>)</w:t>
            </w:r>
            <w:r w:rsidR="00E139F4" w:rsidRPr="00F62917">
              <w:rPr>
                <w:rFonts w:cstheme="minorHAnsi"/>
                <w:color w:val="000000"/>
                <w:sz w:val="16"/>
                <w:szCs w:val="16"/>
              </w:rPr>
              <w:t xml:space="preserve"> </w:t>
            </w:r>
            <w:r w:rsidR="00B06448" w:rsidRPr="00F62917">
              <w:rPr>
                <w:rFonts w:cstheme="minorHAnsi"/>
                <w:color w:val="000000"/>
                <w:sz w:val="16"/>
                <w:szCs w:val="16"/>
              </w:rPr>
              <w:t>–</w:t>
            </w:r>
            <w:r w:rsidR="00E139F4" w:rsidRPr="00F62917">
              <w:rPr>
                <w:rFonts w:cstheme="minorHAnsi"/>
                <w:color w:val="000000"/>
                <w:sz w:val="16"/>
                <w:szCs w:val="16"/>
              </w:rPr>
              <w:t xml:space="preserve"> smoked</w:t>
            </w:r>
            <w:r w:rsidR="00B06448" w:rsidRPr="00F62917">
              <w:rPr>
                <w:rFonts w:cstheme="minorHAnsi"/>
                <w:color w:val="000000"/>
                <w:sz w:val="16"/>
                <w:szCs w:val="16"/>
              </w:rPr>
              <w:t xml:space="preserve"> </w:t>
            </w:r>
            <w:r>
              <w:rPr>
                <w:rFonts w:cstheme="minorHAnsi"/>
                <w:color w:val="000000"/>
                <w:sz w:val="16"/>
                <w:szCs w:val="16"/>
              </w:rPr>
              <w:t>dried cannabis</w:t>
            </w:r>
          </w:p>
        </w:tc>
        <w:tc>
          <w:tcPr>
            <w:tcW w:w="375" w:type="pct"/>
            <w:tcBorders>
              <w:top w:val="single" w:sz="4" w:space="0" w:color="auto"/>
              <w:left w:val="single" w:sz="4" w:space="0" w:color="auto"/>
              <w:bottom w:val="single" w:sz="4" w:space="0" w:color="auto"/>
              <w:right w:val="nil"/>
            </w:tcBorders>
            <w:shd w:val="clear" w:color="000000" w:fill="FFFFFF"/>
            <w:vAlign w:val="bottom"/>
          </w:tcPr>
          <w:p w14:paraId="1B9C3504" w14:textId="77777777" w:rsidR="00DF71B6" w:rsidRPr="00F62917" w:rsidRDefault="00DF71B6" w:rsidP="00F62917">
            <w:pPr>
              <w:pStyle w:val="NoSpacing"/>
              <w:rPr>
                <w:rFonts w:cstheme="minorHAnsi"/>
                <w:sz w:val="16"/>
                <w:szCs w:val="16"/>
              </w:rPr>
            </w:pPr>
            <w:r w:rsidRPr="00F62917">
              <w:rPr>
                <w:rFonts w:cstheme="minorHAnsi"/>
                <w:color w:val="000000"/>
                <w:sz w:val="16"/>
                <w:szCs w:val="16"/>
              </w:rPr>
              <w:t>Placebo</w:t>
            </w:r>
          </w:p>
        </w:tc>
        <w:tc>
          <w:tcPr>
            <w:tcW w:w="200" w:type="pct"/>
            <w:shd w:val="clear" w:color="auto" w:fill="FFFF00"/>
          </w:tcPr>
          <w:p w14:paraId="52AA8995"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200" w:type="pct"/>
            <w:shd w:val="clear" w:color="auto" w:fill="FF0000"/>
          </w:tcPr>
          <w:p w14:paraId="736CFCA2" w14:textId="77777777" w:rsidR="00DF71B6" w:rsidRPr="00F62917" w:rsidRDefault="00DF71B6" w:rsidP="00F62917">
            <w:pPr>
              <w:pStyle w:val="NoSpacing"/>
              <w:jc w:val="center"/>
              <w:rPr>
                <w:rFonts w:cstheme="minorHAnsi"/>
                <w:sz w:val="16"/>
                <w:szCs w:val="16"/>
              </w:rPr>
            </w:pPr>
            <w:r w:rsidRPr="00F62917">
              <w:rPr>
                <w:rFonts w:cstheme="minorHAnsi"/>
                <w:sz w:val="16"/>
                <w:szCs w:val="16"/>
              </w:rPr>
              <w:t>x</w:t>
            </w:r>
          </w:p>
        </w:tc>
        <w:tc>
          <w:tcPr>
            <w:tcW w:w="200" w:type="pct"/>
            <w:shd w:val="clear" w:color="auto" w:fill="FFFF00"/>
          </w:tcPr>
          <w:p w14:paraId="3724B515"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200" w:type="pct"/>
            <w:shd w:val="clear" w:color="auto" w:fill="FF0000"/>
          </w:tcPr>
          <w:p w14:paraId="1643C591" w14:textId="77777777" w:rsidR="00DF71B6" w:rsidRPr="00F62917" w:rsidRDefault="00DF71B6" w:rsidP="00F62917">
            <w:pPr>
              <w:pStyle w:val="NoSpacing"/>
              <w:jc w:val="center"/>
              <w:rPr>
                <w:rFonts w:cstheme="minorHAnsi"/>
                <w:sz w:val="16"/>
                <w:szCs w:val="16"/>
              </w:rPr>
            </w:pPr>
            <w:r w:rsidRPr="00F62917">
              <w:rPr>
                <w:rFonts w:cstheme="minorHAnsi"/>
                <w:sz w:val="16"/>
                <w:szCs w:val="16"/>
              </w:rPr>
              <w:t>x</w:t>
            </w:r>
          </w:p>
        </w:tc>
        <w:tc>
          <w:tcPr>
            <w:tcW w:w="200" w:type="pct"/>
            <w:shd w:val="clear" w:color="auto" w:fill="FF0000"/>
          </w:tcPr>
          <w:p w14:paraId="40FF0479" w14:textId="0E94691C" w:rsidR="00DF71B6" w:rsidRPr="00F62917" w:rsidRDefault="00017845" w:rsidP="00F62917">
            <w:pPr>
              <w:pStyle w:val="NoSpacing"/>
              <w:jc w:val="center"/>
              <w:rPr>
                <w:rFonts w:cstheme="minorHAnsi"/>
                <w:sz w:val="16"/>
                <w:szCs w:val="16"/>
              </w:rPr>
            </w:pPr>
            <w:r>
              <w:rPr>
                <w:rFonts w:cstheme="minorHAnsi"/>
                <w:sz w:val="16"/>
                <w:szCs w:val="16"/>
              </w:rPr>
              <w:t>x</w:t>
            </w:r>
          </w:p>
        </w:tc>
        <w:tc>
          <w:tcPr>
            <w:tcW w:w="200" w:type="pct"/>
            <w:shd w:val="clear" w:color="auto" w:fill="00B050"/>
          </w:tcPr>
          <w:p w14:paraId="125B63A9" w14:textId="77777777" w:rsidR="00DF71B6" w:rsidRPr="00F62917" w:rsidRDefault="00DF71B6" w:rsidP="00F62917">
            <w:pPr>
              <w:pStyle w:val="NoSpacing"/>
              <w:jc w:val="center"/>
              <w:rPr>
                <w:rFonts w:cstheme="minorHAnsi"/>
                <w:sz w:val="16"/>
                <w:szCs w:val="16"/>
              </w:rPr>
            </w:pPr>
            <w:r w:rsidRPr="00F62917">
              <w:rPr>
                <w:rFonts w:cstheme="minorHAnsi"/>
                <w:sz w:val="16"/>
                <w:szCs w:val="16"/>
              </w:rPr>
              <w:t>+</w:t>
            </w:r>
          </w:p>
        </w:tc>
        <w:tc>
          <w:tcPr>
            <w:tcW w:w="112" w:type="pct"/>
            <w:shd w:val="clear" w:color="auto" w:fill="auto"/>
          </w:tcPr>
          <w:p w14:paraId="570B0BBB" w14:textId="77777777" w:rsidR="00DF71B6" w:rsidRPr="00F62917" w:rsidRDefault="00DF71B6" w:rsidP="00F62917">
            <w:pPr>
              <w:pStyle w:val="NoSpacing"/>
              <w:rPr>
                <w:rFonts w:cstheme="minorHAnsi"/>
                <w:sz w:val="16"/>
                <w:szCs w:val="16"/>
              </w:rPr>
            </w:pPr>
          </w:p>
        </w:tc>
        <w:tc>
          <w:tcPr>
            <w:tcW w:w="578" w:type="pct"/>
            <w:shd w:val="clear" w:color="auto" w:fill="FF0000"/>
          </w:tcPr>
          <w:p w14:paraId="5DCDEDC2" w14:textId="77777777" w:rsidR="00DF71B6" w:rsidRPr="00F62917" w:rsidRDefault="00DF71B6" w:rsidP="00F62917">
            <w:pPr>
              <w:pStyle w:val="NoSpacing"/>
              <w:jc w:val="center"/>
              <w:rPr>
                <w:rFonts w:cstheme="minorHAnsi"/>
                <w:sz w:val="16"/>
                <w:szCs w:val="16"/>
              </w:rPr>
            </w:pPr>
            <w:r w:rsidRPr="00F62917">
              <w:rPr>
                <w:rFonts w:cstheme="minorHAnsi"/>
                <w:sz w:val="16"/>
                <w:szCs w:val="16"/>
              </w:rPr>
              <w:t>x</w:t>
            </w:r>
          </w:p>
        </w:tc>
        <w:tc>
          <w:tcPr>
            <w:tcW w:w="312" w:type="pct"/>
            <w:shd w:val="clear" w:color="auto" w:fill="auto"/>
          </w:tcPr>
          <w:p w14:paraId="402709BD" w14:textId="42E6789A" w:rsidR="00DF71B6" w:rsidRPr="00F62917" w:rsidRDefault="002620AB" w:rsidP="00F62917">
            <w:pPr>
              <w:pStyle w:val="NoSpacing"/>
              <w:jc w:val="center"/>
              <w:rPr>
                <w:rFonts w:cstheme="minorHAnsi"/>
                <w:sz w:val="16"/>
                <w:szCs w:val="16"/>
              </w:rPr>
            </w:pPr>
            <w:r>
              <w:rPr>
                <w:rFonts w:cstheme="minorHAnsi"/>
                <w:sz w:val="16"/>
                <w:szCs w:val="16"/>
              </w:rPr>
              <w:t>80</w:t>
            </w:r>
          </w:p>
        </w:tc>
      </w:tr>
    </w:tbl>
    <w:bookmarkEnd w:id="333"/>
    <w:p w14:paraId="7A0DEE04" w14:textId="77777777" w:rsidR="00DF71B6" w:rsidRDefault="00DF71B6" w:rsidP="00DF71B6">
      <w:pPr>
        <w:rPr>
          <w:szCs w:val="20"/>
        </w:rPr>
      </w:pPr>
      <w:r w:rsidRPr="005623EB">
        <w:rPr>
          <w:szCs w:val="20"/>
        </w:rPr>
        <w:t xml:space="preserve">Notes. </w:t>
      </w:r>
      <w:r>
        <w:rPr>
          <w:szCs w:val="20"/>
        </w:rPr>
        <w:t>n = sample size.</w:t>
      </w:r>
    </w:p>
    <w:tbl>
      <w:tblPr>
        <w:tblStyle w:val="TableGrid"/>
        <w:tblW w:w="0" w:type="auto"/>
        <w:jc w:val="right"/>
        <w:tblLook w:val="04A0" w:firstRow="1" w:lastRow="0" w:firstColumn="1" w:lastColumn="0" w:noHBand="0" w:noVBand="1"/>
      </w:tblPr>
      <w:tblGrid>
        <w:gridCol w:w="4056"/>
        <w:gridCol w:w="222"/>
        <w:gridCol w:w="1720"/>
        <w:gridCol w:w="709"/>
      </w:tblGrid>
      <w:tr w:rsidR="00DF71B6" w:rsidRPr="00930B72" w14:paraId="1930C6B8" w14:textId="77777777" w:rsidTr="003A54C8">
        <w:trPr>
          <w:tblHeader/>
          <w:jc w:val="right"/>
        </w:trPr>
        <w:tc>
          <w:tcPr>
            <w:tcW w:w="0" w:type="auto"/>
          </w:tcPr>
          <w:p w14:paraId="03711A26" w14:textId="77777777" w:rsidR="00DF71B6" w:rsidRPr="00930B72" w:rsidRDefault="00DF71B6" w:rsidP="004361E5">
            <w:pPr>
              <w:rPr>
                <w:b/>
                <w:bCs/>
                <w:sz w:val="16"/>
                <w:szCs w:val="16"/>
              </w:rPr>
            </w:pPr>
            <w:r w:rsidRPr="00930B72">
              <w:rPr>
                <w:b/>
                <w:bCs/>
                <w:sz w:val="16"/>
                <w:szCs w:val="16"/>
              </w:rPr>
              <w:t>Risk of Bias Domains</w:t>
            </w:r>
          </w:p>
        </w:tc>
        <w:tc>
          <w:tcPr>
            <w:tcW w:w="0" w:type="auto"/>
          </w:tcPr>
          <w:p w14:paraId="2504DFAD" w14:textId="77777777" w:rsidR="00DF71B6" w:rsidRPr="00930B72" w:rsidRDefault="00DF71B6" w:rsidP="004361E5">
            <w:pPr>
              <w:rPr>
                <w:b/>
                <w:bCs/>
                <w:sz w:val="16"/>
                <w:szCs w:val="16"/>
              </w:rPr>
            </w:pPr>
          </w:p>
        </w:tc>
        <w:tc>
          <w:tcPr>
            <w:tcW w:w="0" w:type="auto"/>
          </w:tcPr>
          <w:p w14:paraId="4705A858" w14:textId="77777777" w:rsidR="00DF71B6" w:rsidRPr="00930B72" w:rsidRDefault="00DF71B6" w:rsidP="004361E5">
            <w:pPr>
              <w:rPr>
                <w:b/>
                <w:bCs/>
                <w:sz w:val="16"/>
                <w:szCs w:val="16"/>
              </w:rPr>
            </w:pPr>
            <w:r w:rsidRPr="00930B72">
              <w:rPr>
                <w:b/>
                <w:bCs/>
                <w:sz w:val="16"/>
                <w:szCs w:val="16"/>
              </w:rPr>
              <w:t>Risk of Bias Judgments</w:t>
            </w:r>
          </w:p>
        </w:tc>
        <w:tc>
          <w:tcPr>
            <w:tcW w:w="0" w:type="auto"/>
          </w:tcPr>
          <w:p w14:paraId="3F181029" w14:textId="77777777" w:rsidR="00DF71B6" w:rsidRPr="00930B72" w:rsidRDefault="00DF71B6" w:rsidP="004361E5">
            <w:pPr>
              <w:rPr>
                <w:b/>
                <w:bCs/>
                <w:sz w:val="16"/>
                <w:szCs w:val="16"/>
              </w:rPr>
            </w:pPr>
            <w:r>
              <w:rPr>
                <w:b/>
                <w:bCs/>
                <w:sz w:val="16"/>
                <w:szCs w:val="16"/>
              </w:rPr>
              <w:t>Symbol</w:t>
            </w:r>
          </w:p>
        </w:tc>
      </w:tr>
      <w:tr w:rsidR="00DF71B6" w:rsidRPr="00930B72" w14:paraId="5842704A" w14:textId="77777777" w:rsidTr="004361E5">
        <w:trPr>
          <w:trHeight w:val="390"/>
          <w:jc w:val="right"/>
        </w:trPr>
        <w:tc>
          <w:tcPr>
            <w:tcW w:w="0" w:type="auto"/>
            <w:vMerge w:val="restart"/>
          </w:tcPr>
          <w:p w14:paraId="7F4441CE" w14:textId="77777777" w:rsidR="00DF71B6" w:rsidRPr="00930B72" w:rsidRDefault="00DF71B6" w:rsidP="004361E5">
            <w:pPr>
              <w:pStyle w:val="NoSpacing"/>
              <w:rPr>
                <w:sz w:val="16"/>
                <w:szCs w:val="16"/>
              </w:rPr>
            </w:pPr>
            <w:r w:rsidRPr="00930B72">
              <w:rPr>
                <w:sz w:val="16"/>
                <w:szCs w:val="16"/>
              </w:rPr>
              <w:t>D1. Bias arising from the randomisation process.</w:t>
            </w:r>
          </w:p>
          <w:p w14:paraId="789D682E" w14:textId="77777777" w:rsidR="00DF71B6" w:rsidRPr="00930B72" w:rsidRDefault="00DF71B6" w:rsidP="004361E5">
            <w:pPr>
              <w:pStyle w:val="NoSpacing"/>
              <w:rPr>
                <w:sz w:val="16"/>
                <w:szCs w:val="16"/>
              </w:rPr>
            </w:pPr>
            <w:r w:rsidRPr="00930B72">
              <w:rPr>
                <w:sz w:val="16"/>
                <w:szCs w:val="16"/>
              </w:rPr>
              <w:t xml:space="preserve">DS. Bias arising from period and carryover effects. </w:t>
            </w:r>
          </w:p>
          <w:p w14:paraId="49B29FBA" w14:textId="77777777" w:rsidR="00DF71B6" w:rsidRPr="00930B72" w:rsidRDefault="00DF71B6" w:rsidP="004361E5">
            <w:pPr>
              <w:pStyle w:val="NoSpacing"/>
              <w:rPr>
                <w:sz w:val="16"/>
                <w:szCs w:val="16"/>
              </w:rPr>
            </w:pPr>
            <w:r w:rsidRPr="00930B72">
              <w:rPr>
                <w:sz w:val="16"/>
                <w:szCs w:val="16"/>
              </w:rPr>
              <w:t xml:space="preserve">D2. Bias due to deviations from the intended interventions. </w:t>
            </w:r>
          </w:p>
          <w:p w14:paraId="64A67584" w14:textId="77777777" w:rsidR="00DF71B6" w:rsidRPr="00930B72" w:rsidRDefault="00DF71B6" w:rsidP="004361E5">
            <w:pPr>
              <w:pStyle w:val="NoSpacing"/>
              <w:rPr>
                <w:sz w:val="16"/>
                <w:szCs w:val="16"/>
              </w:rPr>
            </w:pPr>
            <w:r w:rsidRPr="00930B72">
              <w:rPr>
                <w:sz w:val="16"/>
                <w:szCs w:val="16"/>
              </w:rPr>
              <w:t>D3. Bias due to missing outcome data.</w:t>
            </w:r>
          </w:p>
          <w:p w14:paraId="60F725B6" w14:textId="77777777" w:rsidR="00DF71B6" w:rsidRPr="00930B72" w:rsidRDefault="00DF71B6" w:rsidP="004361E5">
            <w:pPr>
              <w:pStyle w:val="NoSpacing"/>
              <w:rPr>
                <w:sz w:val="16"/>
                <w:szCs w:val="16"/>
              </w:rPr>
            </w:pPr>
            <w:r w:rsidRPr="00930B72">
              <w:rPr>
                <w:sz w:val="16"/>
                <w:szCs w:val="16"/>
              </w:rPr>
              <w:t>D4. Bias in measurement of the outcome.</w:t>
            </w:r>
          </w:p>
          <w:p w14:paraId="046EB261" w14:textId="77777777" w:rsidR="00DF71B6" w:rsidRPr="00930B72" w:rsidRDefault="00DF71B6" w:rsidP="004361E5">
            <w:pPr>
              <w:pStyle w:val="NoSpacing"/>
              <w:rPr>
                <w:sz w:val="16"/>
                <w:szCs w:val="16"/>
              </w:rPr>
            </w:pPr>
            <w:r w:rsidRPr="00930B72">
              <w:rPr>
                <w:sz w:val="16"/>
                <w:szCs w:val="16"/>
              </w:rPr>
              <w:t>D5. Bias in selection of the reported result.</w:t>
            </w:r>
          </w:p>
        </w:tc>
        <w:tc>
          <w:tcPr>
            <w:tcW w:w="0" w:type="auto"/>
            <w:vMerge w:val="restart"/>
          </w:tcPr>
          <w:p w14:paraId="25BDDF00" w14:textId="77777777" w:rsidR="00DF71B6" w:rsidRPr="00930B72" w:rsidRDefault="00DF71B6" w:rsidP="004361E5">
            <w:pPr>
              <w:pStyle w:val="NoSpacing"/>
              <w:rPr>
                <w:sz w:val="16"/>
                <w:szCs w:val="16"/>
              </w:rPr>
            </w:pPr>
          </w:p>
        </w:tc>
        <w:tc>
          <w:tcPr>
            <w:tcW w:w="0" w:type="auto"/>
          </w:tcPr>
          <w:p w14:paraId="0020B97A" w14:textId="77777777" w:rsidR="00DF71B6" w:rsidRPr="00930B72" w:rsidRDefault="00DF71B6" w:rsidP="004361E5">
            <w:pPr>
              <w:pStyle w:val="NoSpacing"/>
              <w:rPr>
                <w:sz w:val="16"/>
                <w:szCs w:val="16"/>
              </w:rPr>
            </w:pPr>
            <w:r w:rsidRPr="00930B72">
              <w:rPr>
                <w:sz w:val="16"/>
                <w:szCs w:val="16"/>
              </w:rPr>
              <w:t>Low risk</w:t>
            </w:r>
          </w:p>
        </w:tc>
        <w:tc>
          <w:tcPr>
            <w:tcW w:w="0" w:type="auto"/>
            <w:shd w:val="clear" w:color="auto" w:fill="00B050"/>
          </w:tcPr>
          <w:p w14:paraId="027832D3" w14:textId="77777777" w:rsidR="00DF71B6" w:rsidRPr="00930B72" w:rsidRDefault="00DF71B6" w:rsidP="004361E5">
            <w:pPr>
              <w:pStyle w:val="NoSpacing"/>
              <w:jc w:val="center"/>
              <w:rPr>
                <w:sz w:val="16"/>
                <w:szCs w:val="16"/>
              </w:rPr>
            </w:pPr>
            <w:r w:rsidRPr="00930B72">
              <w:rPr>
                <w:b/>
                <w:bCs/>
                <w:sz w:val="16"/>
                <w:szCs w:val="16"/>
              </w:rPr>
              <w:t>+</w:t>
            </w:r>
          </w:p>
        </w:tc>
      </w:tr>
      <w:tr w:rsidR="00DF71B6" w:rsidRPr="00930B72" w14:paraId="28714FE3" w14:textId="77777777" w:rsidTr="004361E5">
        <w:trPr>
          <w:trHeight w:val="390"/>
          <w:jc w:val="right"/>
        </w:trPr>
        <w:tc>
          <w:tcPr>
            <w:tcW w:w="0" w:type="auto"/>
            <w:vMerge/>
          </w:tcPr>
          <w:p w14:paraId="07DAB279" w14:textId="77777777" w:rsidR="00DF71B6" w:rsidRPr="00930B72" w:rsidRDefault="00DF71B6" w:rsidP="004361E5">
            <w:pPr>
              <w:pStyle w:val="NoSpacing"/>
              <w:rPr>
                <w:sz w:val="16"/>
                <w:szCs w:val="16"/>
              </w:rPr>
            </w:pPr>
          </w:p>
        </w:tc>
        <w:tc>
          <w:tcPr>
            <w:tcW w:w="0" w:type="auto"/>
            <w:vMerge/>
          </w:tcPr>
          <w:p w14:paraId="6BFD7936" w14:textId="77777777" w:rsidR="00DF71B6" w:rsidRPr="00930B72" w:rsidRDefault="00DF71B6" w:rsidP="004361E5">
            <w:pPr>
              <w:pStyle w:val="NoSpacing"/>
              <w:rPr>
                <w:sz w:val="16"/>
                <w:szCs w:val="16"/>
              </w:rPr>
            </w:pPr>
          </w:p>
        </w:tc>
        <w:tc>
          <w:tcPr>
            <w:tcW w:w="0" w:type="auto"/>
          </w:tcPr>
          <w:p w14:paraId="762001BA" w14:textId="77777777" w:rsidR="00DF71B6" w:rsidRPr="00930B72" w:rsidRDefault="00DF71B6" w:rsidP="004361E5">
            <w:pPr>
              <w:pStyle w:val="NoSpacing"/>
              <w:rPr>
                <w:sz w:val="16"/>
                <w:szCs w:val="16"/>
              </w:rPr>
            </w:pPr>
            <w:r w:rsidRPr="00930B72">
              <w:rPr>
                <w:sz w:val="16"/>
                <w:szCs w:val="16"/>
              </w:rPr>
              <w:t>Some concerns</w:t>
            </w:r>
          </w:p>
        </w:tc>
        <w:tc>
          <w:tcPr>
            <w:tcW w:w="0" w:type="auto"/>
            <w:shd w:val="clear" w:color="auto" w:fill="FFFF00"/>
          </w:tcPr>
          <w:p w14:paraId="44EF392D" w14:textId="77777777" w:rsidR="00DF71B6" w:rsidRPr="00930B72" w:rsidRDefault="00DF71B6" w:rsidP="004361E5">
            <w:pPr>
              <w:pStyle w:val="NoSpacing"/>
              <w:jc w:val="center"/>
              <w:rPr>
                <w:sz w:val="16"/>
                <w:szCs w:val="16"/>
              </w:rPr>
            </w:pPr>
            <w:r w:rsidRPr="00930B72">
              <w:rPr>
                <w:b/>
                <w:bCs/>
                <w:sz w:val="16"/>
                <w:szCs w:val="16"/>
              </w:rPr>
              <w:t>--</w:t>
            </w:r>
          </w:p>
        </w:tc>
      </w:tr>
      <w:tr w:rsidR="00DF71B6" w:rsidRPr="00930B72" w14:paraId="57F11326" w14:textId="77777777" w:rsidTr="004361E5">
        <w:trPr>
          <w:trHeight w:val="390"/>
          <w:jc w:val="right"/>
        </w:trPr>
        <w:tc>
          <w:tcPr>
            <w:tcW w:w="0" w:type="auto"/>
            <w:vMerge/>
          </w:tcPr>
          <w:p w14:paraId="1E127775" w14:textId="77777777" w:rsidR="00DF71B6" w:rsidRPr="00930B72" w:rsidRDefault="00DF71B6" w:rsidP="004361E5">
            <w:pPr>
              <w:pStyle w:val="NoSpacing"/>
              <w:rPr>
                <w:sz w:val="16"/>
                <w:szCs w:val="16"/>
              </w:rPr>
            </w:pPr>
          </w:p>
        </w:tc>
        <w:tc>
          <w:tcPr>
            <w:tcW w:w="0" w:type="auto"/>
            <w:vMerge/>
          </w:tcPr>
          <w:p w14:paraId="457D7BA0" w14:textId="77777777" w:rsidR="00DF71B6" w:rsidRPr="00930B72" w:rsidRDefault="00DF71B6" w:rsidP="004361E5">
            <w:pPr>
              <w:pStyle w:val="NoSpacing"/>
              <w:rPr>
                <w:sz w:val="16"/>
                <w:szCs w:val="16"/>
              </w:rPr>
            </w:pPr>
          </w:p>
        </w:tc>
        <w:tc>
          <w:tcPr>
            <w:tcW w:w="0" w:type="auto"/>
          </w:tcPr>
          <w:p w14:paraId="79FC84D6" w14:textId="77777777" w:rsidR="00DF71B6" w:rsidRPr="00930B72" w:rsidRDefault="00DF71B6" w:rsidP="004361E5">
            <w:pPr>
              <w:pStyle w:val="NoSpacing"/>
              <w:rPr>
                <w:sz w:val="16"/>
                <w:szCs w:val="16"/>
              </w:rPr>
            </w:pPr>
            <w:r w:rsidRPr="00930B72">
              <w:rPr>
                <w:sz w:val="16"/>
                <w:szCs w:val="16"/>
              </w:rPr>
              <w:t>High risk</w:t>
            </w:r>
          </w:p>
        </w:tc>
        <w:tc>
          <w:tcPr>
            <w:tcW w:w="0" w:type="auto"/>
            <w:shd w:val="clear" w:color="auto" w:fill="FF0000"/>
          </w:tcPr>
          <w:p w14:paraId="6780EC2B" w14:textId="77777777" w:rsidR="00DF71B6" w:rsidRPr="00930B72" w:rsidRDefault="00DF71B6" w:rsidP="004361E5">
            <w:pPr>
              <w:pStyle w:val="NoSpacing"/>
              <w:jc w:val="center"/>
              <w:rPr>
                <w:sz w:val="16"/>
                <w:szCs w:val="16"/>
              </w:rPr>
            </w:pPr>
            <w:r w:rsidRPr="00930B72">
              <w:rPr>
                <w:b/>
                <w:bCs/>
                <w:sz w:val="16"/>
                <w:szCs w:val="16"/>
              </w:rPr>
              <w:t>x</w:t>
            </w:r>
          </w:p>
        </w:tc>
      </w:tr>
    </w:tbl>
    <w:p w14:paraId="5678775D" w14:textId="77777777" w:rsidR="00DF71B6" w:rsidRDefault="00DF71B6" w:rsidP="00DF71B6">
      <w:pPr>
        <w:rPr>
          <w:szCs w:val="20"/>
        </w:rPr>
      </w:pPr>
    </w:p>
    <w:p w14:paraId="66880D77" w14:textId="77777777" w:rsidR="00DF71B6" w:rsidRDefault="00DF71B6" w:rsidP="00DF71B6">
      <w:pPr>
        <w:rPr>
          <w:szCs w:val="20"/>
        </w:rPr>
      </w:pPr>
    </w:p>
    <w:p w14:paraId="0158C7BF" w14:textId="68551A52" w:rsidR="00BB0D21" w:rsidRPr="009B4D43" w:rsidRDefault="00BB0D21" w:rsidP="00BB0D21">
      <w:pPr>
        <w:jc w:val="both"/>
        <w:sectPr w:rsidR="00BB0D21" w:rsidRPr="009B4D43" w:rsidSect="00AA7189">
          <w:pgSz w:w="16838" w:h="11906" w:orient="landscape"/>
          <w:pgMar w:top="1440" w:right="1440" w:bottom="1440" w:left="1440" w:header="708" w:footer="708" w:gutter="0"/>
          <w:cols w:space="708"/>
          <w:docGrid w:linePitch="360"/>
        </w:sectPr>
      </w:pPr>
    </w:p>
    <w:p w14:paraId="45F38CEE" w14:textId="3EA708A8" w:rsidR="00BB0D21" w:rsidRPr="009B4D43" w:rsidRDefault="00BB0D21" w:rsidP="00BB0D21">
      <w:pPr>
        <w:pStyle w:val="Heading1"/>
      </w:pPr>
      <w:bookmarkStart w:id="335" w:name="_Toc96361319"/>
      <w:bookmarkStart w:id="336" w:name="_Toc165018255"/>
      <w:r w:rsidRPr="0010299E">
        <w:lastRenderedPageBreak/>
        <w:t>Appendix 9: GRADE Certainty of Evidence Summar</w:t>
      </w:r>
      <w:bookmarkEnd w:id="335"/>
      <w:r w:rsidR="008873AC" w:rsidRPr="0010299E">
        <w:t>ies</w:t>
      </w:r>
      <w:bookmarkEnd w:id="336"/>
    </w:p>
    <w:tbl>
      <w:tblPr>
        <w:tblStyle w:val="GridTable4-Accent5"/>
        <w:tblW w:w="5000" w:type="pct"/>
        <w:tblLook w:val="04A0" w:firstRow="1" w:lastRow="0" w:firstColumn="1" w:lastColumn="0" w:noHBand="0" w:noVBand="1"/>
      </w:tblPr>
      <w:tblGrid>
        <w:gridCol w:w="2035"/>
        <w:gridCol w:w="1986"/>
        <w:gridCol w:w="1986"/>
        <w:gridCol w:w="1986"/>
        <w:gridCol w:w="1986"/>
        <w:gridCol w:w="1986"/>
        <w:gridCol w:w="1983"/>
      </w:tblGrid>
      <w:tr w:rsidR="0009765B" w:rsidRPr="009B4D43" w14:paraId="2BAC7DBD" w14:textId="77777777" w:rsidTr="003A54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9" w:type="pct"/>
          </w:tcPr>
          <w:p w14:paraId="165DA13B" w14:textId="77777777" w:rsidR="0009765B" w:rsidRDefault="0009765B" w:rsidP="0009765B">
            <w:pPr>
              <w:jc w:val="center"/>
            </w:pPr>
            <w:r>
              <w:t xml:space="preserve">Intervention </w:t>
            </w:r>
          </w:p>
          <w:p w14:paraId="2B725630" w14:textId="16A56705" w:rsidR="0009765B" w:rsidRPr="009B4D43" w:rsidRDefault="0009765B" w:rsidP="0009765B">
            <w:pPr>
              <w:jc w:val="center"/>
              <w:rPr>
                <w:rFonts w:cstheme="minorHAnsi"/>
                <w:szCs w:val="20"/>
              </w:rPr>
            </w:pPr>
            <w:r>
              <w:t>(</w:t>
            </w:r>
            <w:r w:rsidR="006707B4">
              <w:t>n</w:t>
            </w:r>
            <w:r>
              <w:t>o. of studies)</w:t>
            </w:r>
          </w:p>
        </w:tc>
        <w:tc>
          <w:tcPr>
            <w:tcW w:w="712" w:type="pct"/>
          </w:tcPr>
          <w:p w14:paraId="7E2A3305" w14:textId="77777777" w:rsidR="0009765B" w:rsidRDefault="0009765B" w:rsidP="0009765B">
            <w:pPr>
              <w:jc w:val="center"/>
              <w:cnfStyle w:val="100000000000" w:firstRow="1" w:lastRow="0" w:firstColumn="0" w:lastColumn="0" w:oddVBand="0" w:evenVBand="0" w:oddHBand="0" w:evenHBand="0" w:firstRowFirstColumn="0" w:firstRowLastColumn="0" w:lastRowFirstColumn="0" w:lastRowLastColumn="0"/>
            </w:pPr>
            <w:r>
              <w:t>Design</w:t>
            </w:r>
          </w:p>
          <w:p w14:paraId="5C613891" w14:textId="626DEB41" w:rsidR="00A64C06" w:rsidRPr="009B4D43" w:rsidRDefault="00A64C06" w:rsidP="0009765B">
            <w:pPr>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t>(</w:t>
            </w:r>
            <w:r w:rsidR="006707B4">
              <w:t>n</w:t>
            </w:r>
            <w:r>
              <w:t>o. of studies)</w:t>
            </w:r>
          </w:p>
        </w:tc>
        <w:tc>
          <w:tcPr>
            <w:tcW w:w="712" w:type="pct"/>
          </w:tcPr>
          <w:p w14:paraId="74F86601" w14:textId="11C003D9" w:rsidR="0009765B" w:rsidRDefault="000412DA" w:rsidP="0009765B">
            <w:pPr>
              <w:jc w:val="center"/>
              <w:cnfStyle w:val="100000000000" w:firstRow="1" w:lastRow="0" w:firstColumn="0" w:lastColumn="0" w:oddVBand="0" w:evenVBand="0" w:oddHBand="0" w:evenHBand="0" w:firstRowFirstColumn="0" w:firstRowLastColumn="0" w:lastRowFirstColumn="0" w:lastRowLastColumn="0"/>
            </w:pPr>
            <w:r>
              <w:t>R</w:t>
            </w:r>
            <w:r w:rsidR="006707B4">
              <w:t>oB</w:t>
            </w:r>
            <w:r>
              <w:t xml:space="preserve"> </w:t>
            </w:r>
            <w:r w:rsidR="0009765B">
              <w:t>Assessments</w:t>
            </w:r>
          </w:p>
          <w:p w14:paraId="18C3F74F" w14:textId="0E605E26" w:rsidR="00A64C06" w:rsidRPr="009B4D43" w:rsidRDefault="00A64C06" w:rsidP="0009765B">
            <w:pPr>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t>(</w:t>
            </w:r>
            <w:r w:rsidR="006707B4">
              <w:t>n</w:t>
            </w:r>
            <w:r>
              <w:t>o. of studies)</w:t>
            </w:r>
          </w:p>
        </w:tc>
        <w:tc>
          <w:tcPr>
            <w:tcW w:w="712" w:type="pct"/>
          </w:tcPr>
          <w:p w14:paraId="30F34301" w14:textId="5BAEE5AD" w:rsidR="0009765B" w:rsidRPr="009B4D43" w:rsidRDefault="0009765B" w:rsidP="0009765B">
            <w:pPr>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t>Precision and Consistency</w:t>
            </w:r>
          </w:p>
        </w:tc>
        <w:tc>
          <w:tcPr>
            <w:tcW w:w="712" w:type="pct"/>
          </w:tcPr>
          <w:p w14:paraId="7F5E44C4" w14:textId="5FAE16C8" w:rsidR="0009765B" w:rsidRPr="009B4D43" w:rsidRDefault="0009765B" w:rsidP="0009765B">
            <w:pPr>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t>Directness</w:t>
            </w:r>
          </w:p>
        </w:tc>
        <w:tc>
          <w:tcPr>
            <w:tcW w:w="712" w:type="pct"/>
          </w:tcPr>
          <w:p w14:paraId="5E811760" w14:textId="34ACEDF1" w:rsidR="0009765B" w:rsidRPr="009B4D43" w:rsidRDefault="0009765B" w:rsidP="0009765B">
            <w:pPr>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t>Publication Bias</w:t>
            </w:r>
          </w:p>
        </w:tc>
        <w:tc>
          <w:tcPr>
            <w:tcW w:w="711" w:type="pct"/>
          </w:tcPr>
          <w:p w14:paraId="196AA79A" w14:textId="220881C4" w:rsidR="0009765B" w:rsidRPr="009B4D43" w:rsidRDefault="0009765B" w:rsidP="0009765B">
            <w:pPr>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t>GRADE Summary</w:t>
            </w:r>
            <w:r w:rsidRPr="00996BC7">
              <w:rPr>
                <w:vertAlign w:val="superscript"/>
              </w:rPr>
              <w:t>1</w:t>
            </w:r>
            <w:r w:rsidR="000773F9">
              <w:rPr>
                <w:vertAlign w:val="superscript"/>
              </w:rPr>
              <w:t>,2</w:t>
            </w:r>
          </w:p>
        </w:tc>
      </w:tr>
      <w:tr w:rsidR="00B324ED" w14:paraId="4F54CB61" w14:textId="77777777" w:rsidTr="00B32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pct"/>
          </w:tcPr>
          <w:p w14:paraId="62283650" w14:textId="748E73AE" w:rsidR="00DC672A" w:rsidRDefault="00B324ED" w:rsidP="00F62917">
            <w:pPr>
              <w:jc w:val="center"/>
              <w:rPr>
                <w:rFonts w:cstheme="minorHAnsi"/>
                <w:bCs w:val="0"/>
              </w:rPr>
            </w:pPr>
            <w:r w:rsidRPr="00374A8F">
              <w:rPr>
                <w:rFonts w:cstheme="minorHAnsi"/>
                <w:b w:val="0"/>
              </w:rPr>
              <w:t>Natural or synthetic cannabidiol (CBD)</w:t>
            </w:r>
          </w:p>
          <w:p w14:paraId="472E3FEA" w14:textId="02C88879" w:rsidR="00B324ED" w:rsidRPr="00374A8F" w:rsidRDefault="00B324ED" w:rsidP="00F62917">
            <w:pPr>
              <w:jc w:val="center"/>
              <w:rPr>
                <w:rFonts w:cstheme="minorHAnsi"/>
                <w:b w:val="0"/>
                <w:bCs w:val="0"/>
              </w:rPr>
            </w:pPr>
            <w:r w:rsidRPr="00374A8F">
              <w:rPr>
                <w:rFonts w:cstheme="minorHAnsi"/>
                <w:b w:val="0"/>
              </w:rPr>
              <w:t>(6)</w:t>
            </w:r>
          </w:p>
        </w:tc>
        <w:tc>
          <w:tcPr>
            <w:tcW w:w="712" w:type="pct"/>
          </w:tcPr>
          <w:p w14:paraId="5456CC33" w14:textId="77777777" w:rsidR="00B324ED" w:rsidRDefault="00B324ED" w:rsidP="00B324ED">
            <w:pPr>
              <w:jc w:val="center"/>
              <w:cnfStyle w:val="000000100000" w:firstRow="0" w:lastRow="0" w:firstColumn="0" w:lastColumn="0" w:oddVBand="0" w:evenVBand="0" w:oddHBand="1" w:evenHBand="0" w:firstRowFirstColumn="0" w:firstRowLastColumn="0" w:lastRowFirstColumn="0" w:lastRowLastColumn="0"/>
            </w:pPr>
            <w:r>
              <w:t xml:space="preserve">Parallel arm </w:t>
            </w:r>
            <w:r w:rsidRPr="00D27670">
              <w:t>RCT (</w:t>
            </w:r>
            <w:r>
              <w:t>5</w:t>
            </w:r>
            <w:r w:rsidRPr="00D27670">
              <w:t>)</w:t>
            </w:r>
          </w:p>
          <w:p w14:paraId="20E4925A" w14:textId="77777777" w:rsidR="00B324ED" w:rsidRDefault="00B324ED" w:rsidP="00B324ED">
            <w:pPr>
              <w:jc w:val="center"/>
              <w:cnfStyle w:val="000000100000" w:firstRow="0" w:lastRow="0" w:firstColumn="0" w:lastColumn="0" w:oddVBand="0" w:evenVBand="0" w:oddHBand="1" w:evenHBand="0" w:firstRowFirstColumn="0" w:firstRowLastColumn="0" w:lastRowFirstColumn="0" w:lastRowLastColumn="0"/>
            </w:pPr>
            <w:r>
              <w:t>Crossover RCT (1)</w:t>
            </w:r>
          </w:p>
        </w:tc>
        <w:tc>
          <w:tcPr>
            <w:tcW w:w="712" w:type="pct"/>
          </w:tcPr>
          <w:p w14:paraId="7194EEC1" w14:textId="7B27884A" w:rsidR="00707F2C" w:rsidRDefault="00B324ED" w:rsidP="00B324ED">
            <w:pPr>
              <w:jc w:val="center"/>
              <w:cnfStyle w:val="000000100000" w:firstRow="0" w:lastRow="0" w:firstColumn="0" w:lastColumn="0" w:oddVBand="0" w:evenVBand="0" w:oddHBand="1" w:evenHBand="0" w:firstRowFirstColumn="0" w:firstRowLastColumn="0" w:lastRowFirstColumn="0" w:lastRowLastColumn="0"/>
            </w:pPr>
            <w:r w:rsidRPr="00D27670">
              <w:t>S</w:t>
            </w:r>
            <w:r>
              <w:t>erious</w:t>
            </w:r>
            <w:r w:rsidRPr="00D27670">
              <w:t xml:space="preserve"> </w:t>
            </w:r>
          </w:p>
          <w:p w14:paraId="7BCF47A8" w14:textId="5C8D24B1" w:rsidR="00B324ED" w:rsidRDefault="00F66AA5" w:rsidP="00B324ED">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szCs w:val="20"/>
              </w:rPr>
              <w:t>(</w:t>
            </w:r>
            <w:r w:rsidR="0004604E">
              <w:rPr>
                <w:rFonts w:ascii="Calibri" w:hAnsi="Calibri" w:cs="Calibri"/>
                <w:szCs w:val="20"/>
              </w:rPr>
              <w:t>5</w:t>
            </w:r>
            <w:r>
              <w:rPr>
                <w:rFonts w:ascii="Calibri" w:hAnsi="Calibri" w:cs="Calibri"/>
                <w:szCs w:val="20"/>
              </w:rPr>
              <w:t xml:space="preserve"> high risk; </w:t>
            </w:r>
            <w:r w:rsidR="007E7CB5">
              <w:rPr>
                <w:rFonts w:ascii="Calibri" w:hAnsi="Calibri" w:cs="Calibri"/>
                <w:szCs w:val="20"/>
              </w:rPr>
              <w:t>0</w:t>
            </w:r>
            <w:r>
              <w:rPr>
                <w:rFonts w:ascii="Calibri" w:hAnsi="Calibri" w:cs="Calibri"/>
                <w:szCs w:val="20"/>
              </w:rPr>
              <w:t xml:space="preserve"> some concerns</w:t>
            </w:r>
            <w:r w:rsidR="00BF7AB4">
              <w:rPr>
                <w:rFonts w:ascii="Calibri" w:hAnsi="Calibri" w:cs="Calibri"/>
                <w:szCs w:val="20"/>
              </w:rPr>
              <w:t xml:space="preserve">; </w:t>
            </w:r>
            <w:r w:rsidR="007E7CB5">
              <w:rPr>
                <w:rFonts w:ascii="Calibri" w:hAnsi="Calibri" w:cs="Calibri"/>
                <w:szCs w:val="20"/>
              </w:rPr>
              <w:t>1</w:t>
            </w:r>
            <w:r w:rsidR="00BF7AB4">
              <w:rPr>
                <w:rFonts w:ascii="Calibri" w:hAnsi="Calibri" w:cs="Calibri"/>
                <w:szCs w:val="20"/>
              </w:rPr>
              <w:t xml:space="preserve"> low risk</w:t>
            </w:r>
            <w:r>
              <w:rPr>
                <w:rFonts w:ascii="Calibri" w:hAnsi="Calibri" w:cs="Calibri"/>
                <w:szCs w:val="20"/>
              </w:rPr>
              <w:t>)</w:t>
            </w:r>
          </w:p>
        </w:tc>
        <w:tc>
          <w:tcPr>
            <w:tcW w:w="712" w:type="pct"/>
          </w:tcPr>
          <w:p w14:paraId="59FCE460" w14:textId="0B36388E" w:rsidR="00B324ED" w:rsidRPr="00560A75" w:rsidRDefault="00B324ED" w:rsidP="00B324ED">
            <w:pPr>
              <w:jc w:val="center"/>
              <w:cnfStyle w:val="000000100000" w:firstRow="0" w:lastRow="0" w:firstColumn="0" w:lastColumn="0" w:oddVBand="0" w:evenVBand="0" w:oddHBand="1" w:evenHBand="0" w:firstRowFirstColumn="0" w:firstRowLastColumn="0" w:lastRowFirstColumn="0" w:lastRowLastColumn="0"/>
            </w:pPr>
            <w:r>
              <w:t>Serious</w:t>
            </w:r>
          </w:p>
        </w:tc>
        <w:tc>
          <w:tcPr>
            <w:tcW w:w="712" w:type="pct"/>
          </w:tcPr>
          <w:p w14:paraId="55D229E4" w14:textId="1F81F3C1" w:rsidR="00B324ED" w:rsidRDefault="00B324ED" w:rsidP="00B324ED">
            <w:pPr>
              <w:jc w:val="center"/>
              <w:cnfStyle w:val="000000100000" w:firstRow="0" w:lastRow="0" w:firstColumn="0" w:lastColumn="0" w:oddVBand="0" w:evenVBand="0" w:oddHBand="1" w:evenHBand="0" w:firstRowFirstColumn="0" w:firstRowLastColumn="0" w:lastRowFirstColumn="0" w:lastRowLastColumn="0"/>
            </w:pPr>
            <w:r>
              <w:t>No</w:t>
            </w:r>
            <w:r w:rsidR="005A4227">
              <w:t>t</w:t>
            </w:r>
            <w:r>
              <w:t xml:space="preserve"> serious, borderline</w:t>
            </w:r>
          </w:p>
        </w:tc>
        <w:tc>
          <w:tcPr>
            <w:tcW w:w="712" w:type="pct"/>
          </w:tcPr>
          <w:p w14:paraId="7A9DE2B2" w14:textId="40787F38" w:rsidR="00B324ED" w:rsidRDefault="00B324ED" w:rsidP="00B324ED">
            <w:pPr>
              <w:jc w:val="center"/>
              <w:cnfStyle w:val="000000100000" w:firstRow="0" w:lastRow="0" w:firstColumn="0" w:lastColumn="0" w:oddVBand="0" w:evenVBand="0" w:oddHBand="1" w:evenHBand="0" w:firstRowFirstColumn="0" w:firstRowLastColumn="0" w:lastRowFirstColumn="0" w:lastRowLastColumn="0"/>
            </w:pPr>
            <w:r>
              <w:t>Not suspected</w:t>
            </w:r>
            <w:r w:rsidR="003C248B">
              <w:t>, pending further analysis</w:t>
            </w:r>
          </w:p>
        </w:tc>
        <w:tc>
          <w:tcPr>
            <w:tcW w:w="711" w:type="pct"/>
          </w:tcPr>
          <w:p w14:paraId="160EC2D3" w14:textId="013B775B" w:rsidR="00B324ED" w:rsidRDefault="00B324ED" w:rsidP="00B324ED">
            <w:pPr>
              <w:jc w:val="center"/>
              <w:cnfStyle w:val="000000100000" w:firstRow="0" w:lastRow="0" w:firstColumn="0" w:lastColumn="0" w:oddVBand="0" w:evenVBand="0" w:oddHBand="1" w:evenHBand="0" w:firstRowFirstColumn="0" w:firstRowLastColumn="0" w:lastRowFirstColumn="0" w:lastRowLastColumn="0"/>
            </w:pPr>
            <w:r w:rsidRPr="00614981">
              <w:t>Very</w:t>
            </w:r>
            <w:r>
              <w:t xml:space="preserve"> Low </w:t>
            </w:r>
            <w:r w:rsidRPr="00162E0C">
              <w:rPr>
                <w:rFonts w:ascii="Cambria Math" w:hAnsi="Cambria Math" w:cs="Cambria Math"/>
              </w:rPr>
              <w:t>⊕</w:t>
            </w:r>
          </w:p>
        </w:tc>
      </w:tr>
      <w:tr w:rsidR="00B324ED" w14:paraId="429BB35F" w14:textId="77777777" w:rsidTr="00B324ED">
        <w:tc>
          <w:tcPr>
            <w:cnfStyle w:val="001000000000" w:firstRow="0" w:lastRow="0" w:firstColumn="1" w:lastColumn="0" w:oddVBand="0" w:evenVBand="0" w:oddHBand="0" w:evenHBand="0" w:firstRowFirstColumn="0" w:firstRowLastColumn="0" w:lastRowFirstColumn="0" w:lastRowLastColumn="0"/>
            <w:tcW w:w="729" w:type="pct"/>
          </w:tcPr>
          <w:p w14:paraId="3AE937F8" w14:textId="458D6263" w:rsidR="00DC672A" w:rsidRDefault="00B324ED" w:rsidP="00F62917">
            <w:pPr>
              <w:jc w:val="center"/>
              <w:rPr>
                <w:rFonts w:cstheme="minorHAnsi"/>
                <w:bCs w:val="0"/>
              </w:rPr>
            </w:pPr>
            <w:r w:rsidRPr="00AA3724">
              <w:rPr>
                <w:rFonts w:cstheme="minorHAnsi"/>
                <w:b w:val="0"/>
              </w:rPr>
              <w:t>Natural cannabis extract (THC</w:t>
            </w:r>
            <w:r>
              <w:rPr>
                <w:rFonts w:cstheme="minorHAnsi"/>
                <w:b w:val="0"/>
              </w:rPr>
              <w:t>+CBD</w:t>
            </w:r>
            <w:r w:rsidRPr="00AA3724">
              <w:rPr>
                <w:rFonts w:cstheme="minorHAnsi"/>
                <w:b w:val="0"/>
              </w:rPr>
              <w:t>)</w:t>
            </w:r>
          </w:p>
          <w:p w14:paraId="030B20F5" w14:textId="2940EDA2" w:rsidR="00B324ED" w:rsidRPr="00AA3724" w:rsidRDefault="00B324ED" w:rsidP="00F62917">
            <w:pPr>
              <w:jc w:val="center"/>
              <w:rPr>
                <w:b w:val="0"/>
              </w:rPr>
            </w:pPr>
            <w:r w:rsidRPr="00AA3724">
              <w:rPr>
                <w:rFonts w:cstheme="minorHAnsi"/>
                <w:b w:val="0"/>
              </w:rPr>
              <w:t>(2)</w:t>
            </w:r>
          </w:p>
        </w:tc>
        <w:tc>
          <w:tcPr>
            <w:tcW w:w="712" w:type="pct"/>
          </w:tcPr>
          <w:p w14:paraId="5CFC0CE0" w14:textId="77777777" w:rsidR="00B324ED" w:rsidRPr="00AA3724" w:rsidRDefault="00B324ED" w:rsidP="00B324ED">
            <w:pPr>
              <w:jc w:val="center"/>
              <w:cnfStyle w:val="000000000000" w:firstRow="0" w:lastRow="0" w:firstColumn="0" w:lastColumn="0" w:oddVBand="0" w:evenVBand="0" w:oddHBand="0" w:evenHBand="0" w:firstRowFirstColumn="0" w:firstRowLastColumn="0" w:lastRowFirstColumn="0" w:lastRowLastColumn="0"/>
            </w:pPr>
            <w:r w:rsidRPr="00AA3724">
              <w:t>Parallel arm RCT (2)</w:t>
            </w:r>
          </w:p>
        </w:tc>
        <w:tc>
          <w:tcPr>
            <w:tcW w:w="712" w:type="pct"/>
          </w:tcPr>
          <w:p w14:paraId="1FFCF478" w14:textId="42A1FE56" w:rsidR="00707F2C" w:rsidRDefault="00BF7AB4" w:rsidP="00B324ED">
            <w:pPr>
              <w:jc w:val="center"/>
              <w:cnfStyle w:val="000000000000" w:firstRow="0" w:lastRow="0" w:firstColumn="0" w:lastColumn="0" w:oddVBand="0" w:evenVBand="0" w:oddHBand="0" w:evenHBand="0" w:firstRowFirstColumn="0" w:firstRowLastColumn="0" w:lastRowFirstColumn="0" w:lastRowLastColumn="0"/>
            </w:pPr>
            <w:r>
              <w:t>Very serious</w:t>
            </w:r>
            <w:r w:rsidR="00F66AA5">
              <w:t xml:space="preserve"> </w:t>
            </w:r>
          </w:p>
          <w:p w14:paraId="4C86DE38" w14:textId="19D51E6D" w:rsidR="00B324ED" w:rsidRPr="00AA3724" w:rsidRDefault="00F66AA5" w:rsidP="00B324E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Cs w:val="20"/>
              </w:rPr>
              <w:t xml:space="preserve">(2 </w:t>
            </w:r>
            <w:r w:rsidR="00BF7AB4">
              <w:rPr>
                <w:rFonts w:ascii="Calibri" w:hAnsi="Calibri" w:cs="Calibri"/>
                <w:szCs w:val="20"/>
              </w:rPr>
              <w:t xml:space="preserve">high risk; 0 </w:t>
            </w:r>
            <w:r>
              <w:rPr>
                <w:rFonts w:ascii="Calibri" w:hAnsi="Calibri" w:cs="Calibri"/>
                <w:szCs w:val="20"/>
              </w:rPr>
              <w:t>some concerns</w:t>
            </w:r>
            <w:r w:rsidR="00BF7AB4">
              <w:rPr>
                <w:rFonts w:ascii="Calibri" w:hAnsi="Calibri" w:cs="Calibri"/>
                <w:szCs w:val="20"/>
              </w:rPr>
              <w:t>; 0 low risk</w:t>
            </w:r>
            <w:r>
              <w:rPr>
                <w:rFonts w:ascii="Calibri" w:hAnsi="Calibri" w:cs="Calibri"/>
                <w:szCs w:val="20"/>
              </w:rPr>
              <w:t>)</w:t>
            </w:r>
          </w:p>
        </w:tc>
        <w:tc>
          <w:tcPr>
            <w:tcW w:w="712" w:type="pct"/>
          </w:tcPr>
          <w:p w14:paraId="6D07E9F3" w14:textId="278767E9" w:rsidR="00B324ED" w:rsidRPr="00AA3724" w:rsidRDefault="00004263" w:rsidP="00B324ED">
            <w:pPr>
              <w:jc w:val="center"/>
              <w:cnfStyle w:val="000000000000" w:firstRow="0" w:lastRow="0" w:firstColumn="0" w:lastColumn="0" w:oddVBand="0" w:evenVBand="0" w:oddHBand="0" w:evenHBand="0" w:firstRowFirstColumn="0" w:firstRowLastColumn="0" w:lastRowFirstColumn="0" w:lastRowLastColumn="0"/>
            </w:pPr>
            <w:r>
              <w:t>S</w:t>
            </w:r>
            <w:r w:rsidR="00B324ED" w:rsidRPr="00AA3724">
              <w:t>erious</w:t>
            </w:r>
          </w:p>
        </w:tc>
        <w:tc>
          <w:tcPr>
            <w:tcW w:w="712" w:type="pct"/>
          </w:tcPr>
          <w:p w14:paraId="63A706C9" w14:textId="10AA2200" w:rsidR="00B324ED" w:rsidRPr="00AA3724" w:rsidRDefault="00B324ED" w:rsidP="00B324ED">
            <w:pPr>
              <w:jc w:val="center"/>
              <w:cnfStyle w:val="000000000000" w:firstRow="0" w:lastRow="0" w:firstColumn="0" w:lastColumn="0" w:oddVBand="0" w:evenVBand="0" w:oddHBand="0" w:evenHBand="0" w:firstRowFirstColumn="0" w:firstRowLastColumn="0" w:lastRowFirstColumn="0" w:lastRowLastColumn="0"/>
            </w:pPr>
            <w:r w:rsidRPr="00AA3724">
              <w:t>No</w:t>
            </w:r>
            <w:r w:rsidR="005A4227">
              <w:t>t</w:t>
            </w:r>
            <w:r w:rsidRPr="00AA3724">
              <w:t xml:space="preserve"> serious</w:t>
            </w:r>
          </w:p>
        </w:tc>
        <w:tc>
          <w:tcPr>
            <w:tcW w:w="712" w:type="pct"/>
          </w:tcPr>
          <w:p w14:paraId="19BC426F" w14:textId="77777777" w:rsidR="00B324ED" w:rsidRPr="00AA3724" w:rsidRDefault="00B324ED" w:rsidP="00B324ED">
            <w:pPr>
              <w:jc w:val="center"/>
              <w:cnfStyle w:val="000000000000" w:firstRow="0" w:lastRow="0" w:firstColumn="0" w:lastColumn="0" w:oddVBand="0" w:evenVBand="0" w:oddHBand="0" w:evenHBand="0" w:firstRowFirstColumn="0" w:firstRowLastColumn="0" w:lastRowFirstColumn="0" w:lastRowLastColumn="0"/>
            </w:pPr>
            <w:r w:rsidRPr="00AA3724">
              <w:t>Not suspected</w:t>
            </w:r>
          </w:p>
        </w:tc>
        <w:tc>
          <w:tcPr>
            <w:tcW w:w="711" w:type="pct"/>
          </w:tcPr>
          <w:p w14:paraId="664D6800" w14:textId="6A315EA6" w:rsidR="00B324ED" w:rsidRPr="00AA3724" w:rsidRDefault="00BF7AB4" w:rsidP="00BF7AB4">
            <w:pPr>
              <w:jc w:val="center"/>
              <w:cnfStyle w:val="000000000000" w:firstRow="0" w:lastRow="0" w:firstColumn="0" w:lastColumn="0" w:oddVBand="0" w:evenVBand="0" w:oddHBand="0" w:evenHBand="0" w:firstRowFirstColumn="0" w:firstRowLastColumn="0" w:lastRowFirstColumn="0" w:lastRowLastColumn="0"/>
            </w:pPr>
            <w:r>
              <w:t>Very Low</w:t>
            </w:r>
            <w:r w:rsidR="004C2413" w:rsidRPr="00AA3724">
              <w:t xml:space="preserve"> </w:t>
            </w:r>
            <w:r w:rsidR="00B324ED" w:rsidRPr="00AA3724">
              <w:rPr>
                <w:rFonts w:ascii="Cambria Math" w:hAnsi="Cambria Math" w:cs="Cambria Math"/>
              </w:rPr>
              <w:t>⊕</w:t>
            </w:r>
          </w:p>
        </w:tc>
      </w:tr>
      <w:tr w:rsidR="00B324ED" w14:paraId="79634BD3" w14:textId="77777777" w:rsidTr="00B32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pct"/>
          </w:tcPr>
          <w:p w14:paraId="051953DA" w14:textId="070FF72B" w:rsidR="00DC672A" w:rsidRDefault="00B324ED" w:rsidP="00F62917">
            <w:pPr>
              <w:jc w:val="center"/>
              <w:rPr>
                <w:rFonts w:cstheme="minorHAnsi"/>
              </w:rPr>
            </w:pPr>
            <w:r w:rsidRPr="007D668F">
              <w:rPr>
                <w:rFonts w:cstheme="minorHAnsi"/>
                <w:b w:val="0"/>
                <w:bCs w:val="0"/>
              </w:rPr>
              <w:t xml:space="preserve">Dried cannabis </w:t>
            </w:r>
            <w:r w:rsidR="00803B2D">
              <w:rPr>
                <w:rFonts w:cstheme="minorHAnsi"/>
                <w:b w:val="0"/>
                <w:bCs w:val="0"/>
              </w:rPr>
              <w:t>(</w:t>
            </w:r>
            <w:r w:rsidRPr="007D668F">
              <w:rPr>
                <w:rFonts w:cstheme="minorHAnsi"/>
                <w:b w:val="0"/>
                <w:bCs w:val="0"/>
              </w:rPr>
              <w:t>THC</w:t>
            </w:r>
            <w:r w:rsidR="00EB3A5A">
              <w:rPr>
                <w:rFonts w:cstheme="minorHAnsi"/>
                <w:b w:val="0"/>
                <w:bCs w:val="0"/>
              </w:rPr>
              <w:t>±</w:t>
            </w:r>
            <w:r w:rsidRPr="007D668F">
              <w:rPr>
                <w:rFonts w:cstheme="minorHAnsi"/>
                <w:b w:val="0"/>
                <w:bCs w:val="0"/>
              </w:rPr>
              <w:t>CBD</w:t>
            </w:r>
            <w:r w:rsidR="00803B2D">
              <w:rPr>
                <w:rFonts w:cstheme="minorHAnsi"/>
                <w:b w:val="0"/>
                <w:bCs w:val="0"/>
              </w:rPr>
              <w:t>)</w:t>
            </w:r>
          </w:p>
          <w:p w14:paraId="4568059E" w14:textId="5365D7EC" w:rsidR="00B324ED" w:rsidRPr="007D668F" w:rsidRDefault="00B324ED" w:rsidP="00F62917">
            <w:pPr>
              <w:jc w:val="center"/>
              <w:rPr>
                <w:rFonts w:cstheme="minorHAnsi"/>
                <w:b w:val="0"/>
                <w:bCs w:val="0"/>
              </w:rPr>
            </w:pPr>
            <w:r w:rsidRPr="007D668F">
              <w:rPr>
                <w:rFonts w:cstheme="minorHAnsi"/>
                <w:b w:val="0"/>
                <w:bCs w:val="0"/>
              </w:rPr>
              <w:t>(</w:t>
            </w:r>
            <w:r>
              <w:rPr>
                <w:rFonts w:cstheme="minorHAnsi"/>
                <w:b w:val="0"/>
                <w:bCs w:val="0"/>
              </w:rPr>
              <w:t>2</w:t>
            </w:r>
            <w:r w:rsidRPr="007D668F">
              <w:rPr>
                <w:rFonts w:cstheme="minorHAnsi"/>
                <w:b w:val="0"/>
                <w:bCs w:val="0"/>
              </w:rPr>
              <w:t>)</w:t>
            </w:r>
          </w:p>
        </w:tc>
        <w:tc>
          <w:tcPr>
            <w:tcW w:w="712" w:type="pct"/>
          </w:tcPr>
          <w:p w14:paraId="42AC62BA" w14:textId="3520EABC" w:rsidR="00B324ED" w:rsidRPr="009D24CF" w:rsidRDefault="00B324ED" w:rsidP="00B324ED">
            <w:pPr>
              <w:jc w:val="center"/>
              <w:cnfStyle w:val="000000100000" w:firstRow="0" w:lastRow="0" w:firstColumn="0" w:lastColumn="0" w:oddVBand="0" w:evenVBand="0" w:oddHBand="1" w:evenHBand="0" w:firstRowFirstColumn="0" w:firstRowLastColumn="0" w:lastRowFirstColumn="0" w:lastRowLastColumn="0"/>
            </w:pPr>
            <w:r w:rsidRPr="005008E9">
              <w:t>Crossover RCT (</w:t>
            </w:r>
            <w:r>
              <w:t>2</w:t>
            </w:r>
            <w:r w:rsidRPr="005008E9">
              <w:t>)</w:t>
            </w:r>
          </w:p>
        </w:tc>
        <w:tc>
          <w:tcPr>
            <w:tcW w:w="712" w:type="pct"/>
          </w:tcPr>
          <w:p w14:paraId="0AE8E66E" w14:textId="703AFF30" w:rsidR="00707F2C" w:rsidRDefault="00B324ED" w:rsidP="00B324ED">
            <w:pPr>
              <w:jc w:val="center"/>
              <w:cnfStyle w:val="000000100000" w:firstRow="0" w:lastRow="0" w:firstColumn="0" w:lastColumn="0" w:oddVBand="0" w:evenVBand="0" w:oddHBand="1" w:evenHBand="0" w:firstRowFirstColumn="0" w:firstRowLastColumn="0" w:lastRowFirstColumn="0" w:lastRowLastColumn="0"/>
            </w:pPr>
            <w:r w:rsidRPr="00AB694E">
              <w:t xml:space="preserve">Serious </w:t>
            </w:r>
          </w:p>
          <w:p w14:paraId="6A545BB9" w14:textId="6605E32B" w:rsidR="00B324ED" w:rsidRPr="0010299E" w:rsidRDefault="00F66AA5" w:rsidP="00B324ED">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szCs w:val="20"/>
              </w:rPr>
              <w:t>(2 high risk</w:t>
            </w:r>
            <w:r w:rsidR="00BF7AB4">
              <w:rPr>
                <w:rFonts w:ascii="Calibri" w:hAnsi="Calibri" w:cs="Calibri"/>
                <w:szCs w:val="20"/>
              </w:rPr>
              <w:t>; 0 some concerns; 0 low risk</w:t>
            </w:r>
            <w:r>
              <w:rPr>
                <w:rFonts w:ascii="Calibri" w:hAnsi="Calibri" w:cs="Calibri"/>
                <w:szCs w:val="20"/>
              </w:rPr>
              <w:t>)</w:t>
            </w:r>
          </w:p>
        </w:tc>
        <w:tc>
          <w:tcPr>
            <w:tcW w:w="712" w:type="pct"/>
          </w:tcPr>
          <w:p w14:paraId="414FC676" w14:textId="225CD82A" w:rsidR="00B324ED" w:rsidRPr="0010299E" w:rsidRDefault="00B324ED" w:rsidP="00B324ED">
            <w:pPr>
              <w:jc w:val="center"/>
              <w:cnfStyle w:val="000000100000" w:firstRow="0" w:lastRow="0" w:firstColumn="0" w:lastColumn="0" w:oddVBand="0" w:evenVBand="0" w:oddHBand="1" w:evenHBand="0" w:firstRowFirstColumn="0" w:firstRowLastColumn="0" w:lastRowFirstColumn="0" w:lastRowLastColumn="0"/>
            </w:pPr>
            <w:r>
              <w:t>No</w:t>
            </w:r>
            <w:r w:rsidR="00BF7AB4">
              <w:t>t</w:t>
            </w:r>
            <w:r>
              <w:t xml:space="preserve"> serious</w:t>
            </w:r>
          </w:p>
        </w:tc>
        <w:tc>
          <w:tcPr>
            <w:tcW w:w="712" w:type="pct"/>
          </w:tcPr>
          <w:p w14:paraId="2C7D792E" w14:textId="7303C63D" w:rsidR="00B324ED" w:rsidRPr="00BA2B8B" w:rsidRDefault="00B324ED" w:rsidP="00B324ED">
            <w:pPr>
              <w:jc w:val="center"/>
              <w:cnfStyle w:val="000000100000" w:firstRow="0" w:lastRow="0" w:firstColumn="0" w:lastColumn="0" w:oddVBand="0" w:evenVBand="0" w:oddHBand="1" w:evenHBand="0" w:firstRowFirstColumn="0" w:firstRowLastColumn="0" w:lastRowFirstColumn="0" w:lastRowLastColumn="0"/>
            </w:pPr>
            <w:r>
              <w:t>S</w:t>
            </w:r>
            <w:r w:rsidRPr="00663B1F">
              <w:t>erious</w:t>
            </w:r>
          </w:p>
        </w:tc>
        <w:tc>
          <w:tcPr>
            <w:tcW w:w="712" w:type="pct"/>
          </w:tcPr>
          <w:p w14:paraId="649EAB28" w14:textId="27E76A5D" w:rsidR="00B324ED" w:rsidRPr="0010299E" w:rsidRDefault="00B324ED" w:rsidP="00B324ED">
            <w:pPr>
              <w:jc w:val="center"/>
              <w:cnfStyle w:val="000000100000" w:firstRow="0" w:lastRow="0" w:firstColumn="0" w:lastColumn="0" w:oddVBand="0" w:evenVBand="0" w:oddHBand="1" w:evenHBand="0" w:firstRowFirstColumn="0" w:firstRowLastColumn="0" w:lastRowFirstColumn="0" w:lastRowLastColumn="0"/>
            </w:pPr>
            <w:r w:rsidRPr="0010299E">
              <w:t>Not suspected</w:t>
            </w:r>
          </w:p>
        </w:tc>
        <w:tc>
          <w:tcPr>
            <w:tcW w:w="711" w:type="pct"/>
          </w:tcPr>
          <w:p w14:paraId="36190861" w14:textId="7A735855" w:rsidR="00B324ED" w:rsidRPr="0010299E" w:rsidRDefault="00B324ED" w:rsidP="00B324ED">
            <w:pPr>
              <w:jc w:val="center"/>
              <w:cnfStyle w:val="000000100000" w:firstRow="0" w:lastRow="0" w:firstColumn="0" w:lastColumn="0" w:oddVBand="0" w:evenVBand="0" w:oddHBand="1" w:evenHBand="0" w:firstRowFirstColumn="0" w:firstRowLastColumn="0" w:lastRowFirstColumn="0" w:lastRowLastColumn="0"/>
            </w:pPr>
            <w:r>
              <w:t>Very L</w:t>
            </w:r>
            <w:r w:rsidRPr="0010299E">
              <w:t xml:space="preserve">ow </w:t>
            </w:r>
            <w:r w:rsidRPr="0010299E">
              <w:rPr>
                <w:rFonts w:ascii="Cambria Math" w:hAnsi="Cambria Math" w:cs="Cambria Math"/>
              </w:rPr>
              <w:t>⊕</w:t>
            </w:r>
          </w:p>
        </w:tc>
      </w:tr>
      <w:tr w:rsidR="00B324ED" w14:paraId="1799E9E8" w14:textId="77777777" w:rsidTr="00B324ED">
        <w:tc>
          <w:tcPr>
            <w:cnfStyle w:val="001000000000" w:firstRow="0" w:lastRow="0" w:firstColumn="1" w:lastColumn="0" w:oddVBand="0" w:evenVBand="0" w:oddHBand="0" w:evenHBand="0" w:firstRowFirstColumn="0" w:firstRowLastColumn="0" w:lastRowFirstColumn="0" w:lastRowLastColumn="0"/>
            <w:tcW w:w="729" w:type="pct"/>
          </w:tcPr>
          <w:p w14:paraId="0350D4D4" w14:textId="3FF5917B" w:rsidR="00B324ED" w:rsidRDefault="00B324ED" w:rsidP="00D54E7B">
            <w:pPr>
              <w:jc w:val="center"/>
              <w:rPr>
                <w:bCs w:val="0"/>
              </w:rPr>
            </w:pPr>
            <w:r w:rsidRPr="00374A8F">
              <w:rPr>
                <w:b w:val="0"/>
              </w:rPr>
              <w:t>Synthetic cannabinoid</w:t>
            </w:r>
            <w:r>
              <w:rPr>
                <w:b w:val="0"/>
              </w:rPr>
              <w:t xml:space="preserve"> (THC)</w:t>
            </w:r>
          </w:p>
          <w:p w14:paraId="6A3D2883" w14:textId="3DE46D96" w:rsidR="00D54E7B" w:rsidRPr="00374A8F" w:rsidRDefault="00D54E7B" w:rsidP="00F62917">
            <w:pPr>
              <w:jc w:val="center"/>
              <w:rPr>
                <w:rFonts w:cstheme="minorHAnsi"/>
                <w:b w:val="0"/>
              </w:rPr>
            </w:pPr>
            <w:r>
              <w:rPr>
                <w:b w:val="0"/>
              </w:rPr>
              <w:t>(2)</w:t>
            </w:r>
          </w:p>
        </w:tc>
        <w:tc>
          <w:tcPr>
            <w:tcW w:w="712" w:type="pct"/>
          </w:tcPr>
          <w:p w14:paraId="47482419" w14:textId="77777777" w:rsidR="00B324ED" w:rsidRDefault="00B324ED" w:rsidP="00B324ED">
            <w:pPr>
              <w:jc w:val="center"/>
              <w:cnfStyle w:val="000000000000" w:firstRow="0" w:lastRow="0" w:firstColumn="0" w:lastColumn="0" w:oddVBand="0" w:evenVBand="0" w:oddHBand="0" w:evenHBand="0" w:firstRowFirstColumn="0" w:firstRowLastColumn="0" w:lastRowFirstColumn="0" w:lastRowLastColumn="0"/>
            </w:pPr>
            <w:r>
              <w:t>Parallel arm RCT (1)</w:t>
            </w:r>
          </w:p>
          <w:p w14:paraId="359DAC3F" w14:textId="77777777" w:rsidR="00B324ED" w:rsidRDefault="00B324ED" w:rsidP="00B324ED">
            <w:pPr>
              <w:jc w:val="center"/>
              <w:cnfStyle w:val="000000000000" w:firstRow="0" w:lastRow="0" w:firstColumn="0" w:lastColumn="0" w:oddVBand="0" w:evenVBand="0" w:oddHBand="0" w:evenHBand="0" w:firstRowFirstColumn="0" w:firstRowLastColumn="0" w:lastRowFirstColumn="0" w:lastRowLastColumn="0"/>
            </w:pPr>
            <w:r>
              <w:t>Crossover RCT (1)</w:t>
            </w:r>
          </w:p>
        </w:tc>
        <w:tc>
          <w:tcPr>
            <w:tcW w:w="712" w:type="pct"/>
          </w:tcPr>
          <w:p w14:paraId="6F754FC6" w14:textId="4D8E2167" w:rsidR="00707F2C" w:rsidRDefault="00B324ED" w:rsidP="00B324ED">
            <w:pPr>
              <w:jc w:val="center"/>
              <w:cnfStyle w:val="000000000000" w:firstRow="0" w:lastRow="0" w:firstColumn="0" w:lastColumn="0" w:oddVBand="0" w:evenVBand="0" w:oddHBand="0" w:evenHBand="0" w:firstRowFirstColumn="0" w:firstRowLastColumn="0" w:lastRowFirstColumn="0" w:lastRowLastColumn="0"/>
            </w:pPr>
            <w:r>
              <w:t xml:space="preserve">Serious </w:t>
            </w:r>
          </w:p>
          <w:p w14:paraId="7CE5CC91" w14:textId="196D208C" w:rsidR="00B324ED" w:rsidRDefault="00F66AA5" w:rsidP="00B324ED">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Cs w:val="20"/>
              </w:rPr>
              <w:t>(</w:t>
            </w:r>
            <w:r w:rsidR="00BA60CE">
              <w:rPr>
                <w:rFonts w:ascii="Calibri" w:hAnsi="Calibri" w:cs="Calibri"/>
                <w:szCs w:val="20"/>
              </w:rPr>
              <w:t>2</w:t>
            </w:r>
            <w:r>
              <w:rPr>
                <w:rFonts w:ascii="Calibri" w:hAnsi="Calibri" w:cs="Calibri"/>
                <w:szCs w:val="20"/>
              </w:rPr>
              <w:t xml:space="preserve"> high risk; </w:t>
            </w:r>
            <w:r w:rsidR="0004604E">
              <w:rPr>
                <w:rFonts w:ascii="Calibri" w:hAnsi="Calibri" w:cs="Calibri"/>
                <w:szCs w:val="20"/>
              </w:rPr>
              <w:t>0</w:t>
            </w:r>
            <w:r>
              <w:rPr>
                <w:rFonts w:ascii="Calibri" w:hAnsi="Calibri" w:cs="Calibri"/>
                <w:szCs w:val="20"/>
              </w:rPr>
              <w:t xml:space="preserve"> some concerns</w:t>
            </w:r>
            <w:r w:rsidR="00BF7AB4">
              <w:rPr>
                <w:rFonts w:ascii="Calibri" w:hAnsi="Calibri" w:cs="Calibri"/>
                <w:szCs w:val="20"/>
              </w:rPr>
              <w:t>; 0 low risk</w:t>
            </w:r>
            <w:r>
              <w:rPr>
                <w:rFonts w:ascii="Calibri" w:hAnsi="Calibri" w:cs="Calibri"/>
                <w:szCs w:val="20"/>
              </w:rPr>
              <w:t>)</w:t>
            </w:r>
          </w:p>
        </w:tc>
        <w:tc>
          <w:tcPr>
            <w:tcW w:w="712" w:type="pct"/>
          </w:tcPr>
          <w:p w14:paraId="16E5D528" w14:textId="5FD3AFC1" w:rsidR="00B324ED" w:rsidRDefault="00B324ED" w:rsidP="00B324ED">
            <w:pPr>
              <w:jc w:val="center"/>
              <w:cnfStyle w:val="000000000000" w:firstRow="0" w:lastRow="0" w:firstColumn="0" w:lastColumn="0" w:oddVBand="0" w:evenVBand="0" w:oddHBand="0" w:evenHBand="0" w:firstRowFirstColumn="0" w:firstRowLastColumn="0" w:lastRowFirstColumn="0" w:lastRowLastColumn="0"/>
            </w:pPr>
            <w:r w:rsidRPr="007E76DC">
              <w:t>Serious</w:t>
            </w:r>
          </w:p>
        </w:tc>
        <w:tc>
          <w:tcPr>
            <w:tcW w:w="712" w:type="pct"/>
          </w:tcPr>
          <w:p w14:paraId="0A2F2A63" w14:textId="457BBDDC" w:rsidR="00B324ED" w:rsidRDefault="00B324ED" w:rsidP="00B324ED">
            <w:pPr>
              <w:jc w:val="center"/>
              <w:cnfStyle w:val="000000000000" w:firstRow="0" w:lastRow="0" w:firstColumn="0" w:lastColumn="0" w:oddVBand="0" w:evenVBand="0" w:oddHBand="0" w:evenHBand="0" w:firstRowFirstColumn="0" w:firstRowLastColumn="0" w:lastRowFirstColumn="0" w:lastRowLastColumn="0"/>
            </w:pPr>
            <w:r>
              <w:t>No</w:t>
            </w:r>
            <w:r w:rsidR="005A4227">
              <w:t>t</w:t>
            </w:r>
            <w:r>
              <w:t xml:space="preserve"> serious, borderline</w:t>
            </w:r>
          </w:p>
        </w:tc>
        <w:tc>
          <w:tcPr>
            <w:tcW w:w="712" w:type="pct"/>
          </w:tcPr>
          <w:p w14:paraId="4E79DD0C" w14:textId="77777777" w:rsidR="00B324ED" w:rsidRDefault="00B324ED" w:rsidP="00B324ED">
            <w:pPr>
              <w:jc w:val="center"/>
              <w:cnfStyle w:val="000000000000" w:firstRow="0" w:lastRow="0" w:firstColumn="0" w:lastColumn="0" w:oddVBand="0" w:evenVBand="0" w:oddHBand="0" w:evenHBand="0" w:firstRowFirstColumn="0" w:firstRowLastColumn="0" w:lastRowFirstColumn="0" w:lastRowLastColumn="0"/>
            </w:pPr>
            <w:r w:rsidRPr="00743F56">
              <w:t>Not suspected</w:t>
            </w:r>
          </w:p>
        </w:tc>
        <w:tc>
          <w:tcPr>
            <w:tcW w:w="711" w:type="pct"/>
          </w:tcPr>
          <w:p w14:paraId="34220155" w14:textId="6C1247E4" w:rsidR="00B324ED" w:rsidRDefault="00B324ED" w:rsidP="00B324ED">
            <w:pPr>
              <w:jc w:val="center"/>
              <w:cnfStyle w:val="000000000000" w:firstRow="0" w:lastRow="0" w:firstColumn="0" w:lastColumn="0" w:oddVBand="0" w:evenVBand="0" w:oddHBand="0" w:evenHBand="0" w:firstRowFirstColumn="0" w:firstRowLastColumn="0" w:lastRowFirstColumn="0" w:lastRowLastColumn="0"/>
            </w:pPr>
            <w:r>
              <w:t xml:space="preserve">Very Low </w:t>
            </w:r>
            <w:r w:rsidRPr="00743F56">
              <w:rPr>
                <w:rFonts w:ascii="Cambria Math" w:hAnsi="Cambria Math" w:cs="Cambria Math"/>
              </w:rPr>
              <w:t>⊕</w:t>
            </w:r>
          </w:p>
        </w:tc>
      </w:tr>
    </w:tbl>
    <w:p w14:paraId="61E39CC2" w14:textId="2CFCFE50" w:rsidR="00BD2B83" w:rsidRDefault="00BB0D21" w:rsidP="00BD2B83">
      <w:pPr>
        <w:rPr>
          <w:rFonts w:cstheme="minorHAnsi"/>
          <w:szCs w:val="20"/>
        </w:rPr>
      </w:pPr>
      <w:r w:rsidRPr="009B4D43">
        <w:rPr>
          <w:rFonts w:cstheme="minorHAnsi"/>
          <w:szCs w:val="20"/>
        </w:rPr>
        <w:t xml:space="preserve">Notes. </w:t>
      </w:r>
      <w:r w:rsidR="000773F9">
        <w:rPr>
          <w:rFonts w:cstheme="minorHAnsi"/>
          <w:szCs w:val="20"/>
        </w:rPr>
        <w:t>CBD = C</w:t>
      </w:r>
      <w:r w:rsidR="000773F9" w:rsidRPr="00374A8F">
        <w:rPr>
          <w:rFonts w:cstheme="minorHAnsi"/>
        </w:rPr>
        <w:t>annabidiol</w:t>
      </w:r>
      <w:r w:rsidR="000773F9">
        <w:rPr>
          <w:rFonts w:cstheme="minorHAnsi"/>
        </w:rPr>
        <w:t xml:space="preserve">. </w:t>
      </w:r>
      <w:r w:rsidRPr="009B4D43">
        <w:rPr>
          <w:rFonts w:cstheme="minorHAnsi"/>
          <w:szCs w:val="20"/>
        </w:rPr>
        <w:t xml:space="preserve">RCT= Randomised </w:t>
      </w:r>
      <w:r w:rsidR="000773F9">
        <w:rPr>
          <w:rFonts w:cstheme="minorHAnsi"/>
          <w:szCs w:val="20"/>
        </w:rPr>
        <w:t>c</w:t>
      </w:r>
      <w:r w:rsidRPr="009B4D43">
        <w:rPr>
          <w:rFonts w:cstheme="minorHAnsi"/>
          <w:szCs w:val="20"/>
        </w:rPr>
        <w:t xml:space="preserve">ontrolled </w:t>
      </w:r>
      <w:r w:rsidR="000773F9">
        <w:rPr>
          <w:rFonts w:cstheme="minorHAnsi"/>
          <w:szCs w:val="20"/>
        </w:rPr>
        <w:t>t</w:t>
      </w:r>
      <w:r w:rsidRPr="009B4D43">
        <w:rPr>
          <w:rFonts w:cstheme="minorHAnsi"/>
          <w:szCs w:val="20"/>
        </w:rPr>
        <w:t xml:space="preserve">rial. </w:t>
      </w:r>
      <w:r w:rsidR="006707B4">
        <w:rPr>
          <w:rFonts w:cstheme="minorHAnsi"/>
          <w:szCs w:val="20"/>
        </w:rPr>
        <w:t xml:space="preserve">RoB = Risk of bias. </w:t>
      </w:r>
      <w:r w:rsidR="00E75853">
        <w:rPr>
          <w:rFonts w:cstheme="minorHAnsi"/>
        </w:rPr>
        <w:t>THC =</w:t>
      </w:r>
      <w:r w:rsidR="00E75853" w:rsidRPr="00374A8F">
        <w:rPr>
          <w:rFonts w:cstheme="minorHAnsi"/>
        </w:rPr>
        <w:t xml:space="preserve"> </w:t>
      </w:r>
      <w:r w:rsidR="00E75853">
        <w:t>Tetrahydrocannabinol.</w:t>
      </w:r>
      <w:r w:rsidR="00E75853" w:rsidRPr="009B4D43">
        <w:rPr>
          <w:rFonts w:cstheme="minorHAnsi"/>
          <w:szCs w:val="20"/>
        </w:rPr>
        <w:t xml:space="preserve"> </w:t>
      </w:r>
      <w:r w:rsidRPr="009B4D43">
        <w:rPr>
          <w:rFonts w:cstheme="minorHAnsi"/>
          <w:szCs w:val="20"/>
        </w:rPr>
        <w:t>1</w:t>
      </w:r>
      <w:r w:rsidR="00E62503">
        <w:rPr>
          <w:rFonts w:cstheme="minorHAnsi"/>
          <w:szCs w:val="20"/>
        </w:rPr>
        <w:t>.</w:t>
      </w:r>
      <w:r w:rsidRPr="009B4D43">
        <w:rPr>
          <w:rFonts w:cstheme="minorHAnsi"/>
          <w:szCs w:val="20"/>
        </w:rPr>
        <w:t xml:space="preserve"> GRADE summary inc</w:t>
      </w:r>
      <w:r w:rsidR="000412DA">
        <w:rPr>
          <w:rFonts w:cstheme="minorHAnsi"/>
          <w:szCs w:val="20"/>
        </w:rPr>
        <w:t>ludes the risk of bias</w:t>
      </w:r>
      <w:r w:rsidRPr="009B4D43">
        <w:rPr>
          <w:rFonts w:cstheme="minorHAnsi"/>
          <w:szCs w:val="20"/>
        </w:rPr>
        <w:t xml:space="preserve"> assessments, precision of the effect estimates, consistency of the individual study results, how directly the evidence answers the question of interest, and risk of publication or reporting biases </w:t>
      </w:r>
      <w:r w:rsidR="00D545EC" w:rsidRPr="009B4D43">
        <w:rPr>
          <w:rFonts w:cstheme="minorHAnsi"/>
          <w:szCs w:val="20"/>
        </w:rPr>
        <w:t>(NHMRC, 2019)</w:t>
      </w:r>
      <w:r w:rsidRPr="009B4D43">
        <w:rPr>
          <w:rFonts w:cstheme="minorHAnsi"/>
          <w:szCs w:val="20"/>
        </w:rPr>
        <w:t>.</w:t>
      </w:r>
      <w:r w:rsidR="00BD2B83">
        <w:rPr>
          <w:rFonts w:cstheme="minorHAnsi"/>
          <w:szCs w:val="20"/>
        </w:rPr>
        <w:t xml:space="preserve"> </w:t>
      </w:r>
      <w:r w:rsidR="00B136EC">
        <w:rPr>
          <w:rFonts w:cstheme="minorHAnsi"/>
          <w:szCs w:val="20"/>
        </w:rPr>
        <w:t xml:space="preserve">2. </w:t>
      </w:r>
      <w:r w:rsidR="00BD2B83" w:rsidRPr="00DA06DC">
        <w:rPr>
          <w:rFonts w:cstheme="minorHAnsi"/>
          <w:szCs w:val="20"/>
        </w:rPr>
        <w:t xml:space="preserve">Commonly used symbols to describe the certainty of evidence in evidence profiles: High </w:t>
      </w:r>
      <w:r w:rsidR="00BD2B83" w:rsidRPr="00DA06DC">
        <w:rPr>
          <w:rFonts w:ascii="Cambria Math" w:hAnsi="Cambria Math" w:cs="Cambria Math"/>
          <w:szCs w:val="20"/>
        </w:rPr>
        <w:t>⊕⊕⊕⊕</w:t>
      </w:r>
      <w:r w:rsidR="00BD2B83" w:rsidRPr="00DA06DC">
        <w:rPr>
          <w:rFonts w:cstheme="minorHAnsi"/>
          <w:szCs w:val="20"/>
        </w:rPr>
        <w:t xml:space="preserve">, Moderate </w:t>
      </w:r>
      <w:r w:rsidR="00BD2B83" w:rsidRPr="00DA06DC">
        <w:rPr>
          <w:rFonts w:ascii="Cambria Math" w:hAnsi="Cambria Math" w:cs="Cambria Math"/>
          <w:szCs w:val="20"/>
        </w:rPr>
        <w:t>⊕⊕⊕</w:t>
      </w:r>
      <w:r w:rsidR="00BD2B83" w:rsidRPr="00DA06DC">
        <w:rPr>
          <w:rFonts w:cstheme="minorHAnsi"/>
          <w:szCs w:val="20"/>
        </w:rPr>
        <w:t xml:space="preserve">, Low </w:t>
      </w:r>
      <w:r w:rsidR="00BD2B83" w:rsidRPr="00DA06DC">
        <w:rPr>
          <w:rFonts w:ascii="Cambria Math" w:hAnsi="Cambria Math" w:cs="Cambria Math"/>
          <w:szCs w:val="20"/>
        </w:rPr>
        <w:t>⊕⊕,</w:t>
      </w:r>
      <w:r w:rsidR="00BD2B83" w:rsidRPr="00DA06DC">
        <w:rPr>
          <w:rFonts w:cstheme="minorHAnsi"/>
          <w:szCs w:val="20"/>
        </w:rPr>
        <w:t xml:space="preserve"> and Very Low </w:t>
      </w:r>
      <w:r w:rsidR="00BD2B83" w:rsidRPr="00DA06DC">
        <w:rPr>
          <w:rFonts w:ascii="Cambria Math" w:hAnsi="Cambria Math" w:cs="Cambria Math"/>
          <w:szCs w:val="20"/>
        </w:rPr>
        <w:t>⊕</w:t>
      </w:r>
      <w:r w:rsidR="00BD2B83" w:rsidRPr="00DA06DC">
        <w:rPr>
          <w:rFonts w:cstheme="minorHAnsi"/>
          <w:szCs w:val="20"/>
        </w:rPr>
        <w:t>.</w:t>
      </w:r>
    </w:p>
    <w:p w14:paraId="39F57A6A" w14:textId="77777777" w:rsidR="003E0FBF" w:rsidRDefault="003E0FBF">
      <w:pPr>
        <w:spacing w:after="160"/>
        <w:rPr>
          <w:rFonts w:cstheme="minorHAnsi"/>
          <w:szCs w:val="20"/>
        </w:rPr>
      </w:pPr>
      <w:r>
        <w:rPr>
          <w:rFonts w:cstheme="minorHAnsi"/>
          <w:szCs w:val="20"/>
        </w:rPr>
        <w:br w:type="page"/>
      </w:r>
    </w:p>
    <w:p w14:paraId="2118E39D" w14:textId="1C7B1C32" w:rsidR="003E0FBF" w:rsidRDefault="003E0FBF" w:rsidP="003E0FBF">
      <w:pPr>
        <w:rPr>
          <w:rFonts w:cstheme="minorHAnsi"/>
          <w:szCs w:val="20"/>
        </w:rPr>
      </w:pPr>
      <w:r>
        <w:rPr>
          <w:rFonts w:cstheme="minorHAnsi"/>
          <w:szCs w:val="20"/>
        </w:rPr>
        <w:lastRenderedPageBreak/>
        <w:t>The i</w:t>
      </w:r>
      <w:r w:rsidRPr="00951F41">
        <w:rPr>
          <w:rFonts w:cstheme="minorHAnsi"/>
          <w:szCs w:val="20"/>
        </w:rPr>
        <w:t xml:space="preserve">nterpretation of the four levels of evidence used in the </w:t>
      </w:r>
      <w:r>
        <w:rPr>
          <w:rFonts w:cstheme="minorHAnsi"/>
          <w:szCs w:val="20"/>
        </w:rPr>
        <w:t>evidence summaries</w:t>
      </w:r>
      <w:r w:rsidRPr="00951F41">
        <w:rPr>
          <w:rFonts w:cstheme="minorHAnsi"/>
          <w:szCs w:val="20"/>
        </w:rPr>
        <w:t xml:space="preserve"> </w:t>
      </w:r>
      <w:r>
        <w:rPr>
          <w:rFonts w:cstheme="minorHAnsi"/>
          <w:szCs w:val="20"/>
        </w:rPr>
        <w:t>are as follows:</w:t>
      </w:r>
    </w:p>
    <w:tbl>
      <w:tblPr>
        <w:tblStyle w:val="GridTable5Dark-Accent5"/>
        <w:tblW w:w="5000" w:type="pct"/>
        <w:tblLook w:val="04A0" w:firstRow="1" w:lastRow="0" w:firstColumn="1" w:lastColumn="0" w:noHBand="0" w:noVBand="1"/>
      </w:tblPr>
      <w:tblGrid>
        <w:gridCol w:w="1838"/>
        <w:gridCol w:w="12110"/>
      </w:tblGrid>
      <w:tr w:rsidR="003E0FBF" w:rsidRPr="009B4D43" w14:paraId="44F8A038" w14:textId="77777777" w:rsidTr="003A54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9" w:type="pct"/>
            <w:hideMark/>
          </w:tcPr>
          <w:p w14:paraId="52E0B807" w14:textId="77777777" w:rsidR="003E0FBF" w:rsidRPr="009B4D43" w:rsidRDefault="003E0FBF" w:rsidP="00E47222">
            <w:pPr>
              <w:jc w:val="both"/>
            </w:pPr>
            <w:r w:rsidRPr="009B4D43">
              <w:t>GRADE</w:t>
            </w:r>
          </w:p>
        </w:tc>
        <w:tc>
          <w:tcPr>
            <w:tcW w:w="4341" w:type="pct"/>
            <w:hideMark/>
          </w:tcPr>
          <w:p w14:paraId="1200D503" w14:textId="77777777" w:rsidR="003E0FBF" w:rsidRPr="009B4D43" w:rsidRDefault="003E0FBF" w:rsidP="00E47222">
            <w:pPr>
              <w:jc w:val="both"/>
              <w:cnfStyle w:val="100000000000" w:firstRow="1" w:lastRow="0" w:firstColumn="0" w:lastColumn="0" w:oddVBand="0" w:evenVBand="0" w:oddHBand="0" w:evenHBand="0" w:firstRowFirstColumn="0" w:firstRowLastColumn="0" w:lastRowFirstColumn="0" w:lastRowLastColumn="0"/>
            </w:pPr>
            <w:r w:rsidRPr="009B4D43">
              <w:t>Definition</w:t>
            </w:r>
          </w:p>
        </w:tc>
      </w:tr>
      <w:tr w:rsidR="003E0FBF" w:rsidRPr="009B4D43" w14:paraId="1E873C25" w14:textId="77777777" w:rsidTr="00E47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 w:type="pct"/>
            <w:hideMark/>
          </w:tcPr>
          <w:p w14:paraId="11274CCD" w14:textId="77777777" w:rsidR="003E0FBF" w:rsidRPr="009B4D43" w:rsidRDefault="003E0FBF" w:rsidP="00E47222">
            <w:pPr>
              <w:jc w:val="both"/>
            </w:pPr>
            <w:r w:rsidRPr="009B4D43">
              <w:t>High</w:t>
            </w:r>
            <w:r>
              <w:t xml:space="preserve"> </w:t>
            </w:r>
            <w:r w:rsidRPr="009D24CF">
              <w:rPr>
                <w:rFonts w:ascii="Cambria Math" w:hAnsi="Cambria Math" w:cs="Cambria Math"/>
              </w:rPr>
              <w:t>⊕⊕⊕⊕</w:t>
            </w:r>
          </w:p>
        </w:tc>
        <w:tc>
          <w:tcPr>
            <w:tcW w:w="4341" w:type="pct"/>
            <w:hideMark/>
          </w:tcPr>
          <w:p w14:paraId="2BBA20C0" w14:textId="77777777" w:rsidR="003E0FBF" w:rsidRPr="009B4D43" w:rsidRDefault="003E0FBF" w:rsidP="00E47222">
            <w:pPr>
              <w:jc w:val="both"/>
              <w:cnfStyle w:val="000000100000" w:firstRow="0" w:lastRow="0" w:firstColumn="0" w:lastColumn="0" w:oddVBand="0" w:evenVBand="0" w:oddHBand="1" w:evenHBand="0" w:firstRowFirstColumn="0" w:firstRowLastColumn="0" w:lastRowFirstColumn="0" w:lastRowLastColumn="0"/>
            </w:pPr>
            <w:r>
              <w:t xml:space="preserve">High confidence in the effect estimate: the </w:t>
            </w:r>
            <w:r w:rsidRPr="009B4D43">
              <w:t xml:space="preserve">true effect </w:t>
            </w:r>
            <w:r>
              <w:t xml:space="preserve">is likely to be </w:t>
            </w:r>
            <w:r w:rsidRPr="009B4D43">
              <w:t xml:space="preserve">close to </w:t>
            </w:r>
            <w:r>
              <w:t>t</w:t>
            </w:r>
            <w:r w:rsidRPr="009B4D43">
              <w:t>he estimate of the effect.</w:t>
            </w:r>
          </w:p>
        </w:tc>
      </w:tr>
      <w:tr w:rsidR="003E0FBF" w:rsidRPr="009B4D43" w14:paraId="7E3E0838" w14:textId="77777777" w:rsidTr="00E47222">
        <w:tc>
          <w:tcPr>
            <w:cnfStyle w:val="001000000000" w:firstRow="0" w:lastRow="0" w:firstColumn="1" w:lastColumn="0" w:oddVBand="0" w:evenVBand="0" w:oddHBand="0" w:evenHBand="0" w:firstRowFirstColumn="0" w:firstRowLastColumn="0" w:lastRowFirstColumn="0" w:lastRowLastColumn="0"/>
            <w:tcW w:w="659" w:type="pct"/>
            <w:hideMark/>
          </w:tcPr>
          <w:p w14:paraId="451B1B7A" w14:textId="77777777" w:rsidR="003E0FBF" w:rsidRPr="009B4D43" w:rsidRDefault="003E0FBF" w:rsidP="00E47222">
            <w:pPr>
              <w:jc w:val="both"/>
            </w:pPr>
            <w:r w:rsidRPr="009B4D43">
              <w:t>Moderate</w:t>
            </w:r>
            <w:r>
              <w:t xml:space="preserve"> </w:t>
            </w:r>
            <w:r>
              <w:rPr>
                <w:rFonts w:ascii="Cambria Math" w:hAnsi="Cambria Math" w:cs="Cambria Math"/>
              </w:rPr>
              <w:t>⊕⊕⊕</w:t>
            </w:r>
          </w:p>
        </w:tc>
        <w:tc>
          <w:tcPr>
            <w:tcW w:w="4341" w:type="pct"/>
            <w:hideMark/>
          </w:tcPr>
          <w:p w14:paraId="3BF9EE76" w14:textId="77777777" w:rsidR="003E0FBF" w:rsidRPr="009B4D43" w:rsidRDefault="003E0FBF" w:rsidP="00E47222">
            <w:pPr>
              <w:jc w:val="both"/>
              <w:cnfStyle w:val="000000000000" w:firstRow="0" w:lastRow="0" w:firstColumn="0" w:lastColumn="0" w:oddVBand="0" w:evenVBand="0" w:oddHBand="0" w:evenHBand="0" w:firstRowFirstColumn="0" w:firstRowLastColumn="0" w:lastRowFirstColumn="0" w:lastRowLastColumn="0"/>
            </w:pPr>
            <w:r>
              <w:t>Moderate</w:t>
            </w:r>
            <w:r w:rsidRPr="009B4D43">
              <w:t xml:space="preserve"> confide</w:t>
            </w:r>
            <w:r>
              <w:t>nce</w:t>
            </w:r>
            <w:r w:rsidRPr="009B4D43">
              <w:t xml:space="preserve"> in the effect estimate: </w:t>
            </w:r>
            <w:r>
              <w:t xml:space="preserve">the true effect is likely to be </w:t>
            </w:r>
            <w:r w:rsidRPr="009B4D43">
              <w:t>close to the estimate of the effect, but there is a possibility that it is substantially different.</w:t>
            </w:r>
          </w:p>
        </w:tc>
      </w:tr>
      <w:tr w:rsidR="003E0FBF" w:rsidRPr="009B4D43" w14:paraId="4A6E46C2" w14:textId="77777777" w:rsidTr="00E47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 w:type="pct"/>
            <w:hideMark/>
          </w:tcPr>
          <w:p w14:paraId="2CCE4701" w14:textId="77777777" w:rsidR="003E0FBF" w:rsidRPr="009B4D43" w:rsidRDefault="003E0FBF" w:rsidP="00E47222">
            <w:pPr>
              <w:jc w:val="both"/>
            </w:pPr>
            <w:r w:rsidRPr="009B4D43">
              <w:t>Low</w:t>
            </w:r>
            <w:r>
              <w:t xml:space="preserve"> </w:t>
            </w:r>
            <w:r>
              <w:rPr>
                <w:rFonts w:ascii="Cambria Math" w:hAnsi="Cambria Math" w:cs="Cambria Math"/>
              </w:rPr>
              <w:t>⊕⊕</w:t>
            </w:r>
          </w:p>
        </w:tc>
        <w:tc>
          <w:tcPr>
            <w:tcW w:w="4341" w:type="pct"/>
            <w:hideMark/>
          </w:tcPr>
          <w:p w14:paraId="0086B22E" w14:textId="77777777" w:rsidR="003E0FBF" w:rsidRPr="009B4D43" w:rsidRDefault="003E0FBF" w:rsidP="00E47222">
            <w:pPr>
              <w:jc w:val="both"/>
              <w:cnfStyle w:val="000000100000" w:firstRow="0" w:lastRow="0" w:firstColumn="0" w:lastColumn="0" w:oddVBand="0" w:evenVBand="0" w:oddHBand="1" w:evenHBand="0" w:firstRowFirstColumn="0" w:firstRowLastColumn="0" w:lastRowFirstColumn="0" w:lastRowLastColumn="0"/>
            </w:pPr>
            <w:r>
              <w:t>Limited c</w:t>
            </w:r>
            <w:r w:rsidRPr="009B4D43">
              <w:t>onfidence in the effect estimate: the true effect may be substantially different from the estimate of the effect.</w:t>
            </w:r>
          </w:p>
        </w:tc>
      </w:tr>
      <w:tr w:rsidR="003E0FBF" w:rsidRPr="009B4D43" w14:paraId="0680EF20" w14:textId="77777777" w:rsidTr="00E47222">
        <w:tc>
          <w:tcPr>
            <w:cnfStyle w:val="001000000000" w:firstRow="0" w:lastRow="0" w:firstColumn="1" w:lastColumn="0" w:oddVBand="0" w:evenVBand="0" w:oddHBand="0" w:evenHBand="0" w:firstRowFirstColumn="0" w:firstRowLastColumn="0" w:lastRowFirstColumn="0" w:lastRowLastColumn="0"/>
            <w:tcW w:w="659" w:type="pct"/>
            <w:hideMark/>
          </w:tcPr>
          <w:p w14:paraId="039D553A" w14:textId="77777777" w:rsidR="003E0FBF" w:rsidRPr="009B4D43" w:rsidRDefault="003E0FBF" w:rsidP="00E47222">
            <w:pPr>
              <w:jc w:val="both"/>
            </w:pPr>
            <w:r w:rsidRPr="009B4D43">
              <w:t>Very Low</w:t>
            </w:r>
            <w:r>
              <w:t xml:space="preserve"> </w:t>
            </w:r>
            <w:r>
              <w:rPr>
                <w:rFonts w:ascii="Cambria Math" w:hAnsi="Cambria Math" w:cs="Cambria Math"/>
              </w:rPr>
              <w:t>⊕</w:t>
            </w:r>
          </w:p>
        </w:tc>
        <w:tc>
          <w:tcPr>
            <w:tcW w:w="4341" w:type="pct"/>
            <w:hideMark/>
          </w:tcPr>
          <w:p w14:paraId="45DB3B5B" w14:textId="77777777" w:rsidR="003E0FBF" w:rsidRPr="009B4D43" w:rsidRDefault="003E0FBF" w:rsidP="00E47222">
            <w:pPr>
              <w:jc w:val="both"/>
              <w:cnfStyle w:val="000000000000" w:firstRow="0" w:lastRow="0" w:firstColumn="0" w:lastColumn="0" w:oddVBand="0" w:evenVBand="0" w:oddHBand="0" w:evenHBand="0" w:firstRowFirstColumn="0" w:firstRowLastColumn="0" w:lastRowFirstColumn="0" w:lastRowLastColumn="0"/>
            </w:pPr>
            <w:r>
              <w:t>Very l</w:t>
            </w:r>
            <w:r w:rsidRPr="009B4D43">
              <w:t>ittle confidence in the effect estimate: the true effect is likely to be substantially different from the estimate of effect.</w:t>
            </w:r>
          </w:p>
        </w:tc>
      </w:tr>
    </w:tbl>
    <w:p w14:paraId="1B6242AB" w14:textId="77777777" w:rsidR="003E0FBF" w:rsidRPr="009B4D43" w:rsidRDefault="003E0FBF" w:rsidP="003E0FBF">
      <w:pPr>
        <w:jc w:val="both"/>
      </w:pPr>
      <w:r w:rsidRPr="009B4D43">
        <w:t xml:space="preserve">Source: </w:t>
      </w:r>
      <w:r>
        <w:t xml:space="preserve">Adapted from </w:t>
      </w:r>
      <w:r w:rsidRPr="009B4D43">
        <w:t>NHMRC (2019).</w:t>
      </w:r>
    </w:p>
    <w:p w14:paraId="0354EADE" w14:textId="6147FE02" w:rsidR="00BB0D21" w:rsidRPr="003E0FBF" w:rsidRDefault="00BB0D21" w:rsidP="00350AAD">
      <w:pPr>
        <w:pStyle w:val="Heading2"/>
        <w:numPr>
          <w:ilvl w:val="0"/>
          <w:numId w:val="19"/>
        </w:numPr>
        <w:autoSpaceDE w:val="0"/>
        <w:autoSpaceDN w:val="0"/>
        <w:adjustRightInd w:val="0"/>
        <w:spacing w:before="0" w:after="0" w:line="240" w:lineRule="auto"/>
        <w:ind w:left="357" w:hanging="357"/>
        <w:rPr>
          <w:rFonts w:cstheme="majorHAnsi"/>
        </w:rPr>
      </w:pPr>
      <w:bookmarkStart w:id="337" w:name="_Toc101536721"/>
      <w:bookmarkStart w:id="338" w:name="_Toc103944934"/>
      <w:bookmarkStart w:id="339" w:name="_Toc121096147"/>
      <w:bookmarkStart w:id="340" w:name="_Toc165018256"/>
      <w:bookmarkStart w:id="341" w:name="_Toc99653139"/>
      <w:bookmarkStart w:id="342" w:name="_Hlk99522173"/>
      <w:r w:rsidRPr="003E0FBF">
        <w:rPr>
          <w:rFonts w:cstheme="majorHAnsi"/>
        </w:rPr>
        <w:t xml:space="preserve">GRADE rating of </w:t>
      </w:r>
      <w:r w:rsidR="00A10655">
        <w:rPr>
          <w:rFonts w:cstheme="majorHAnsi"/>
        </w:rPr>
        <w:t xml:space="preserve">natural or </w:t>
      </w:r>
      <w:r w:rsidR="001549D2" w:rsidRPr="003E0FBF">
        <w:rPr>
          <w:rFonts w:cstheme="majorHAnsi"/>
        </w:rPr>
        <w:t>synthetic cannabidiol (CBD) studies</w:t>
      </w:r>
      <w:bookmarkEnd w:id="337"/>
      <w:bookmarkEnd w:id="338"/>
      <w:bookmarkEnd w:id="339"/>
      <w:bookmarkEnd w:id="340"/>
      <w:r w:rsidR="001549D2" w:rsidRPr="003E0FBF" w:rsidDel="001549D2">
        <w:rPr>
          <w:rFonts w:cstheme="majorHAnsi"/>
        </w:rPr>
        <w:t xml:space="preserve"> </w:t>
      </w:r>
      <w:bookmarkEnd w:id="341"/>
    </w:p>
    <w:tbl>
      <w:tblPr>
        <w:tblStyle w:val="GridTable4-Accent5"/>
        <w:tblW w:w="0" w:type="auto"/>
        <w:tblLook w:val="04A0" w:firstRow="1" w:lastRow="0" w:firstColumn="1" w:lastColumn="0" w:noHBand="0" w:noVBand="1"/>
      </w:tblPr>
      <w:tblGrid>
        <w:gridCol w:w="2835"/>
        <w:gridCol w:w="7650"/>
        <w:gridCol w:w="3431"/>
      </w:tblGrid>
      <w:tr w:rsidR="00BB0D21" w:rsidRPr="009B4D43" w14:paraId="10BDB94F" w14:textId="77777777" w:rsidTr="003A54C8">
        <w:trPr>
          <w:cnfStyle w:val="100000000000" w:firstRow="1" w:lastRow="0" w:firstColumn="0" w:lastColumn="0" w:oddVBand="0" w:evenVBand="0" w:oddHBand="0" w:evenHBand="0" w:firstRowFirstColumn="0" w:firstRowLastColumn="0" w:lastRowFirstColumn="0" w:lastRowLastColumn="0"/>
          <w:trHeight w:val="349"/>
          <w:tblHeader/>
        </w:trPr>
        <w:tc>
          <w:tcPr>
            <w:cnfStyle w:val="001000000000" w:firstRow="0" w:lastRow="0" w:firstColumn="1" w:lastColumn="0" w:oddVBand="0" w:evenVBand="0" w:oddHBand="0" w:evenHBand="0" w:firstRowFirstColumn="0" w:firstRowLastColumn="0" w:lastRowFirstColumn="0" w:lastRowLastColumn="0"/>
            <w:tcW w:w="2835" w:type="dxa"/>
          </w:tcPr>
          <w:p w14:paraId="6BC2E96A" w14:textId="77777777" w:rsidR="00BB0D21" w:rsidRPr="009B4D43" w:rsidRDefault="00BB0D21" w:rsidP="00BB0D21">
            <w:pPr>
              <w:rPr>
                <w:rFonts w:cstheme="minorHAnsi"/>
                <w:szCs w:val="20"/>
              </w:rPr>
            </w:pPr>
            <w:r w:rsidRPr="009B4D43">
              <w:rPr>
                <w:rFonts w:cstheme="minorHAnsi"/>
                <w:szCs w:val="20"/>
              </w:rPr>
              <w:t>GRADE domain</w:t>
            </w:r>
          </w:p>
        </w:tc>
        <w:tc>
          <w:tcPr>
            <w:tcW w:w="7650" w:type="dxa"/>
          </w:tcPr>
          <w:p w14:paraId="2F816C24" w14:textId="77777777" w:rsidR="00BB0D21" w:rsidRPr="009B4D43" w:rsidRDefault="00BB0D21" w:rsidP="00BB0D21">
            <w:pPr>
              <w:cnfStyle w:val="100000000000" w:firstRow="1" w:lastRow="0" w:firstColumn="0" w:lastColumn="0" w:oddVBand="0" w:evenVBand="0" w:oddHBand="0" w:evenHBand="0" w:firstRowFirstColumn="0" w:firstRowLastColumn="0" w:lastRowFirstColumn="0" w:lastRowLastColumn="0"/>
              <w:rPr>
                <w:rFonts w:cstheme="minorHAnsi"/>
                <w:szCs w:val="20"/>
              </w:rPr>
            </w:pPr>
            <w:r w:rsidRPr="009B4D43">
              <w:rPr>
                <w:rFonts w:cstheme="minorHAnsi"/>
                <w:szCs w:val="20"/>
              </w:rPr>
              <w:t>Judgement</w:t>
            </w:r>
          </w:p>
        </w:tc>
        <w:tc>
          <w:tcPr>
            <w:tcW w:w="3431" w:type="dxa"/>
          </w:tcPr>
          <w:p w14:paraId="131E6963" w14:textId="77777777" w:rsidR="00BB0D21" w:rsidRPr="009B4D43" w:rsidRDefault="00BB0D21" w:rsidP="00BB0D21">
            <w:pPr>
              <w:cnfStyle w:val="100000000000" w:firstRow="1" w:lastRow="0" w:firstColumn="0" w:lastColumn="0" w:oddVBand="0" w:evenVBand="0" w:oddHBand="0" w:evenHBand="0" w:firstRowFirstColumn="0" w:firstRowLastColumn="0" w:lastRowFirstColumn="0" w:lastRowLastColumn="0"/>
              <w:rPr>
                <w:rFonts w:cstheme="minorHAnsi"/>
                <w:szCs w:val="20"/>
              </w:rPr>
            </w:pPr>
            <w:r w:rsidRPr="009B4D43">
              <w:rPr>
                <w:rFonts w:cstheme="minorHAnsi"/>
                <w:szCs w:val="20"/>
              </w:rPr>
              <w:t>Concerns about certainty domains</w:t>
            </w:r>
          </w:p>
        </w:tc>
      </w:tr>
      <w:tr w:rsidR="00642D7C" w:rsidRPr="009B4D43" w14:paraId="7C192C74" w14:textId="77777777" w:rsidTr="003E03AC">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835" w:type="dxa"/>
          </w:tcPr>
          <w:p w14:paraId="597AC3F8" w14:textId="00B51A0F" w:rsidR="00642D7C" w:rsidRPr="009B4D43" w:rsidRDefault="00A445DA" w:rsidP="00642D7C">
            <w:pPr>
              <w:rPr>
                <w:rFonts w:cstheme="minorHAnsi"/>
                <w:b w:val="0"/>
                <w:bCs w:val="0"/>
                <w:szCs w:val="20"/>
              </w:rPr>
            </w:pPr>
            <w:r>
              <w:rPr>
                <w:rFonts w:cstheme="minorHAnsi"/>
                <w:b w:val="0"/>
                <w:bCs w:val="0"/>
                <w:szCs w:val="20"/>
              </w:rPr>
              <w:t>Study limitations (risk of bias)</w:t>
            </w:r>
          </w:p>
        </w:tc>
        <w:tc>
          <w:tcPr>
            <w:tcW w:w="7650" w:type="dxa"/>
          </w:tcPr>
          <w:p w14:paraId="55BCEABE" w14:textId="5A29960C" w:rsidR="00642D7C" w:rsidRPr="00F62917" w:rsidRDefault="00D4286B" w:rsidP="00FB19CD">
            <w:pPr>
              <w:jc w:val="both"/>
              <w:cnfStyle w:val="000000100000" w:firstRow="0" w:lastRow="0" w:firstColumn="0" w:lastColumn="0" w:oddVBand="0" w:evenVBand="0" w:oddHBand="1" w:evenHBand="0" w:firstRowFirstColumn="0" w:firstRowLastColumn="0" w:lastRowFirstColumn="0" w:lastRowLastColumn="0"/>
            </w:pPr>
            <w:r>
              <w:t>Of the six</w:t>
            </w:r>
            <w:r w:rsidR="007B222F">
              <w:t xml:space="preserve"> studies of </w:t>
            </w:r>
            <w:r w:rsidR="000C55D2">
              <w:t>(natural or synthetic) CBD</w:t>
            </w:r>
            <w:r>
              <w:t>, f</w:t>
            </w:r>
            <w:r w:rsidR="002B472E">
              <w:t xml:space="preserve">ive </w:t>
            </w:r>
            <w:r w:rsidR="0059288B">
              <w:t>studies</w:t>
            </w:r>
            <w:r w:rsidR="00AFD9A5">
              <w:t xml:space="preserve"> (Hindocha et al.</w:t>
            </w:r>
            <w:r w:rsidR="2410AD05">
              <w:t>,</w:t>
            </w:r>
            <w:r w:rsidR="00AFD9A5">
              <w:t xml:space="preserve"> 2018</w:t>
            </w:r>
            <w:r w:rsidR="2410AD05">
              <w:t xml:space="preserve">; Hurd et al., </w:t>
            </w:r>
            <w:r w:rsidR="00AFD9A5">
              <w:t>2019</w:t>
            </w:r>
            <w:r w:rsidR="0047527F">
              <w:t>;</w:t>
            </w:r>
            <w:r w:rsidR="00AFD9A5">
              <w:t xml:space="preserve"> Masataka</w:t>
            </w:r>
            <w:r w:rsidR="2410AD05">
              <w:t>,</w:t>
            </w:r>
            <w:r w:rsidR="00AFD9A5">
              <w:t xml:space="preserve"> 2019</w:t>
            </w:r>
            <w:r w:rsidR="2410AD05">
              <w:t xml:space="preserve">; </w:t>
            </w:r>
            <w:r w:rsidR="00AFD9A5">
              <w:t>Meneses-Gaya et al.</w:t>
            </w:r>
            <w:r w:rsidR="2410AD05">
              <w:t>,</w:t>
            </w:r>
            <w:r w:rsidR="00AFD9A5">
              <w:t xml:space="preserve"> 2021</w:t>
            </w:r>
            <w:r w:rsidR="009244FE">
              <w:t>; Mongeau-Pérusse et al., 2021</w:t>
            </w:r>
            <w:r w:rsidR="00AFD9A5">
              <w:t xml:space="preserve">) </w:t>
            </w:r>
            <w:r w:rsidR="00022615">
              <w:t xml:space="preserve">were judged to have </w:t>
            </w:r>
            <w:r w:rsidR="2410AD05">
              <w:t xml:space="preserve">a </w:t>
            </w:r>
            <w:r w:rsidR="00AFD9A5">
              <w:t xml:space="preserve">high risk of </w:t>
            </w:r>
            <w:r w:rsidR="00AFD9A5" w:rsidRPr="00F420AD">
              <w:t>bias</w:t>
            </w:r>
            <w:r w:rsidR="2410AD05" w:rsidRPr="00602416">
              <w:t xml:space="preserve">; </w:t>
            </w:r>
            <w:r w:rsidR="00AFD9A5" w:rsidRPr="00602416">
              <w:t>primar</w:t>
            </w:r>
            <w:r w:rsidR="2410AD05" w:rsidRPr="00602416">
              <w:t>il</w:t>
            </w:r>
            <w:r w:rsidR="00AFD9A5" w:rsidRPr="00602416">
              <w:t>y due to concerns with</w:t>
            </w:r>
            <w:r w:rsidR="00C13143" w:rsidRPr="00F62917">
              <w:t xml:space="preserve"> </w:t>
            </w:r>
            <w:r w:rsidR="00BE5AF6" w:rsidRPr="00F62917">
              <w:t>missing outcome data</w:t>
            </w:r>
            <w:r w:rsidR="00AFD9A5" w:rsidRPr="00602416">
              <w:t>.</w:t>
            </w:r>
            <w:r w:rsidR="00AFD9A5">
              <w:t xml:space="preserve"> Of the f</w:t>
            </w:r>
            <w:r w:rsidR="00C51C72">
              <w:t>ive</w:t>
            </w:r>
            <w:r w:rsidR="00AFD9A5">
              <w:t xml:space="preserve"> </w:t>
            </w:r>
            <w:r w:rsidR="0059288B">
              <w:t>studies</w:t>
            </w:r>
            <w:r w:rsidR="00AFD9A5">
              <w:t xml:space="preserve"> with </w:t>
            </w:r>
            <w:r w:rsidR="2410AD05">
              <w:t xml:space="preserve">a </w:t>
            </w:r>
            <w:r w:rsidR="00AFD9A5">
              <w:t xml:space="preserve">high risk of bias, </w:t>
            </w:r>
            <w:r w:rsidR="00491AC2">
              <w:t>four</w:t>
            </w:r>
            <w:r w:rsidR="00AFD9A5">
              <w:t xml:space="preserve"> </w:t>
            </w:r>
            <w:r w:rsidR="00590DB0">
              <w:t xml:space="preserve">studies </w:t>
            </w:r>
            <w:r w:rsidR="00AFD9A5">
              <w:t>(Hindocha et al.</w:t>
            </w:r>
            <w:r w:rsidR="2410AD05">
              <w:t>, 2018;</w:t>
            </w:r>
            <w:r w:rsidR="00AFD9A5">
              <w:t xml:space="preserve"> Hurd et al.</w:t>
            </w:r>
            <w:r w:rsidR="2410AD05">
              <w:t>,</w:t>
            </w:r>
            <w:r w:rsidR="00AFD9A5">
              <w:t xml:space="preserve"> 2019</w:t>
            </w:r>
            <w:r w:rsidR="2410AD05">
              <w:t>;</w:t>
            </w:r>
            <w:r w:rsidR="00AFD9A5">
              <w:t xml:space="preserve"> Masataka</w:t>
            </w:r>
            <w:r w:rsidR="2410AD05">
              <w:t>,</w:t>
            </w:r>
            <w:r w:rsidR="00AFD9A5">
              <w:t xml:space="preserve"> 2019</w:t>
            </w:r>
            <w:r w:rsidR="009B744C">
              <w:t>; Mongeau-Pérusse et al., 2021</w:t>
            </w:r>
            <w:r w:rsidR="00AFD9A5">
              <w:t>) inappropriately used per-protocol analysis</w:t>
            </w:r>
            <w:r w:rsidR="2410AD05">
              <w:t xml:space="preserve"> (rather than intent</w:t>
            </w:r>
            <w:r w:rsidR="76DAC459">
              <w:t>ion</w:t>
            </w:r>
            <w:r w:rsidR="2410AD05">
              <w:t>-to-treat analysis)</w:t>
            </w:r>
            <w:r w:rsidR="00AFD9A5" w:rsidRPr="4C15A81F">
              <w:rPr>
                <w:rFonts w:eastAsia="Times New Roman" w:cs="Calibri"/>
                <w:color w:val="000000" w:themeColor="text1"/>
                <w:lang w:eastAsia="en-AU"/>
              </w:rPr>
              <w:t>.</w:t>
            </w:r>
            <w:r w:rsidR="003A51DF">
              <w:rPr>
                <w:rFonts w:eastAsia="Times New Roman" w:cs="Calibri"/>
                <w:color w:val="000000" w:themeColor="text1"/>
                <w:lang w:eastAsia="en-AU"/>
              </w:rPr>
              <w:t xml:space="preserve"> </w:t>
            </w:r>
            <w:r w:rsidR="00AFD9A5" w:rsidRPr="4C15A81F">
              <w:rPr>
                <w:rFonts w:eastAsia="Times New Roman" w:cs="Calibri"/>
                <w:color w:val="000000" w:themeColor="text1"/>
                <w:lang w:eastAsia="en-AU"/>
              </w:rPr>
              <w:t xml:space="preserve">Therefore, the </w:t>
            </w:r>
            <w:r w:rsidR="0059288B">
              <w:rPr>
                <w:rFonts w:eastAsia="Times New Roman" w:cs="Calibri"/>
                <w:color w:val="000000" w:themeColor="text1"/>
                <w:lang w:eastAsia="en-AU"/>
              </w:rPr>
              <w:t>studies</w:t>
            </w:r>
            <w:r w:rsidR="2410AD05" w:rsidRPr="4C15A81F">
              <w:rPr>
                <w:rFonts w:eastAsia="Times New Roman" w:cs="Calibri"/>
                <w:color w:val="000000" w:themeColor="text1"/>
                <w:lang w:eastAsia="en-AU"/>
              </w:rPr>
              <w:t xml:space="preserve"> were judged</w:t>
            </w:r>
            <w:r w:rsidR="00AFD9A5" w:rsidRPr="4C15A81F">
              <w:rPr>
                <w:rFonts w:eastAsia="Times New Roman" w:cs="Calibri"/>
                <w:color w:val="000000" w:themeColor="text1"/>
                <w:lang w:eastAsia="en-AU"/>
              </w:rPr>
              <w:t xml:space="preserve"> to have serious methodological limitations.</w:t>
            </w:r>
          </w:p>
        </w:tc>
        <w:tc>
          <w:tcPr>
            <w:tcW w:w="3431" w:type="dxa"/>
          </w:tcPr>
          <w:p w14:paraId="4B865935" w14:textId="086E2BD8" w:rsidR="00642D7C" w:rsidRPr="009B4D43" w:rsidRDefault="00570BF9" w:rsidP="00570BF9">
            <w:pPr>
              <w:cnfStyle w:val="000000100000" w:firstRow="0" w:lastRow="0" w:firstColumn="0" w:lastColumn="0" w:oddVBand="0" w:evenVBand="0" w:oddHBand="1" w:evenHBand="0" w:firstRowFirstColumn="0" w:firstRowLastColumn="0" w:lastRowFirstColumn="0" w:lastRowLastColumn="0"/>
              <w:rPr>
                <w:rFonts w:cstheme="minorHAnsi"/>
                <w:szCs w:val="20"/>
              </w:rPr>
            </w:pPr>
            <w:r>
              <w:t>Serious</w:t>
            </w:r>
          </w:p>
        </w:tc>
      </w:tr>
      <w:tr w:rsidR="00642D7C" w:rsidRPr="009B4D43" w14:paraId="0FB543F1" w14:textId="77777777" w:rsidTr="003E03AC">
        <w:trPr>
          <w:trHeight w:val="571"/>
        </w:trPr>
        <w:tc>
          <w:tcPr>
            <w:cnfStyle w:val="001000000000" w:firstRow="0" w:lastRow="0" w:firstColumn="1" w:lastColumn="0" w:oddVBand="0" w:evenVBand="0" w:oddHBand="0" w:evenHBand="0" w:firstRowFirstColumn="0" w:firstRowLastColumn="0" w:lastRowFirstColumn="0" w:lastRowLastColumn="0"/>
            <w:tcW w:w="2835" w:type="dxa"/>
          </w:tcPr>
          <w:p w14:paraId="6CCB550D" w14:textId="77777777" w:rsidR="00642D7C" w:rsidRPr="009B4D43" w:rsidRDefault="00642D7C" w:rsidP="00642D7C">
            <w:pPr>
              <w:rPr>
                <w:rFonts w:cstheme="minorHAnsi"/>
                <w:szCs w:val="20"/>
              </w:rPr>
            </w:pPr>
            <w:r w:rsidRPr="009B4D43">
              <w:rPr>
                <w:rFonts w:cstheme="minorHAnsi"/>
                <w:b w:val="0"/>
                <w:bCs w:val="0"/>
                <w:szCs w:val="20"/>
              </w:rPr>
              <w:t>Precision and Consistency</w:t>
            </w:r>
          </w:p>
        </w:tc>
        <w:tc>
          <w:tcPr>
            <w:tcW w:w="7650" w:type="dxa"/>
          </w:tcPr>
          <w:p w14:paraId="4F8AB7C0" w14:textId="29121F1E" w:rsidR="00642D7C" w:rsidRPr="009B4D43" w:rsidRDefault="00642D7C" w:rsidP="00590DB0">
            <w:pPr>
              <w:jc w:val="both"/>
              <w:cnfStyle w:val="000000000000" w:firstRow="0" w:lastRow="0" w:firstColumn="0" w:lastColumn="0" w:oddVBand="0" w:evenVBand="0" w:oddHBand="0" w:evenHBand="0" w:firstRowFirstColumn="0" w:firstRowLastColumn="0" w:lastRowFirstColumn="0" w:lastRowLastColumn="0"/>
              <w:rPr>
                <w:rFonts w:cstheme="minorHAnsi"/>
                <w:szCs w:val="20"/>
              </w:rPr>
            </w:pPr>
            <w:r>
              <w:t>The total number of pa</w:t>
            </w:r>
            <w:r w:rsidR="00374A8F">
              <w:t xml:space="preserve">rticipants </w:t>
            </w:r>
            <w:r w:rsidR="00602416">
              <w:t>enrolled</w:t>
            </w:r>
            <w:r>
              <w:t xml:space="preserve"> in the </w:t>
            </w:r>
            <w:r w:rsidR="000B2E9D">
              <w:t xml:space="preserve">six </w:t>
            </w:r>
            <w:r w:rsidR="0059288B">
              <w:t>studies</w:t>
            </w:r>
            <w:r>
              <w:t xml:space="preserve"> was </w:t>
            </w:r>
            <w:r w:rsidR="009B3881">
              <w:t>325; however, 59 participants (18%) did not complete the studies for various reasons (range of non-completion across studies</w:t>
            </w:r>
            <w:r w:rsidR="002468CD">
              <w:t>:</w:t>
            </w:r>
            <w:r w:rsidR="009B3881">
              <w:t xml:space="preserve"> 7.5% to 35.9%)</w:t>
            </w:r>
            <w:r>
              <w:t>.</w:t>
            </w:r>
            <w:r w:rsidR="00AD66B4">
              <w:t xml:space="preserve"> Of the six studies, </w:t>
            </w:r>
            <w:r w:rsidR="003460A8">
              <w:t xml:space="preserve">three </w:t>
            </w:r>
            <w:r w:rsidR="00670353">
              <w:t xml:space="preserve">studies </w:t>
            </w:r>
            <w:r w:rsidR="000C59CA">
              <w:t xml:space="preserve">(Freeman et al., 2020; Hurd et al., 2019; Masataka, 2019) </w:t>
            </w:r>
            <w:r w:rsidR="002F7CAC">
              <w:t xml:space="preserve">reported </w:t>
            </w:r>
            <w:r w:rsidR="003460A8">
              <w:t>significant effect</w:t>
            </w:r>
            <w:r w:rsidR="002F7CAC">
              <w:t>s</w:t>
            </w:r>
            <w:r w:rsidR="003460A8">
              <w:t xml:space="preserve"> of the CBD treatment</w:t>
            </w:r>
            <w:r w:rsidR="00D44543">
              <w:t xml:space="preserve"> on the primary outcome measure</w:t>
            </w:r>
            <w:r w:rsidR="00172B86">
              <w:t>/s</w:t>
            </w:r>
            <w:r w:rsidR="003460A8">
              <w:t xml:space="preserve">, and three studies failed to </w:t>
            </w:r>
            <w:r w:rsidR="002F7CAC">
              <w:t xml:space="preserve">report </w:t>
            </w:r>
            <w:r w:rsidR="003460A8">
              <w:t xml:space="preserve">a significant </w:t>
            </w:r>
            <w:r w:rsidR="00005DFA">
              <w:t xml:space="preserve">CBD </w:t>
            </w:r>
            <w:r w:rsidR="009D1B18">
              <w:t xml:space="preserve">treatment </w:t>
            </w:r>
            <w:r w:rsidR="003460A8">
              <w:t>effect</w:t>
            </w:r>
            <w:r w:rsidR="00670353">
              <w:t xml:space="preserve"> </w:t>
            </w:r>
            <w:r w:rsidR="00C122EE">
              <w:t>on the primary outcome measure</w:t>
            </w:r>
            <w:r w:rsidR="00172B86">
              <w:t>/s</w:t>
            </w:r>
            <w:r w:rsidR="00C122EE">
              <w:t xml:space="preserve"> </w:t>
            </w:r>
            <w:r w:rsidR="00670353">
              <w:t>(</w:t>
            </w:r>
            <w:r w:rsidR="00285F35">
              <w:t>Hindocha et al., 2018</w:t>
            </w:r>
            <w:r w:rsidR="00327592">
              <w:t>; Meneses-Gaya et al., 2021; Mongeau-Pérusse et al., 2021)</w:t>
            </w:r>
            <w:r w:rsidR="009D1B18">
              <w:t xml:space="preserve">. </w:t>
            </w:r>
            <w:r w:rsidR="00CA0E27">
              <w:t>The Freeman et al. (2020)</w:t>
            </w:r>
            <w:r w:rsidR="003F4685">
              <w:t xml:space="preserve"> study was the largest of the six studies</w:t>
            </w:r>
            <w:r w:rsidR="0006523E">
              <w:t xml:space="preserve"> (</w:t>
            </w:r>
            <w:r w:rsidR="0006523E" w:rsidRPr="00F62917">
              <w:rPr>
                <w:i/>
                <w:iCs/>
              </w:rPr>
              <w:t>n</w:t>
            </w:r>
            <w:r w:rsidR="0006523E">
              <w:t xml:space="preserve"> = 82)</w:t>
            </w:r>
            <w:r w:rsidR="003F4685">
              <w:t xml:space="preserve"> and the only study with a low risk of bias</w:t>
            </w:r>
            <w:r w:rsidR="003F4685" w:rsidRPr="00EE0D5F">
              <w:t>.</w:t>
            </w:r>
            <w:r w:rsidR="00374A8F" w:rsidRPr="00EE0D5F">
              <w:t xml:space="preserve"> In th</w:t>
            </w:r>
            <w:r w:rsidR="00DC274E" w:rsidRPr="00F62917">
              <w:t>e final Bayesian analysis (</w:t>
            </w:r>
            <w:r w:rsidR="00DC274E" w:rsidRPr="00F62917">
              <w:rPr>
                <w:i/>
                <w:iCs/>
              </w:rPr>
              <w:t>n</w:t>
            </w:r>
            <w:r w:rsidR="00DC274E" w:rsidRPr="00F62917">
              <w:t xml:space="preserve"> = 70)</w:t>
            </w:r>
            <w:r w:rsidR="009D1B18" w:rsidRPr="00F62917">
              <w:t xml:space="preserve"> from this </w:t>
            </w:r>
            <w:r w:rsidR="00430080" w:rsidRPr="00F62917">
              <w:t>study</w:t>
            </w:r>
            <w:r w:rsidR="00374A8F" w:rsidRPr="00EE0D5F">
              <w:t>, a</w:t>
            </w:r>
            <w:r w:rsidRPr="00EE0D5F">
              <w:t xml:space="preserve"> statistically significant </w:t>
            </w:r>
            <w:r w:rsidR="005D5FB0" w:rsidRPr="00EE0D5F">
              <w:t>effect</w:t>
            </w:r>
            <w:r w:rsidRPr="00EE0D5F">
              <w:t xml:space="preserve"> </w:t>
            </w:r>
            <w:r w:rsidR="007771E7">
              <w:t xml:space="preserve">of CBD treatment </w:t>
            </w:r>
            <w:r w:rsidRPr="00EE0D5F">
              <w:t xml:space="preserve">on self-reported cannabis abstinence was </w:t>
            </w:r>
            <w:r w:rsidR="00430080" w:rsidRPr="00F62917">
              <w:t xml:space="preserve">observed </w:t>
            </w:r>
            <w:r w:rsidR="00374A8F" w:rsidRPr="00EE0D5F">
              <w:t>in the lower dose (400</w:t>
            </w:r>
            <w:r w:rsidR="006F4C4E" w:rsidRPr="00EE0D5F">
              <w:t xml:space="preserve"> </w:t>
            </w:r>
            <w:r w:rsidR="00374A8F" w:rsidRPr="00EE0D5F">
              <w:t>mg</w:t>
            </w:r>
            <w:r w:rsidR="00EE0D5F" w:rsidRPr="00F62917">
              <w:t>)</w:t>
            </w:r>
            <w:r w:rsidRPr="00EE0D5F">
              <w:t xml:space="preserve"> CBD group</w:t>
            </w:r>
            <w:r w:rsidR="00430080" w:rsidRPr="00F62917">
              <w:t>, but not the higher dose (800 mg)</w:t>
            </w:r>
            <w:r w:rsidR="00EE0D5F" w:rsidRPr="00F62917">
              <w:t xml:space="preserve"> CBD group</w:t>
            </w:r>
            <w:r w:rsidRPr="00EE0D5F">
              <w:t>.</w:t>
            </w:r>
            <w:r>
              <w:t xml:space="preserve"> Therefore</w:t>
            </w:r>
            <w:r w:rsidR="00623415">
              <w:t>,</w:t>
            </w:r>
            <w:r>
              <w:t xml:space="preserve"> </w:t>
            </w:r>
            <w:r w:rsidR="00374A8F">
              <w:t>t</w:t>
            </w:r>
            <w:r>
              <w:t xml:space="preserve">he </w:t>
            </w:r>
            <w:r w:rsidR="00590DB0">
              <w:t>studies were</w:t>
            </w:r>
            <w:r w:rsidR="00374A8F">
              <w:t xml:space="preserve"> judged </w:t>
            </w:r>
            <w:r>
              <w:t>to have serious imprecision and inconsistency.</w:t>
            </w:r>
          </w:p>
        </w:tc>
        <w:tc>
          <w:tcPr>
            <w:tcW w:w="3431" w:type="dxa"/>
          </w:tcPr>
          <w:p w14:paraId="17B82D79" w14:textId="44BA724C" w:rsidR="00642D7C" w:rsidRPr="009B4D43" w:rsidRDefault="00642D7C" w:rsidP="00642D7C">
            <w:pPr>
              <w:cnfStyle w:val="000000000000" w:firstRow="0" w:lastRow="0" w:firstColumn="0" w:lastColumn="0" w:oddVBand="0" w:evenVBand="0" w:oddHBand="0" w:evenHBand="0" w:firstRowFirstColumn="0" w:firstRowLastColumn="0" w:lastRowFirstColumn="0" w:lastRowLastColumn="0"/>
              <w:rPr>
                <w:rFonts w:cstheme="minorHAnsi"/>
                <w:szCs w:val="20"/>
              </w:rPr>
            </w:pPr>
            <w:r>
              <w:t>Serious</w:t>
            </w:r>
          </w:p>
        </w:tc>
      </w:tr>
      <w:tr w:rsidR="00642D7C" w:rsidRPr="009B4D43" w14:paraId="349F5339" w14:textId="77777777" w:rsidTr="003E03AC">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835" w:type="dxa"/>
          </w:tcPr>
          <w:p w14:paraId="37FC24E1" w14:textId="77777777" w:rsidR="00642D7C" w:rsidRPr="009B4D43" w:rsidRDefault="00642D7C" w:rsidP="00642D7C">
            <w:pPr>
              <w:rPr>
                <w:rFonts w:cstheme="minorHAnsi"/>
                <w:b w:val="0"/>
                <w:bCs w:val="0"/>
                <w:szCs w:val="20"/>
              </w:rPr>
            </w:pPr>
            <w:r w:rsidRPr="009B4D43">
              <w:rPr>
                <w:rFonts w:cstheme="minorHAnsi"/>
                <w:b w:val="0"/>
                <w:bCs w:val="0"/>
                <w:szCs w:val="20"/>
              </w:rPr>
              <w:lastRenderedPageBreak/>
              <w:t>Directness</w:t>
            </w:r>
          </w:p>
        </w:tc>
        <w:tc>
          <w:tcPr>
            <w:tcW w:w="7650" w:type="dxa"/>
          </w:tcPr>
          <w:p w14:paraId="5F1FABA5" w14:textId="24E5D742" w:rsidR="00642D7C" w:rsidRPr="00374A8F" w:rsidRDefault="00642D7C" w:rsidP="00590DB0">
            <w:pPr>
              <w:jc w:val="both"/>
              <w:cnfStyle w:val="000000100000" w:firstRow="0" w:lastRow="0" w:firstColumn="0" w:lastColumn="0" w:oddVBand="0" w:evenVBand="0" w:oddHBand="1" w:evenHBand="0" w:firstRowFirstColumn="0" w:firstRowLastColumn="0" w:lastRowFirstColumn="0" w:lastRowLastColumn="0"/>
            </w:pPr>
            <w:r>
              <w:t xml:space="preserve">Five of the six studies </w:t>
            </w:r>
            <w:r w:rsidR="00374A8F">
              <w:t xml:space="preserve">recruited participants with a </w:t>
            </w:r>
            <w:r>
              <w:t>substance</w:t>
            </w:r>
            <w:r w:rsidR="00374A8F">
              <w:t xml:space="preserve">-related </w:t>
            </w:r>
            <w:r>
              <w:t>disorder</w:t>
            </w:r>
            <w:r w:rsidR="00374A8F">
              <w:t xml:space="preserve">; the sixth </w:t>
            </w:r>
            <w:r>
              <w:t>study (Masataka</w:t>
            </w:r>
            <w:r w:rsidR="00BF6EB0">
              <w:t>,</w:t>
            </w:r>
            <w:r>
              <w:t xml:space="preserve"> 2019) recruited </w:t>
            </w:r>
            <w:r w:rsidR="00374A8F" w:rsidRPr="002C2F51">
              <w:t>young adults</w:t>
            </w:r>
            <w:r w:rsidR="002C2F51" w:rsidRPr="002C2F51">
              <w:t xml:space="preserve"> </w:t>
            </w:r>
            <w:r w:rsidR="008809E5">
              <w:t>(</w:t>
            </w:r>
            <w:r w:rsidR="002C2F51">
              <w:t>18 to 19 years</w:t>
            </w:r>
            <w:r w:rsidR="00431189">
              <w:t xml:space="preserve"> old</w:t>
            </w:r>
            <w:r w:rsidR="008809E5">
              <w:t>)</w:t>
            </w:r>
            <w:r w:rsidR="00374A8F">
              <w:t xml:space="preserve"> </w:t>
            </w:r>
            <w:r>
              <w:t xml:space="preserve">with </w:t>
            </w:r>
            <w:r w:rsidR="00374A8F">
              <w:t xml:space="preserve">a </w:t>
            </w:r>
            <w:r>
              <w:t>soc</w:t>
            </w:r>
            <w:r w:rsidR="00374A8F">
              <w:t>ial anxiety disorder</w:t>
            </w:r>
            <w:r w:rsidR="008A2D7F">
              <w:t xml:space="preserve"> and comorbid </w:t>
            </w:r>
            <w:r w:rsidR="00513407">
              <w:t>avoidant personality disorder</w:t>
            </w:r>
            <w:r>
              <w:t xml:space="preserve">. </w:t>
            </w:r>
            <w:r w:rsidR="00A82DBB">
              <w:t xml:space="preserve">Three studies offered </w:t>
            </w:r>
            <w:r w:rsidR="00D35DF4">
              <w:t>psychotherapy to all participants</w:t>
            </w:r>
            <w:r w:rsidR="0036230B">
              <w:t xml:space="preserve"> </w:t>
            </w:r>
            <w:r w:rsidR="00D35DF4">
              <w:t>and examined CBD as an adjunct treatment</w:t>
            </w:r>
            <w:r w:rsidR="00BA2467">
              <w:t xml:space="preserve"> (Freeman et al., 2020; Meneses-Gaya et al., 2021; Mongeau-Pérusse et al., 2021)</w:t>
            </w:r>
            <w:r w:rsidR="00CA6646">
              <w:t xml:space="preserve">: </w:t>
            </w:r>
            <w:r w:rsidR="007E4292">
              <w:t>b</w:t>
            </w:r>
            <w:r>
              <w:t xml:space="preserve">oth </w:t>
            </w:r>
            <w:r w:rsidR="00590DB0">
              <w:t xml:space="preserve">the </w:t>
            </w:r>
            <w:r>
              <w:t xml:space="preserve">Meneses-Gaya </w:t>
            </w:r>
            <w:r w:rsidR="00374A8F">
              <w:t>et al. (</w:t>
            </w:r>
            <w:r>
              <w:t>2021</w:t>
            </w:r>
            <w:r w:rsidR="00374A8F">
              <w:t>) and Mongeau-Pérusse et al. (</w:t>
            </w:r>
            <w:r>
              <w:t>2021</w:t>
            </w:r>
            <w:r w:rsidR="00374A8F">
              <w:t>)</w:t>
            </w:r>
            <w:r>
              <w:t xml:space="preserve"> </w:t>
            </w:r>
            <w:r w:rsidR="00CF7791">
              <w:t xml:space="preserve">studies </w:t>
            </w:r>
            <w:r w:rsidR="007E4292">
              <w:t>offered</w:t>
            </w:r>
            <w:r w:rsidR="00CF7791">
              <w:t xml:space="preserve"> group psychotherapy for </w:t>
            </w:r>
            <w:r w:rsidR="008809E5">
              <w:t>cocaine u</w:t>
            </w:r>
            <w:r w:rsidR="00CF7791">
              <w:t>se</w:t>
            </w:r>
            <w:r w:rsidR="008809E5">
              <w:t xml:space="preserve"> d</w:t>
            </w:r>
            <w:r>
              <w:t>isorder</w:t>
            </w:r>
            <w:r w:rsidR="00374A8F">
              <w:t>;</w:t>
            </w:r>
            <w:r>
              <w:t xml:space="preserve"> while </w:t>
            </w:r>
            <w:r w:rsidR="00204977">
              <w:t xml:space="preserve">the </w:t>
            </w:r>
            <w:r w:rsidRPr="004264F0">
              <w:t xml:space="preserve">Freeman et al. </w:t>
            </w:r>
            <w:r w:rsidR="00374A8F">
              <w:t>(</w:t>
            </w:r>
            <w:r w:rsidRPr="004264F0">
              <w:t>2020</w:t>
            </w:r>
            <w:r w:rsidR="00374A8F">
              <w:t>)</w:t>
            </w:r>
            <w:r w:rsidR="003F795C">
              <w:t xml:space="preserve"> </w:t>
            </w:r>
            <w:r w:rsidR="00204977">
              <w:t xml:space="preserve">study </w:t>
            </w:r>
            <w:r w:rsidR="003F795C">
              <w:t xml:space="preserve">offered </w:t>
            </w:r>
            <w:r w:rsidR="008809E5">
              <w:t>motivational interviewing for c</w:t>
            </w:r>
            <w:r>
              <w:t xml:space="preserve">annabis </w:t>
            </w:r>
            <w:r w:rsidR="008809E5">
              <w:t>use d</w:t>
            </w:r>
            <w:r>
              <w:t>isorder. The remain</w:t>
            </w:r>
            <w:r w:rsidR="00CF7791">
              <w:t xml:space="preserve">ing three studies </w:t>
            </w:r>
            <w:r w:rsidR="006B1117">
              <w:t>(Hindocha et al., 2018; Hurd et al., 2019</w:t>
            </w:r>
            <w:r w:rsidR="0047527F">
              <w:t>;</w:t>
            </w:r>
            <w:r w:rsidR="006B1117">
              <w:t xml:space="preserve"> Masataka, 2019) </w:t>
            </w:r>
            <w:r w:rsidR="00D8559F">
              <w:t xml:space="preserve">used a standalone CBD </w:t>
            </w:r>
            <w:r w:rsidR="00590DB0">
              <w:t>intervention</w:t>
            </w:r>
            <w:r>
              <w:t xml:space="preserve">. </w:t>
            </w:r>
            <w:r w:rsidRPr="00B93D6D">
              <w:t>Therefore</w:t>
            </w:r>
            <w:r w:rsidR="00CF7791">
              <w:t>,</w:t>
            </w:r>
            <w:r w:rsidRPr="00B93D6D">
              <w:t xml:space="preserve"> the </w:t>
            </w:r>
            <w:r w:rsidR="0059288B">
              <w:t>studies</w:t>
            </w:r>
            <w:r w:rsidRPr="00B93D6D">
              <w:t xml:space="preserve"> </w:t>
            </w:r>
            <w:r w:rsidR="00374A8F">
              <w:t xml:space="preserve">were judged </w:t>
            </w:r>
            <w:r w:rsidRPr="00B93D6D">
              <w:t>to have</w:t>
            </w:r>
            <w:r>
              <w:t xml:space="preserve"> borderline indirectness</w:t>
            </w:r>
            <w:r w:rsidR="00375F32">
              <w:t xml:space="preserve"> in relation to the review question</w:t>
            </w:r>
            <w:r>
              <w:t>.</w:t>
            </w:r>
          </w:p>
        </w:tc>
        <w:tc>
          <w:tcPr>
            <w:tcW w:w="3431" w:type="dxa"/>
          </w:tcPr>
          <w:p w14:paraId="5D08C5F6" w14:textId="5175DBD0" w:rsidR="00642D7C" w:rsidRPr="009B4D43" w:rsidRDefault="00642D7C" w:rsidP="00642D7C">
            <w:pPr>
              <w:cnfStyle w:val="000000100000" w:firstRow="0" w:lastRow="0" w:firstColumn="0" w:lastColumn="0" w:oddVBand="0" w:evenVBand="0" w:oddHBand="1" w:evenHBand="0" w:firstRowFirstColumn="0" w:firstRowLastColumn="0" w:lastRowFirstColumn="0" w:lastRowLastColumn="0"/>
              <w:rPr>
                <w:rFonts w:cstheme="minorHAnsi"/>
                <w:szCs w:val="20"/>
              </w:rPr>
            </w:pPr>
            <w:r w:rsidRPr="00E27A1C">
              <w:t>No</w:t>
            </w:r>
            <w:r w:rsidR="0070452E">
              <w:t>t</w:t>
            </w:r>
            <w:r w:rsidRPr="00E27A1C">
              <w:t xml:space="preserve"> serious, borderline</w:t>
            </w:r>
          </w:p>
        </w:tc>
      </w:tr>
      <w:tr w:rsidR="00642D7C" w:rsidRPr="009B4D43" w14:paraId="13E7404A" w14:textId="77777777" w:rsidTr="003E03AC">
        <w:trPr>
          <w:trHeight w:val="571"/>
        </w:trPr>
        <w:tc>
          <w:tcPr>
            <w:cnfStyle w:val="001000000000" w:firstRow="0" w:lastRow="0" w:firstColumn="1" w:lastColumn="0" w:oddVBand="0" w:evenVBand="0" w:oddHBand="0" w:evenHBand="0" w:firstRowFirstColumn="0" w:firstRowLastColumn="0" w:lastRowFirstColumn="0" w:lastRowLastColumn="0"/>
            <w:tcW w:w="2835" w:type="dxa"/>
          </w:tcPr>
          <w:p w14:paraId="5F4877EA" w14:textId="77777777" w:rsidR="00642D7C" w:rsidRPr="009B4D43" w:rsidRDefault="00642D7C" w:rsidP="00642D7C">
            <w:pPr>
              <w:rPr>
                <w:rFonts w:cstheme="minorHAnsi"/>
                <w:b w:val="0"/>
                <w:bCs w:val="0"/>
                <w:szCs w:val="20"/>
              </w:rPr>
            </w:pPr>
            <w:r w:rsidRPr="009B4D43">
              <w:rPr>
                <w:rFonts w:cstheme="minorHAnsi"/>
                <w:b w:val="0"/>
                <w:bCs w:val="0"/>
                <w:szCs w:val="20"/>
              </w:rPr>
              <w:t>Publication bias</w:t>
            </w:r>
          </w:p>
        </w:tc>
        <w:tc>
          <w:tcPr>
            <w:tcW w:w="7650" w:type="dxa"/>
          </w:tcPr>
          <w:p w14:paraId="7A2D2D69" w14:textId="317E8D6F" w:rsidR="00642D7C" w:rsidRPr="009B4D43" w:rsidRDefault="001C1D1B" w:rsidP="00590DB0">
            <w:pPr>
              <w:jc w:val="both"/>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 xml:space="preserve">Publication bias was not suspected as studies with both positive and </w:t>
            </w:r>
            <w:r w:rsidRPr="00B5038F">
              <w:rPr>
                <w:rFonts w:cstheme="minorHAnsi"/>
                <w:szCs w:val="20"/>
              </w:rPr>
              <w:t>negative</w:t>
            </w:r>
            <w:r>
              <w:rPr>
                <w:rFonts w:cstheme="minorHAnsi"/>
                <w:szCs w:val="20"/>
              </w:rPr>
              <w:t xml:space="preserve"> findings </w:t>
            </w:r>
            <w:r w:rsidRPr="00B5038F">
              <w:rPr>
                <w:rFonts w:cstheme="minorHAnsi"/>
                <w:szCs w:val="20"/>
              </w:rPr>
              <w:t>were published, and the search for studies was comprehensive.</w:t>
            </w:r>
            <w:r>
              <w:rPr>
                <w:rFonts w:cstheme="minorHAnsi"/>
                <w:szCs w:val="20"/>
              </w:rPr>
              <w:t xml:space="preserve"> </w:t>
            </w:r>
            <w:r w:rsidR="00590DB0">
              <w:t>The REA search strategy identified n</w:t>
            </w:r>
            <w:r w:rsidR="004322AB">
              <w:t xml:space="preserve">ine </w:t>
            </w:r>
            <w:r w:rsidR="00590DB0">
              <w:t xml:space="preserve">(9) </w:t>
            </w:r>
            <w:r w:rsidR="00C84E08">
              <w:t xml:space="preserve">clinical trial </w:t>
            </w:r>
            <w:r w:rsidR="008809E5">
              <w:t>records for studie</w:t>
            </w:r>
            <w:r w:rsidR="00590DB0">
              <w:t xml:space="preserve">s examining a </w:t>
            </w:r>
            <w:r w:rsidR="00F11AB5">
              <w:t xml:space="preserve">CBD </w:t>
            </w:r>
            <w:r w:rsidR="00590DB0">
              <w:t>intervention</w:t>
            </w:r>
            <w:r w:rsidR="001C7BF1">
              <w:t xml:space="preserve"> </w:t>
            </w:r>
            <w:r>
              <w:t xml:space="preserve">for the mental health conditions of interest </w:t>
            </w:r>
            <w:r w:rsidR="001C7BF1">
              <w:t>(see Appendix 4)</w:t>
            </w:r>
            <w:r w:rsidR="008809E5">
              <w:t xml:space="preserve">. The findings from </w:t>
            </w:r>
            <w:r w:rsidR="005B7355">
              <w:t xml:space="preserve">these </w:t>
            </w:r>
            <w:r w:rsidR="008809E5">
              <w:t xml:space="preserve">studies </w:t>
            </w:r>
            <w:r w:rsidR="00590DB0">
              <w:t>may be</w:t>
            </w:r>
            <w:r w:rsidR="005B7355">
              <w:t xml:space="preserve"> relevant to future reports. </w:t>
            </w:r>
            <w:r w:rsidR="00590DB0">
              <w:t xml:space="preserve">For three of these studies, the </w:t>
            </w:r>
            <w:r w:rsidR="008809E5">
              <w:t xml:space="preserve">clinical trial records </w:t>
            </w:r>
            <w:r w:rsidR="005A5CDF">
              <w:t>(EUCTR2020-003739-62-NL, NCT04205682, NCT03248167)</w:t>
            </w:r>
            <w:r w:rsidR="008809E5">
              <w:t xml:space="preserve"> report</w:t>
            </w:r>
            <w:r w:rsidR="005B7355">
              <w:t xml:space="preserve"> an </w:t>
            </w:r>
            <w:r w:rsidR="008809E5">
              <w:t>expected date of completion</w:t>
            </w:r>
            <w:r w:rsidR="003E3A83">
              <w:t xml:space="preserve"> that has expired</w:t>
            </w:r>
            <w:r w:rsidR="005A5CDF">
              <w:t>.</w:t>
            </w:r>
            <w:r w:rsidR="004B6061">
              <w:t xml:space="preserve"> Further analysis is required.</w:t>
            </w:r>
          </w:p>
        </w:tc>
        <w:tc>
          <w:tcPr>
            <w:tcW w:w="3431" w:type="dxa"/>
          </w:tcPr>
          <w:p w14:paraId="32341A71" w14:textId="58B52568" w:rsidR="00642D7C" w:rsidRPr="009B4D43" w:rsidRDefault="00642D7C" w:rsidP="00642D7C">
            <w:pPr>
              <w:cnfStyle w:val="000000000000" w:firstRow="0" w:lastRow="0" w:firstColumn="0" w:lastColumn="0" w:oddVBand="0" w:evenVBand="0" w:oddHBand="0" w:evenHBand="0" w:firstRowFirstColumn="0" w:firstRowLastColumn="0" w:lastRowFirstColumn="0" w:lastRowLastColumn="0"/>
              <w:rPr>
                <w:rFonts w:cstheme="minorHAnsi"/>
                <w:szCs w:val="20"/>
              </w:rPr>
            </w:pPr>
            <w:r>
              <w:t>Not suspected</w:t>
            </w:r>
            <w:r w:rsidR="004B6061">
              <w:t>, pending further analysis</w:t>
            </w:r>
          </w:p>
        </w:tc>
      </w:tr>
    </w:tbl>
    <w:p w14:paraId="299A0531" w14:textId="520BA4EA" w:rsidR="00BB0D21" w:rsidRPr="003E0FBF" w:rsidRDefault="00BB0D21" w:rsidP="00350AAD">
      <w:pPr>
        <w:pStyle w:val="Heading2"/>
        <w:numPr>
          <w:ilvl w:val="0"/>
          <w:numId w:val="19"/>
        </w:numPr>
        <w:autoSpaceDE w:val="0"/>
        <w:autoSpaceDN w:val="0"/>
        <w:adjustRightInd w:val="0"/>
        <w:spacing w:after="0" w:line="240" w:lineRule="auto"/>
        <w:ind w:left="357" w:hanging="357"/>
        <w:rPr>
          <w:rFonts w:cstheme="majorHAnsi"/>
        </w:rPr>
      </w:pPr>
      <w:bookmarkStart w:id="343" w:name="_Toc99653140"/>
      <w:bookmarkStart w:id="344" w:name="_Toc101536722"/>
      <w:bookmarkStart w:id="345" w:name="_Toc103944935"/>
      <w:bookmarkStart w:id="346" w:name="_Toc121096148"/>
      <w:bookmarkStart w:id="347" w:name="_Toc165018257"/>
      <w:bookmarkStart w:id="348" w:name="_Hlk99532017"/>
      <w:bookmarkEnd w:id="342"/>
      <w:r w:rsidRPr="003E0FBF">
        <w:rPr>
          <w:rFonts w:cstheme="majorHAnsi"/>
        </w:rPr>
        <w:t xml:space="preserve">GRADE rating of </w:t>
      </w:r>
      <w:r w:rsidR="00CB3B99" w:rsidRPr="003E0FBF">
        <w:rPr>
          <w:rFonts w:cstheme="majorHAnsi"/>
        </w:rPr>
        <w:t>natural cannabis extract (THC</w:t>
      </w:r>
      <w:r w:rsidR="006D3A59">
        <w:rPr>
          <w:rFonts w:cstheme="majorHAnsi"/>
        </w:rPr>
        <w:t>&amp;</w:t>
      </w:r>
      <w:r w:rsidR="00CB3B99" w:rsidRPr="003E0FBF">
        <w:rPr>
          <w:rFonts w:cstheme="majorHAnsi"/>
        </w:rPr>
        <w:t>CBD) studies</w:t>
      </w:r>
      <w:bookmarkEnd w:id="343"/>
      <w:bookmarkEnd w:id="344"/>
      <w:bookmarkEnd w:id="345"/>
      <w:bookmarkEnd w:id="346"/>
      <w:bookmarkEnd w:id="347"/>
    </w:p>
    <w:tbl>
      <w:tblPr>
        <w:tblStyle w:val="GridTable4-Accent5"/>
        <w:tblW w:w="0" w:type="auto"/>
        <w:tblLook w:val="04A0" w:firstRow="1" w:lastRow="0" w:firstColumn="1" w:lastColumn="0" w:noHBand="0" w:noVBand="1"/>
      </w:tblPr>
      <w:tblGrid>
        <w:gridCol w:w="2835"/>
        <w:gridCol w:w="7650"/>
        <w:gridCol w:w="3431"/>
      </w:tblGrid>
      <w:tr w:rsidR="00BB0D21" w:rsidRPr="009B4D43" w14:paraId="6167BB58" w14:textId="77777777" w:rsidTr="003A54C8">
        <w:trPr>
          <w:cnfStyle w:val="100000000000" w:firstRow="1" w:lastRow="0" w:firstColumn="0" w:lastColumn="0" w:oddVBand="0" w:evenVBand="0" w:oddHBand="0" w:evenHBand="0" w:firstRowFirstColumn="0" w:firstRowLastColumn="0" w:lastRowFirstColumn="0" w:lastRowLastColumn="0"/>
          <w:trHeight w:val="349"/>
          <w:tblHeader/>
        </w:trPr>
        <w:tc>
          <w:tcPr>
            <w:cnfStyle w:val="001000000000" w:firstRow="0" w:lastRow="0" w:firstColumn="1" w:lastColumn="0" w:oddVBand="0" w:evenVBand="0" w:oddHBand="0" w:evenHBand="0" w:firstRowFirstColumn="0" w:firstRowLastColumn="0" w:lastRowFirstColumn="0" w:lastRowLastColumn="0"/>
            <w:tcW w:w="2835" w:type="dxa"/>
          </w:tcPr>
          <w:p w14:paraId="14C5E605" w14:textId="77777777" w:rsidR="00BB0D21" w:rsidRPr="009B4D43" w:rsidRDefault="00BB0D21" w:rsidP="00BB0D21">
            <w:pPr>
              <w:rPr>
                <w:rFonts w:cstheme="minorHAnsi"/>
                <w:szCs w:val="20"/>
              </w:rPr>
            </w:pPr>
            <w:bookmarkStart w:id="349" w:name="_Hlk101456814"/>
            <w:r w:rsidRPr="009B4D43">
              <w:rPr>
                <w:rFonts w:cstheme="minorHAnsi"/>
                <w:szCs w:val="20"/>
              </w:rPr>
              <w:t>GRADE domain</w:t>
            </w:r>
          </w:p>
        </w:tc>
        <w:tc>
          <w:tcPr>
            <w:tcW w:w="7650" w:type="dxa"/>
          </w:tcPr>
          <w:p w14:paraId="071610A8" w14:textId="77777777" w:rsidR="00BB0D21" w:rsidRPr="009B4D43" w:rsidRDefault="00BB0D21" w:rsidP="00BB0D21">
            <w:pPr>
              <w:cnfStyle w:val="100000000000" w:firstRow="1" w:lastRow="0" w:firstColumn="0" w:lastColumn="0" w:oddVBand="0" w:evenVBand="0" w:oddHBand="0" w:evenHBand="0" w:firstRowFirstColumn="0" w:firstRowLastColumn="0" w:lastRowFirstColumn="0" w:lastRowLastColumn="0"/>
              <w:rPr>
                <w:rFonts w:cstheme="minorHAnsi"/>
                <w:szCs w:val="20"/>
              </w:rPr>
            </w:pPr>
            <w:r w:rsidRPr="009B4D43">
              <w:rPr>
                <w:rFonts w:cstheme="minorHAnsi"/>
                <w:szCs w:val="20"/>
              </w:rPr>
              <w:t>Judgement</w:t>
            </w:r>
          </w:p>
        </w:tc>
        <w:tc>
          <w:tcPr>
            <w:tcW w:w="3431" w:type="dxa"/>
          </w:tcPr>
          <w:p w14:paraId="7489B167" w14:textId="77777777" w:rsidR="00BB0D21" w:rsidRPr="009B4D43" w:rsidRDefault="00BB0D21" w:rsidP="00BB0D21">
            <w:pPr>
              <w:cnfStyle w:val="100000000000" w:firstRow="1" w:lastRow="0" w:firstColumn="0" w:lastColumn="0" w:oddVBand="0" w:evenVBand="0" w:oddHBand="0" w:evenHBand="0" w:firstRowFirstColumn="0" w:firstRowLastColumn="0" w:lastRowFirstColumn="0" w:lastRowLastColumn="0"/>
              <w:rPr>
                <w:rFonts w:cstheme="minorHAnsi"/>
                <w:szCs w:val="20"/>
              </w:rPr>
            </w:pPr>
            <w:r w:rsidRPr="009B4D43">
              <w:rPr>
                <w:rFonts w:cstheme="minorHAnsi"/>
                <w:szCs w:val="20"/>
              </w:rPr>
              <w:t>Concerns about certainty domains</w:t>
            </w:r>
          </w:p>
        </w:tc>
      </w:tr>
      <w:bookmarkEnd w:id="348"/>
      <w:tr w:rsidR="002E3467" w:rsidRPr="009B4D43" w14:paraId="443398A4" w14:textId="77777777" w:rsidTr="003E03AC">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835" w:type="dxa"/>
          </w:tcPr>
          <w:p w14:paraId="638B13C8" w14:textId="23C276C2" w:rsidR="002E3467" w:rsidRPr="009B4D43" w:rsidRDefault="00A445DA" w:rsidP="002E3467">
            <w:pPr>
              <w:rPr>
                <w:rFonts w:cstheme="minorHAnsi"/>
                <w:b w:val="0"/>
                <w:bCs w:val="0"/>
                <w:szCs w:val="20"/>
              </w:rPr>
            </w:pPr>
            <w:r>
              <w:rPr>
                <w:rFonts w:cstheme="minorHAnsi"/>
                <w:b w:val="0"/>
                <w:bCs w:val="0"/>
                <w:szCs w:val="20"/>
              </w:rPr>
              <w:t>Study limitations (risk of bias)</w:t>
            </w:r>
          </w:p>
        </w:tc>
        <w:tc>
          <w:tcPr>
            <w:tcW w:w="7650" w:type="dxa"/>
          </w:tcPr>
          <w:p w14:paraId="6982C050" w14:textId="31275D87" w:rsidR="002E3467" w:rsidRPr="009B4D43" w:rsidRDefault="00EB7486" w:rsidP="004C241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Pr>
                <w:rFonts w:eastAsia="Times New Roman" w:cs="Calibri"/>
                <w:color w:val="000000"/>
                <w:lang w:eastAsia="en-AU"/>
              </w:rPr>
              <w:t>Both studies e</w:t>
            </w:r>
            <w:r w:rsidR="00670128">
              <w:rPr>
                <w:rFonts w:eastAsia="Times New Roman" w:cs="Calibri"/>
                <w:color w:val="000000"/>
                <w:lang w:eastAsia="en-AU"/>
              </w:rPr>
              <w:t>xamin</w:t>
            </w:r>
            <w:r w:rsidR="00E07D55">
              <w:rPr>
                <w:rFonts w:eastAsia="Times New Roman" w:cs="Calibri"/>
                <w:color w:val="000000"/>
                <w:lang w:eastAsia="en-AU"/>
              </w:rPr>
              <w:t>ed</w:t>
            </w:r>
            <w:r>
              <w:rPr>
                <w:rFonts w:eastAsia="Times New Roman" w:cs="Calibri"/>
                <w:color w:val="000000"/>
                <w:lang w:eastAsia="en-AU"/>
              </w:rPr>
              <w:t xml:space="preserve"> </w:t>
            </w:r>
            <w:r w:rsidR="00307901">
              <w:rPr>
                <w:rFonts w:eastAsia="Times New Roman" w:cs="Calibri"/>
                <w:color w:val="000000"/>
                <w:lang w:eastAsia="en-AU"/>
              </w:rPr>
              <w:t xml:space="preserve">natural </w:t>
            </w:r>
            <w:r w:rsidR="002E3467">
              <w:rPr>
                <w:rFonts w:eastAsia="Times New Roman" w:cs="Calibri"/>
                <w:color w:val="000000"/>
                <w:lang w:eastAsia="en-AU"/>
              </w:rPr>
              <w:t>cannabis extract</w:t>
            </w:r>
            <w:r w:rsidR="0059288B">
              <w:rPr>
                <w:rFonts w:eastAsia="Times New Roman" w:cs="Calibri"/>
                <w:color w:val="000000"/>
                <w:lang w:eastAsia="en-AU"/>
              </w:rPr>
              <w:t xml:space="preserve"> (</w:t>
            </w:r>
            <w:r w:rsidR="000C55D2">
              <w:rPr>
                <w:rFonts w:eastAsia="Times New Roman" w:cs="Calibri"/>
                <w:color w:val="000000"/>
                <w:lang w:eastAsia="en-AU"/>
              </w:rPr>
              <w:t xml:space="preserve">THC&amp;CBD; </w:t>
            </w:r>
            <w:r w:rsidR="0059288B">
              <w:rPr>
                <w:rFonts w:eastAsia="Times New Roman" w:cs="Calibri"/>
                <w:color w:val="000000"/>
                <w:lang w:eastAsia="en-AU"/>
              </w:rPr>
              <w:t>nabiximol</w:t>
            </w:r>
            <w:r w:rsidR="00B0008D">
              <w:rPr>
                <w:rFonts w:eastAsia="Times New Roman" w:cs="Calibri"/>
                <w:color w:val="000000"/>
                <w:lang w:eastAsia="en-AU"/>
              </w:rPr>
              <w:t>s</w:t>
            </w:r>
            <w:r w:rsidR="002E3467">
              <w:rPr>
                <w:rFonts w:eastAsia="Times New Roman" w:cs="Calibri"/>
                <w:color w:val="000000"/>
                <w:lang w:eastAsia="en-AU"/>
              </w:rPr>
              <w:t xml:space="preserve"> </w:t>
            </w:r>
            <w:r w:rsidR="003E3A83">
              <w:rPr>
                <w:rFonts w:eastAsia="Times New Roman" w:cs="Calibri"/>
                <w:color w:val="000000"/>
                <w:lang w:eastAsia="en-AU"/>
              </w:rPr>
              <w:t>oromucosal</w:t>
            </w:r>
            <w:r w:rsidR="002E3467">
              <w:rPr>
                <w:rFonts w:eastAsia="Times New Roman" w:cs="Calibri"/>
                <w:color w:val="000000"/>
                <w:lang w:eastAsia="en-AU"/>
              </w:rPr>
              <w:t xml:space="preserve"> spray</w:t>
            </w:r>
            <w:r w:rsidR="00592ACD">
              <w:rPr>
                <w:rFonts w:eastAsia="Times New Roman" w:cs="Calibri"/>
                <w:color w:val="000000"/>
                <w:lang w:eastAsia="en-AU"/>
              </w:rPr>
              <w:t>)</w:t>
            </w:r>
            <w:r w:rsidR="007C5301">
              <w:rPr>
                <w:rFonts w:eastAsia="Times New Roman" w:cs="Calibri"/>
                <w:color w:val="000000"/>
                <w:lang w:eastAsia="en-AU"/>
              </w:rPr>
              <w:t xml:space="preserve"> </w:t>
            </w:r>
            <w:r w:rsidR="00B43893">
              <w:rPr>
                <w:rFonts w:eastAsia="Times New Roman" w:cs="Calibri"/>
                <w:color w:val="000000"/>
                <w:lang w:eastAsia="en-AU"/>
              </w:rPr>
              <w:t xml:space="preserve">for cannabis use disorder </w:t>
            </w:r>
            <w:r w:rsidR="00D611AE" w:rsidRPr="00CC0EFE">
              <w:rPr>
                <w:rFonts w:eastAsia="Times New Roman" w:cs="Calibri"/>
                <w:color w:val="000000"/>
                <w:lang w:eastAsia="en-AU"/>
              </w:rPr>
              <w:t>(Lintzeris et al., 2019; Trigo et al., 2018)</w:t>
            </w:r>
            <w:r w:rsidR="007B08F7">
              <w:rPr>
                <w:rFonts w:eastAsia="Times New Roman" w:cs="Calibri"/>
                <w:color w:val="000000"/>
                <w:lang w:eastAsia="en-AU"/>
              </w:rPr>
              <w:t>. Both studies</w:t>
            </w:r>
            <w:r w:rsidR="00D611AE">
              <w:rPr>
                <w:rFonts w:eastAsia="Times New Roman" w:cs="Calibri"/>
                <w:color w:val="000000"/>
                <w:lang w:eastAsia="en-AU"/>
              </w:rPr>
              <w:t xml:space="preserve"> </w:t>
            </w:r>
            <w:r>
              <w:rPr>
                <w:rFonts w:eastAsia="Times New Roman" w:cs="Calibri"/>
                <w:color w:val="000000"/>
                <w:lang w:eastAsia="en-AU"/>
              </w:rPr>
              <w:t>we</w:t>
            </w:r>
            <w:r w:rsidR="003E3A83">
              <w:rPr>
                <w:rFonts w:eastAsia="Times New Roman" w:cs="Calibri"/>
                <w:color w:val="000000"/>
                <w:lang w:eastAsia="en-AU"/>
              </w:rPr>
              <w:t xml:space="preserve">re judged to have </w:t>
            </w:r>
            <w:r w:rsidR="004D02F2">
              <w:rPr>
                <w:rFonts w:eastAsia="Times New Roman" w:cs="Calibri"/>
                <w:color w:val="000000"/>
                <w:lang w:eastAsia="en-AU"/>
              </w:rPr>
              <w:t>a high risk of bias</w:t>
            </w:r>
            <w:r w:rsidR="00B43893">
              <w:rPr>
                <w:rFonts w:eastAsia="Times New Roman" w:cs="Calibri"/>
                <w:color w:val="000000"/>
                <w:lang w:eastAsia="en-AU"/>
              </w:rPr>
              <w:t>;</w:t>
            </w:r>
            <w:r w:rsidR="00CC71BF">
              <w:rPr>
                <w:rFonts w:eastAsia="Times New Roman" w:cs="Calibri"/>
                <w:color w:val="000000"/>
                <w:lang w:eastAsia="en-AU"/>
              </w:rPr>
              <w:t xml:space="preserve"> primarily due to </w:t>
            </w:r>
            <w:r w:rsidR="007333C2">
              <w:rPr>
                <w:rFonts w:eastAsia="Times New Roman" w:cs="Calibri"/>
                <w:color w:val="000000"/>
                <w:lang w:eastAsia="en-AU"/>
              </w:rPr>
              <w:t>missing outcome data</w:t>
            </w:r>
            <w:r w:rsidR="009E7F56">
              <w:rPr>
                <w:rFonts w:eastAsia="Times New Roman" w:cs="Calibri"/>
                <w:color w:val="000000"/>
                <w:lang w:eastAsia="en-AU"/>
              </w:rPr>
              <w:t>:</w:t>
            </w:r>
            <w:r w:rsidR="00750682">
              <w:rPr>
                <w:rFonts w:eastAsia="Times New Roman" w:cs="Calibri"/>
                <w:color w:val="000000"/>
                <w:lang w:eastAsia="en-AU"/>
              </w:rPr>
              <w:t xml:space="preserve"> the </w:t>
            </w:r>
            <w:r w:rsidR="002819E0" w:rsidRPr="002819E0">
              <w:rPr>
                <w:rFonts w:eastAsia="Times New Roman" w:cs="Calibri"/>
                <w:color w:val="000000"/>
                <w:lang w:eastAsia="en-AU"/>
              </w:rPr>
              <w:t xml:space="preserve">studies </w:t>
            </w:r>
            <w:r w:rsidR="000A7370">
              <w:rPr>
                <w:rFonts w:eastAsia="Times New Roman" w:cs="Calibri"/>
                <w:color w:val="000000"/>
                <w:lang w:eastAsia="en-AU"/>
              </w:rPr>
              <w:t>had</w:t>
            </w:r>
            <w:r w:rsidR="002819E0" w:rsidRPr="002819E0">
              <w:rPr>
                <w:rFonts w:eastAsia="Times New Roman" w:cs="Calibri"/>
                <w:color w:val="000000"/>
                <w:lang w:eastAsia="en-AU"/>
              </w:rPr>
              <w:t xml:space="preserve"> low retention rates, with</w:t>
            </w:r>
            <w:r w:rsidR="007C5301">
              <w:rPr>
                <w:rFonts w:eastAsia="Times New Roman" w:cs="Calibri"/>
                <w:color w:val="000000"/>
                <w:lang w:eastAsia="en-AU"/>
              </w:rPr>
              <w:t xml:space="preserve"> </w:t>
            </w:r>
            <w:r w:rsidR="00AF668F">
              <w:rPr>
                <w:rFonts w:eastAsia="Times New Roman" w:cs="Calibri"/>
                <w:color w:val="000000"/>
                <w:lang w:eastAsia="en-AU"/>
              </w:rPr>
              <w:t xml:space="preserve">approximately </w:t>
            </w:r>
            <w:r w:rsidR="00AE54E6">
              <w:rPr>
                <w:rFonts w:eastAsia="Times New Roman" w:cs="Calibri"/>
                <w:color w:val="000000"/>
                <w:lang w:eastAsia="en-AU"/>
              </w:rPr>
              <w:t>50% of</w:t>
            </w:r>
            <w:r w:rsidR="002819E0" w:rsidRPr="002819E0">
              <w:rPr>
                <w:rFonts w:eastAsia="Times New Roman" w:cs="Calibri"/>
                <w:color w:val="000000"/>
                <w:lang w:eastAsia="en-AU"/>
              </w:rPr>
              <w:t xml:space="preserve"> participants</w:t>
            </w:r>
            <w:r w:rsidR="002819E0">
              <w:rPr>
                <w:rFonts w:eastAsia="Times New Roman" w:cs="Calibri"/>
                <w:color w:val="000000"/>
                <w:lang w:eastAsia="en-AU"/>
              </w:rPr>
              <w:t xml:space="preserve"> </w:t>
            </w:r>
            <w:r w:rsidR="00AF668F">
              <w:rPr>
                <w:rFonts w:eastAsia="Times New Roman" w:cs="Calibri"/>
                <w:color w:val="000000"/>
                <w:lang w:eastAsia="en-AU"/>
              </w:rPr>
              <w:t xml:space="preserve">failing to </w:t>
            </w:r>
            <w:r w:rsidR="002819E0">
              <w:rPr>
                <w:rFonts w:eastAsia="Times New Roman" w:cs="Calibri"/>
                <w:color w:val="000000"/>
                <w:lang w:eastAsia="en-AU"/>
              </w:rPr>
              <w:t>complet</w:t>
            </w:r>
            <w:r w:rsidR="00AF668F">
              <w:rPr>
                <w:rFonts w:eastAsia="Times New Roman" w:cs="Calibri"/>
                <w:color w:val="000000"/>
                <w:lang w:eastAsia="en-AU"/>
              </w:rPr>
              <w:t>e</w:t>
            </w:r>
            <w:r w:rsidR="002819E0">
              <w:rPr>
                <w:rFonts w:eastAsia="Times New Roman" w:cs="Calibri"/>
                <w:color w:val="000000"/>
                <w:lang w:eastAsia="en-AU"/>
              </w:rPr>
              <w:t xml:space="preserve"> the </w:t>
            </w:r>
            <w:r w:rsidR="00806B9A">
              <w:rPr>
                <w:rFonts w:eastAsia="Times New Roman" w:cs="Calibri"/>
                <w:color w:val="000000"/>
                <w:lang w:eastAsia="en-AU"/>
              </w:rPr>
              <w:t>12-week trial protocol</w:t>
            </w:r>
            <w:r w:rsidR="00AE069B">
              <w:rPr>
                <w:rFonts w:eastAsia="Times New Roman" w:cs="Calibri"/>
                <w:color w:val="000000"/>
                <w:lang w:eastAsia="en-AU"/>
              </w:rPr>
              <w:t>s</w:t>
            </w:r>
            <w:r w:rsidR="002819E0">
              <w:rPr>
                <w:rFonts w:eastAsia="Times New Roman" w:cs="Calibri"/>
                <w:color w:val="000000"/>
                <w:lang w:eastAsia="en-AU"/>
              </w:rPr>
              <w:t xml:space="preserve">. </w:t>
            </w:r>
            <w:r w:rsidR="00DD03BD">
              <w:rPr>
                <w:rFonts w:eastAsia="Times New Roman" w:cs="Calibri"/>
                <w:color w:val="000000"/>
                <w:lang w:eastAsia="en-AU"/>
              </w:rPr>
              <w:t>T</w:t>
            </w:r>
            <w:r w:rsidR="002819E0" w:rsidRPr="002819E0">
              <w:rPr>
                <w:rFonts w:eastAsia="Times New Roman" w:cs="Calibri"/>
                <w:color w:val="000000"/>
                <w:lang w:eastAsia="en-AU"/>
              </w:rPr>
              <w:t>h</w:t>
            </w:r>
            <w:r w:rsidR="00FE3C12">
              <w:rPr>
                <w:rFonts w:eastAsia="Times New Roman" w:cs="Calibri"/>
                <w:color w:val="000000"/>
                <w:lang w:eastAsia="en-AU"/>
              </w:rPr>
              <w:t>erefore</w:t>
            </w:r>
            <w:r w:rsidR="003E3A83">
              <w:rPr>
                <w:rFonts w:eastAsia="Times New Roman" w:cs="Calibri"/>
                <w:color w:val="000000"/>
                <w:lang w:eastAsia="en-AU"/>
              </w:rPr>
              <w:t>,</w:t>
            </w:r>
            <w:r w:rsidR="00FE3C12">
              <w:rPr>
                <w:rFonts w:eastAsia="Times New Roman" w:cs="Calibri"/>
                <w:color w:val="000000"/>
                <w:lang w:eastAsia="en-AU"/>
              </w:rPr>
              <w:t xml:space="preserve"> the</w:t>
            </w:r>
            <w:r w:rsidR="004C2413">
              <w:rPr>
                <w:rFonts w:eastAsia="Times New Roman" w:cs="Calibri"/>
                <w:color w:val="000000"/>
                <w:lang w:eastAsia="en-AU"/>
              </w:rPr>
              <w:t xml:space="preserve"> studies were judged to ha</w:t>
            </w:r>
            <w:r w:rsidR="00795C2F">
              <w:rPr>
                <w:rFonts w:eastAsia="Times New Roman" w:cs="Calibri"/>
                <w:color w:val="000000"/>
                <w:lang w:eastAsia="en-AU"/>
              </w:rPr>
              <w:t>v</w:t>
            </w:r>
            <w:r w:rsidR="004C2413">
              <w:rPr>
                <w:rFonts w:eastAsia="Times New Roman" w:cs="Calibri"/>
                <w:color w:val="000000"/>
                <w:lang w:eastAsia="en-AU"/>
              </w:rPr>
              <w:t xml:space="preserve">e </w:t>
            </w:r>
            <w:r w:rsidR="005668CD">
              <w:rPr>
                <w:rFonts w:eastAsia="Times New Roman" w:cs="Calibri"/>
                <w:color w:val="000000"/>
                <w:lang w:eastAsia="en-AU"/>
              </w:rPr>
              <w:t xml:space="preserve">very serious </w:t>
            </w:r>
            <w:r w:rsidR="00FE3C12">
              <w:rPr>
                <w:rFonts w:eastAsia="Times New Roman" w:cs="Calibri"/>
                <w:color w:val="000000"/>
                <w:lang w:eastAsia="en-AU"/>
              </w:rPr>
              <w:t>methodological limitations</w:t>
            </w:r>
            <w:r w:rsidR="002E3467">
              <w:rPr>
                <w:rFonts w:eastAsia="Times New Roman" w:cs="Calibri"/>
                <w:color w:val="000000"/>
                <w:lang w:eastAsia="en-AU"/>
              </w:rPr>
              <w:t xml:space="preserve">. </w:t>
            </w:r>
          </w:p>
        </w:tc>
        <w:tc>
          <w:tcPr>
            <w:tcW w:w="3431" w:type="dxa"/>
          </w:tcPr>
          <w:p w14:paraId="5818A30A" w14:textId="4015C3BD" w:rsidR="002E3467" w:rsidRPr="009B4D43" w:rsidRDefault="003C248B" w:rsidP="004C2413">
            <w:pPr>
              <w:cnfStyle w:val="000000100000" w:firstRow="0" w:lastRow="0" w:firstColumn="0" w:lastColumn="0" w:oddVBand="0" w:evenVBand="0" w:oddHBand="1" w:evenHBand="0" w:firstRowFirstColumn="0" w:firstRowLastColumn="0" w:lastRowFirstColumn="0" w:lastRowLastColumn="0"/>
              <w:rPr>
                <w:rFonts w:cstheme="minorHAnsi"/>
                <w:szCs w:val="20"/>
              </w:rPr>
            </w:pPr>
            <w:r>
              <w:t>Very serious</w:t>
            </w:r>
          </w:p>
        </w:tc>
      </w:tr>
      <w:tr w:rsidR="002E3467" w:rsidRPr="009B4D43" w14:paraId="03A9A3B5" w14:textId="77777777" w:rsidTr="003E03AC">
        <w:trPr>
          <w:trHeight w:val="571"/>
        </w:trPr>
        <w:tc>
          <w:tcPr>
            <w:cnfStyle w:val="001000000000" w:firstRow="0" w:lastRow="0" w:firstColumn="1" w:lastColumn="0" w:oddVBand="0" w:evenVBand="0" w:oddHBand="0" w:evenHBand="0" w:firstRowFirstColumn="0" w:firstRowLastColumn="0" w:lastRowFirstColumn="0" w:lastRowLastColumn="0"/>
            <w:tcW w:w="2835" w:type="dxa"/>
          </w:tcPr>
          <w:p w14:paraId="0A739589" w14:textId="77777777" w:rsidR="002E3467" w:rsidRPr="009B4D43" w:rsidRDefault="002E3467" w:rsidP="002E3467">
            <w:pPr>
              <w:rPr>
                <w:rFonts w:cstheme="minorHAnsi"/>
                <w:szCs w:val="20"/>
              </w:rPr>
            </w:pPr>
            <w:r w:rsidRPr="009B4D43">
              <w:rPr>
                <w:rFonts w:cstheme="minorHAnsi"/>
                <w:b w:val="0"/>
                <w:bCs w:val="0"/>
                <w:szCs w:val="20"/>
              </w:rPr>
              <w:t>Precision and Consistency</w:t>
            </w:r>
          </w:p>
        </w:tc>
        <w:tc>
          <w:tcPr>
            <w:tcW w:w="7650" w:type="dxa"/>
          </w:tcPr>
          <w:p w14:paraId="0F3C66F7" w14:textId="40A4A810" w:rsidR="002E3467" w:rsidRPr="009B4D43" w:rsidRDefault="002E3467" w:rsidP="0059288B">
            <w:pPr>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0B12C1">
              <w:t>The total number of pa</w:t>
            </w:r>
            <w:r w:rsidR="00FE3C12" w:rsidRPr="000B12C1">
              <w:t xml:space="preserve">rticipants </w:t>
            </w:r>
            <w:r w:rsidR="00166567" w:rsidRPr="00F62917">
              <w:t xml:space="preserve">enrolled </w:t>
            </w:r>
            <w:r w:rsidR="00FE3C12" w:rsidRPr="000B12C1">
              <w:t xml:space="preserve">in the </w:t>
            </w:r>
            <w:r w:rsidR="006B5126" w:rsidRPr="00F62917">
              <w:t xml:space="preserve">two </w:t>
            </w:r>
            <w:r w:rsidR="00FE3C12" w:rsidRPr="000B12C1">
              <w:t>studies</w:t>
            </w:r>
            <w:r w:rsidRPr="000B12C1">
              <w:t xml:space="preserve"> was </w:t>
            </w:r>
            <w:r w:rsidR="006B5126" w:rsidRPr="00F62917">
              <w:t>187</w:t>
            </w:r>
            <w:r w:rsidR="00F84B09" w:rsidRPr="00F62917">
              <w:t xml:space="preserve">; however, </w:t>
            </w:r>
            <w:r w:rsidR="00EA05CF" w:rsidRPr="00F62917">
              <w:t>100 participants</w:t>
            </w:r>
            <w:r w:rsidR="00435849" w:rsidRPr="00F62917">
              <w:t xml:space="preserve"> (</w:t>
            </w:r>
            <w:r w:rsidR="003A1F5B" w:rsidRPr="00F62917">
              <w:t>53.5%</w:t>
            </w:r>
            <w:r w:rsidR="00435849" w:rsidRPr="00F62917">
              <w:t xml:space="preserve">) did not complete the </w:t>
            </w:r>
            <w:r w:rsidR="006C6602">
              <w:t xml:space="preserve">12-week </w:t>
            </w:r>
            <w:r w:rsidR="00435849" w:rsidRPr="00F62917">
              <w:t xml:space="preserve">studies for various reasons </w:t>
            </w:r>
            <w:r w:rsidR="004C6F13" w:rsidRPr="00F62917">
              <w:t xml:space="preserve">(range of non-completion across the studies: </w:t>
            </w:r>
            <w:r w:rsidR="003B1447" w:rsidRPr="00F62917">
              <w:t>46.0% to 56.2%)</w:t>
            </w:r>
            <w:r w:rsidR="00FE3C12" w:rsidRPr="000748C4">
              <w:t xml:space="preserve">. </w:t>
            </w:r>
            <w:r w:rsidR="002F0D0A" w:rsidRPr="000748C4">
              <w:t xml:space="preserve">In the </w:t>
            </w:r>
            <w:r w:rsidRPr="000748C4">
              <w:t xml:space="preserve">Lintzeris et al. </w:t>
            </w:r>
            <w:r w:rsidR="00FE3C12" w:rsidRPr="000748C4">
              <w:t>(</w:t>
            </w:r>
            <w:r w:rsidRPr="000748C4">
              <w:t>2019</w:t>
            </w:r>
            <w:r w:rsidR="00FE3C12" w:rsidRPr="000748C4">
              <w:t xml:space="preserve">) </w:t>
            </w:r>
            <w:r w:rsidR="002F0D0A" w:rsidRPr="00F62917">
              <w:t xml:space="preserve">study, </w:t>
            </w:r>
            <w:r w:rsidR="00C51524" w:rsidRPr="000748C4">
              <w:t>the</w:t>
            </w:r>
            <w:r w:rsidR="00C51524" w:rsidRPr="00C51524">
              <w:t xml:space="preserve"> number of </w:t>
            </w:r>
            <w:r w:rsidR="00FC561E">
              <w:t>(</w:t>
            </w:r>
            <w:r w:rsidR="00C51524" w:rsidRPr="00C51524">
              <w:t>self-reported</w:t>
            </w:r>
            <w:r w:rsidR="00FC561E">
              <w:t>)</w:t>
            </w:r>
            <w:r w:rsidR="00C51524" w:rsidRPr="00C51524">
              <w:t xml:space="preserve"> days of illicit cannabis use was </w:t>
            </w:r>
            <w:r w:rsidR="00076D4E">
              <w:t xml:space="preserve">significantly </w:t>
            </w:r>
            <w:r w:rsidR="00C51524" w:rsidRPr="00C51524">
              <w:t xml:space="preserve">higher in the placebo group compared with the nabiximols group. However, there were no significant between-group differences in treatment </w:t>
            </w:r>
            <w:r w:rsidR="00C51524" w:rsidRPr="00401E14">
              <w:t xml:space="preserve">retention, 4-week abstinence rate, cannabis-related problems, cannabis craving, cannabis withdrawal, alcohol use, nicotine use, general health </w:t>
            </w:r>
            <w:r w:rsidR="00C51524" w:rsidRPr="00401E14">
              <w:lastRenderedPageBreak/>
              <w:t>status and psychosocial functioning, aberrant medication use, or adverse events</w:t>
            </w:r>
            <w:r w:rsidRPr="00401E14">
              <w:t>.</w:t>
            </w:r>
            <w:r w:rsidR="000C3252" w:rsidRPr="00F62917">
              <w:t xml:space="preserve"> In the</w:t>
            </w:r>
            <w:r w:rsidRPr="00401E14">
              <w:t xml:space="preserve"> Trigo </w:t>
            </w:r>
            <w:r w:rsidR="00FE3C12" w:rsidRPr="00401E14">
              <w:t xml:space="preserve">et al. </w:t>
            </w:r>
            <w:r w:rsidRPr="00401E14">
              <w:t xml:space="preserve">(2018) </w:t>
            </w:r>
            <w:r w:rsidR="00401E14" w:rsidRPr="00F62917">
              <w:t xml:space="preserve">study, </w:t>
            </w:r>
            <w:r w:rsidR="00401E14" w:rsidRPr="00401E14">
              <w:t xml:space="preserve">there were no significant between-group differences in cannabis abstinence rates, cannabis use (grams; % days per week), or cannabis withdrawal. The findings suggested that the psychotherapy (MET/CBT) intervention, which was offered to all participants, </w:t>
            </w:r>
            <w:r w:rsidR="00A178A4">
              <w:t xml:space="preserve">may have </w:t>
            </w:r>
            <w:r w:rsidR="00401E14" w:rsidRPr="00401E14">
              <w:t>improved cannabis outcomes (i.e., abstinence</w:t>
            </w:r>
            <w:r w:rsidR="00F346D8">
              <w:t>;</w:t>
            </w:r>
            <w:r w:rsidR="00401E14" w:rsidRPr="00401E14">
              <w:t xml:space="preserve"> quantity and frequency of </w:t>
            </w:r>
            <w:r w:rsidR="00F346D8">
              <w:t xml:space="preserve">cannabis </w:t>
            </w:r>
            <w:r w:rsidR="00401E14" w:rsidRPr="00401E14">
              <w:t>use</w:t>
            </w:r>
            <w:r w:rsidR="00F346D8">
              <w:t>;</w:t>
            </w:r>
            <w:r w:rsidR="00401E14" w:rsidRPr="00401E14">
              <w:t xml:space="preserve"> </w:t>
            </w:r>
            <w:r w:rsidR="00F346D8">
              <w:t xml:space="preserve">cannabis </w:t>
            </w:r>
            <w:r w:rsidR="00401E14" w:rsidRPr="00401E14">
              <w:t xml:space="preserve">craving and withdrawal). </w:t>
            </w:r>
            <w:r w:rsidR="00401E14">
              <w:rPr>
                <w:highlight w:val="yellow"/>
              </w:rPr>
              <w:t xml:space="preserve"> </w:t>
            </w:r>
          </w:p>
        </w:tc>
        <w:tc>
          <w:tcPr>
            <w:tcW w:w="3431" w:type="dxa"/>
          </w:tcPr>
          <w:p w14:paraId="1B46BC11" w14:textId="07D034C6" w:rsidR="002E3467" w:rsidRPr="009B4D43" w:rsidRDefault="00004263" w:rsidP="002E3467">
            <w:pPr>
              <w:cnfStyle w:val="000000000000" w:firstRow="0" w:lastRow="0" w:firstColumn="0" w:lastColumn="0" w:oddVBand="0" w:evenVBand="0" w:oddHBand="0" w:evenHBand="0" w:firstRowFirstColumn="0" w:firstRowLastColumn="0" w:lastRowFirstColumn="0" w:lastRowLastColumn="0"/>
              <w:rPr>
                <w:rFonts w:cstheme="minorHAnsi"/>
                <w:szCs w:val="20"/>
              </w:rPr>
            </w:pPr>
            <w:r>
              <w:lastRenderedPageBreak/>
              <w:t>Serious</w:t>
            </w:r>
          </w:p>
        </w:tc>
      </w:tr>
      <w:tr w:rsidR="002E3467" w:rsidRPr="009B4D43" w14:paraId="14FD907D" w14:textId="77777777" w:rsidTr="003E03AC">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835" w:type="dxa"/>
          </w:tcPr>
          <w:p w14:paraId="1DFA0DD4" w14:textId="77777777" w:rsidR="002E3467" w:rsidRPr="009B4D43" w:rsidRDefault="002E3467" w:rsidP="002E3467">
            <w:pPr>
              <w:rPr>
                <w:rFonts w:cstheme="minorHAnsi"/>
                <w:b w:val="0"/>
                <w:bCs w:val="0"/>
                <w:szCs w:val="20"/>
              </w:rPr>
            </w:pPr>
            <w:r w:rsidRPr="009B4D43">
              <w:rPr>
                <w:rFonts w:cstheme="minorHAnsi"/>
                <w:b w:val="0"/>
                <w:bCs w:val="0"/>
                <w:szCs w:val="20"/>
              </w:rPr>
              <w:t>Directness</w:t>
            </w:r>
          </w:p>
        </w:tc>
        <w:tc>
          <w:tcPr>
            <w:tcW w:w="7650" w:type="dxa"/>
          </w:tcPr>
          <w:p w14:paraId="1CF144E6" w14:textId="21FE0C50" w:rsidR="002E3467" w:rsidRPr="009B4D43" w:rsidRDefault="002E3467" w:rsidP="00590DB0">
            <w:pPr>
              <w:jc w:val="both"/>
              <w:cnfStyle w:val="000000100000" w:firstRow="0" w:lastRow="0" w:firstColumn="0" w:lastColumn="0" w:oddVBand="0" w:evenVBand="0" w:oddHBand="1" w:evenHBand="0" w:firstRowFirstColumn="0" w:firstRowLastColumn="0" w:lastRowFirstColumn="0" w:lastRowLastColumn="0"/>
              <w:rPr>
                <w:rFonts w:cstheme="minorHAnsi"/>
                <w:szCs w:val="20"/>
              </w:rPr>
            </w:pPr>
            <w:r>
              <w:t>Both studies</w:t>
            </w:r>
            <w:r w:rsidR="00296893">
              <w:t xml:space="preserve"> recruited participants </w:t>
            </w:r>
            <w:r>
              <w:t xml:space="preserve">with </w:t>
            </w:r>
            <w:r w:rsidR="0059288B">
              <w:t xml:space="preserve">a </w:t>
            </w:r>
            <w:r>
              <w:t>cannabis use disorder</w:t>
            </w:r>
            <w:r w:rsidR="00FE7207">
              <w:t>. A</w:t>
            </w:r>
            <w:r w:rsidR="0059288B">
              <w:t xml:space="preserve">ll participants received </w:t>
            </w:r>
            <w:r>
              <w:t>psychotherapy in</w:t>
            </w:r>
            <w:r w:rsidR="0059288B">
              <w:t xml:space="preserve"> combination with the </w:t>
            </w:r>
            <w:r w:rsidR="001E5BBF">
              <w:t xml:space="preserve">medicinal </w:t>
            </w:r>
            <w:r w:rsidR="0059288B">
              <w:t xml:space="preserve">cannabis </w:t>
            </w:r>
            <w:r w:rsidR="001E5BBF">
              <w:t xml:space="preserve">intervention. </w:t>
            </w:r>
            <w:r w:rsidR="00FE3C12">
              <w:t>Lintzeris et al.</w:t>
            </w:r>
            <w:r w:rsidR="0086477B">
              <w:t xml:space="preserve"> (</w:t>
            </w:r>
            <w:r w:rsidR="00FE3C12">
              <w:t>2019</w:t>
            </w:r>
            <w:r w:rsidR="00FE7207">
              <w:t xml:space="preserve">) offered </w:t>
            </w:r>
            <w:r w:rsidRPr="00522DFF">
              <w:t xml:space="preserve">individual </w:t>
            </w:r>
            <w:r w:rsidR="00FE7207">
              <w:t>(</w:t>
            </w:r>
            <w:r w:rsidR="00E278AD">
              <w:t>CBT-based</w:t>
            </w:r>
            <w:r w:rsidR="00FE7207">
              <w:t>)</w:t>
            </w:r>
            <w:r w:rsidR="00E278AD">
              <w:t xml:space="preserve"> </w:t>
            </w:r>
            <w:r w:rsidRPr="00522DFF">
              <w:t>counselling sessions</w:t>
            </w:r>
            <w:r w:rsidR="00FE3C12">
              <w:t>; Trigo et al.</w:t>
            </w:r>
            <w:r w:rsidR="00FE7207">
              <w:t xml:space="preserve"> (</w:t>
            </w:r>
            <w:r w:rsidR="00FE3C12">
              <w:t>2018</w:t>
            </w:r>
            <w:r w:rsidR="00FE7207">
              <w:t xml:space="preserve">) offered </w:t>
            </w:r>
            <w:r w:rsidR="006C104C" w:rsidRPr="005D13F4">
              <w:rPr>
                <w:rFonts w:cstheme="minorHAnsi"/>
                <w:color w:val="000000"/>
                <w:szCs w:val="20"/>
              </w:rPr>
              <w:t>Motivational Enhancement Therapy and Cognitive Behavioural Therapy (MET/CBT)</w:t>
            </w:r>
            <w:r>
              <w:t>. Therefore</w:t>
            </w:r>
            <w:r w:rsidR="00A30E65">
              <w:t>, both</w:t>
            </w:r>
            <w:r>
              <w:t xml:space="preserve"> studies provide</w:t>
            </w:r>
            <w:r w:rsidR="0059288B">
              <w:t>d</w:t>
            </w:r>
            <w:r>
              <w:t xml:space="preserve"> direct evidence</w:t>
            </w:r>
            <w:r w:rsidR="00FE3C12">
              <w:t xml:space="preserve"> on the </w:t>
            </w:r>
            <w:r w:rsidR="00590DB0">
              <w:t>review</w:t>
            </w:r>
            <w:r w:rsidR="00FE3C12">
              <w:t xml:space="preserve"> question</w:t>
            </w:r>
            <w:r>
              <w:t xml:space="preserve">. </w:t>
            </w:r>
          </w:p>
        </w:tc>
        <w:tc>
          <w:tcPr>
            <w:tcW w:w="3431" w:type="dxa"/>
          </w:tcPr>
          <w:p w14:paraId="6EECFEF3" w14:textId="556C63AD" w:rsidR="002E3467" w:rsidRPr="009B4D43" w:rsidRDefault="002E3467" w:rsidP="002E3467">
            <w:pPr>
              <w:cnfStyle w:val="000000100000" w:firstRow="0" w:lastRow="0" w:firstColumn="0" w:lastColumn="0" w:oddVBand="0" w:evenVBand="0" w:oddHBand="1" w:evenHBand="0" w:firstRowFirstColumn="0" w:firstRowLastColumn="0" w:lastRowFirstColumn="0" w:lastRowLastColumn="0"/>
              <w:rPr>
                <w:rFonts w:cstheme="minorHAnsi"/>
                <w:szCs w:val="20"/>
              </w:rPr>
            </w:pPr>
            <w:r>
              <w:t>No</w:t>
            </w:r>
            <w:r w:rsidR="00A445DA">
              <w:t>t</w:t>
            </w:r>
            <w:r>
              <w:t xml:space="preserve"> serious</w:t>
            </w:r>
          </w:p>
        </w:tc>
      </w:tr>
      <w:tr w:rsidR="002E3467" w:rsidRPr="009B4D43" w14:paraId="1C0BA58F" w14:textId="77777777" w:rsidTr="003E03AC">
        <w:trPr>
          <w:trHeight w:val="571"/>
        </w:trPr>
        <w:tc>
          <w:tcPr>
            <w:cnfStyle w:val="001000000000" w:firstRow="0" w:lastRow="0" w:firstColumn="1" w:lastColumn="0" w:oddVBand="0" w:evenVBand="0" w:oddHBand="0" w:evenHBand="0" w:firstRowFirstColumn="0" w:firstRowLastColumn="0" w:lastRowFirstColumn="0" w:lastRowLastColumn="0"/>
            <w:tcW w:w="2835" w:type="dxa"/>
          </w:tcPr>
          <w:p w14:paraId="5E9CC793" w14:textId="77777777" w:rsidR="002E3467" w:rsidRPr="009B4D43" w:rsidRDefault="002E3467" w:rsidP="002E3467">
            <w:pPr>
              <w:rPr>
                <w:rFonts w:cstheme="minorHAnsi"/>
                <w:b w:val="0"/>
                <w:bCs w:val="0"/>
                <w:szCs w:val="20"/>
              </w:rPr>
            </w:pPr>
            <w:r w:rsidRPr="009B4D43">
              <w:rPr>
                <w:rFonts w:cstheme="minorHAnsi"/>
                <w:b w:val="0"/>
                <w:bCs w:val="0"/>
                <w:szCs w:val="20"/>
              </w:rPr>
              <w:t>Publication bias</w:t>
            </w:r>
          </w:p>
        </w:tc>
        <w:tc>
          <w:tcPr>
            <w:tcW w:w="7650" w:type="dxa"/>
          </w:tcPr>
          <w:p w14:paraId="3FA14D23" w14:textId="3A38CBC6" w:rsidR="002E3467" w:rsidRPr="009B4D43" w:rsidRDefault="001C1D1B" w:rsidP="0059288B">
            <w:pPr>
              <w:jc w:val="both"/>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P</w:t>
            </w:r>
            <w:r w:rsidR="00AF0CEA">
              <w:rPr>
                <w:rFonts w:cstheme="minorHAnsi"/>
                <w:szCs w:val="20"/>
              </w:rPr>
              <w:t xml:space="preserve">ublication bias </w:t>
            </w:r>
            <w:r>
              <w:rPr>
                <w:rFonts w:cstheme="minorHAnsi"/>
                <w:szCs w:val="20"/>
              </w:rPr>
              <w:t xml:space="preserve">was not suspected </w:t>
            </w:r>
            <w:r w:rsidR="00AF0CEA">
              <w:rPr>
                <w:rFonts w:cstheme="minorHAnsi"/>
                <w:szCs w:val="20"/>
              </w:rPr>
              <w:t xml:space="preserve">as studies with both positive and </w:t>
            </w:r>
            <w:r w:rsidR="00AF0CEA" w:rsidRPr="00B5038F">
              <w:rPr>
                <w:rFonts w:cstheme="minorHAnsi"/>
                <w:szCs w:val="20"/>
              </w:rPr>
              <w:t>negative</w:t>
            </w:r>
            <w:r w:rsidR="00AF0CEA">
              <w:rPr>
                <w:rFonts w:cstheme="minorHAnsi"/>
                <w:szCs w:val="20"/>
              </w:rPr>
              <w:t xml:space="preserve"> findings </w:t>
            </w:r>
            <w:r w:rsidR="00AF0CEA" w:rsidRPr="00B5038F">
              <w:rPr>
                <w:rFonts w:cstheme="minorHAnsi"/>
                <w:szCs w:val="20"/>
              </w:rPr>
              <w:t xml:space="preserve">were </w:t>
            </w:r>
            <w:r w:rsidR="000B59C9">
              <w:rPr>
                <w:rFonts w:cstheme="minorHAnsi"/>
                <w:szCs w:val="20"/>
              </w:rPr>
              <w:t>report</w:t>
            </w:r>
            <w:r w:rsidR="00AF0CEA" w:rsidRPr="00B5038F">
              <w:rPr>
                <w:rFonts w:cstheme="minorHAnsi"/>
                <w:szCs w:val="20"/>
              </w:rPr>
              <w:t>ed, and the search for studies was comprehensive.</w:t>
            </w:r>
          </w:p>
        </w:tc>
        <w:tc>
          <w:tcPr>
            <w:tcW w:w="3431" w:type="dxa"/>
          </w:tcPr>
          <w:p w14:paraId="2A18FF6C" w14:textId="6D796119" w:rsidR="002E3467" w:rsidRPr="009B4D43" w:rsidRDefault="002E3467" w:rsidP="002E3467">
            <w:pPr>
              <w:cnfStyle w:val="000000000000" w:firstRow="0" w:lastRow="0" w:firstColumn="0" w:lastColumn="0" w:oddVBand="0" w:evenVBand="0" w:oddHBand="0" w:evenHBand="0" w:firstRowFirstColumn="0" w:firstRowLastColumn="0" w:lastRowFirstColumn="0" w:lastRowLastColumn="0"/>
              <w:rPr>
                <w:rFonts w:cstheme="minorHAnsi"/>
                <w:szCs w:val="20"/>
              </w:rPr>
            </w:pPr>
            <w:r w:rsidRPr="0074085F">
              <w:t>Not suspected</w:t>
            </w:r>
          </w:p>
        </w:tc>
      </w:tr>
    </w:tbl>
    <w:p w14:paraId="41215459" w14:textId="7157D2DA" w:rsidR="007D668F" w:rsidRPr="003E0FBF" w:rsidRDefault="00AE52AC" w:rsidP="00350AAD">
      <w:pPr>
        <w:pStyle w:val="Heading2"/>
        <w:numPr>
          <w:ilvl w:val="0"/>
          <w:numId w:val="19"/>
        </w:numPr>
        <w:ind w:left="357" w:hanging="357"/>
        <w:rPr>
          <w:rFonts w:cstheme="majorHAnsi"/>
        </w:rPr>
      </w:pPr>
      <w:bookmarkStart w:id="350" w:name="_Toc101536723"/>
      <w:bookmarkStart w:id="351" w:name="_Toc103944936"/>
      <w:bookmarkStart w:id="352" w:name="_Toc121096149"/>
      <w:bookmarkStart w:id="353" w:name="_Toc165018258"/>
      <w:bookmarkStart w:id="354" w:name="_Toc99653141"/>
      <w:bookmarkEnd w:id="349"/>
      <w:r>
        <w:rPr>
          <w:rFonts w:cstheme="majorHAnsi"/>
        </w:rPr>
        <w:t xml:space="preserve">GRADE rating of dried </w:t>
      </w:r>
      <w:r w:rsidR="007D668F" w:rsidRPr="003E0FBF">
        <w:rPr>
          <w:rFonts w:cstheme="majorHAnsi"/>
        </w:rPr>
        <w:t xml:space="preserve">cannabis </w:t>
      </w:r>
      <w:r w:rsidR="00B25B31">
        <w:rPr>
          <w:rFonts w:cstheme="majorHAnsi"/>
        </w:rPr>
        <w:t>(THC</w:t>
      </w:r>
      <w:r w:rsidR="004C75AB">
        <w:rPr>
          <w:rFonts w:cstheme="majorHAnsi"/>
        </w:rPr>
        <w:t>±</w:t>
      </w:r>
      <w:r w:rsidR="00B25B31">
        <w:rPr>
          <w:rFonts w:cstheme="majorHAnsi"/>
        </w:rPr>
        <w:t xml:space="preserve">CBD) </w:t>
      </w:r>
      <w:r w:rsidR="007D668F" w:rsidRPr="003E0FBF">
        <w:rPr>
          <w:rFonts w:cstheme="majorHAnsi"/>
        </w:rPr>
        <w:t>studies</w:t>
      </w:r>
      <w:bookmarkEnd w:id="350"/>
      <w:bookmarkEnd w:id="351"/>
      <w:bookmarkEnd w:id="352"/>
      <w:bookmarkEnd w:id="353"/>
    </w:p>
    <w:tbl>
      <w:tblPr>
        <w:tblStyle w:val="GridTable4-Accent5"/>
        <w:tblW w:w="0" w:type="auto"/>
        <w:tblLook w:val="04A0" w:firstRow="1" w:lastRow="0" w:firstColumn="1" w:lastColumn="0" w:noHBand="0" w:noVBand="1"/>
      </w:tblPr>
      <w:tblGrid>
        <w:gridCol w:w="2835"/>
        <w:gridCol w:w="7650"/>
        <w:gridCol w:w="3431"/>
      </w:tblGrid>
      <w:tr w:rsidR="007D668F" w:rsidRPr="009B4D43" w14:paraId="11B647EE" w14:textId="77777777" w:rsidTr="003A54C8">
        <w:trPr>
          <w:cnfStyle w:val="100000000000" w:firstRow="1" w:lastRow="0" w:firstColumn="0" w:lastColumn="0" w:oddVBand="0" w:evenVBand="0" w:oddHBand="0" w:evenHBand="0" w:firstRowFirstColumn="0" w:firstRowLastColumn="0" w:lastRowFirstColumn="0" w:lastRowLastColumn="0"/>
          <w:trHeight w:val="349"/>
          <w:tblHeader/>
        </w:trPr>
        <w:tc>
          <w:tcPr>
            <w:cnfStyle w:val="001000000000" w:firstRow="0" w:lastRow="0" w:firstColumn="1" w:lastColumn="0" w:oddVBand="0" w:evenVBand="0" w:oddHBand="0" w:evenHBand="0" w:firstRowFirstColumn="0" w:firstRowLastColumn="0" w:lastRowFirstColumn="0" w:lastRowLastColumn="0"/>
            <w:tcW w:w="2835" w:type="dxa"/>
          </w:tcPr>
          <w:p w14:paraId="40D2D2EE" w14:textId="3F4F130A" w:rsidR="007D668F" w:rsidRPr="009B4D43" w:rsidRDefault="007D668F" w:rsidP="00DF4D7B">
            <w:pPr>
              <w:rPr>
                <w:rFonts w:cstheme="minorHAnsi"/>
                <w:szCs w:val="20"/>
              </w:rPr>
            </w:pPr>
            <w:r w:rsidRPr="007D668F">
              <w:t xml:space="preserve"> </w:t>
            </w:r>
            <w:r w:rsidRPr="009B4D43">
              <w:rPr>
                <w:rFonts w:cstheme="minorHAnsi"/>
                <w:szCs w:val="20"/>
              </w:rPr>
              <w:t>GRADE domain</w:t>
            </w:r>
          </w:p>
        </w:tc>
        <w:tc>
          <w:tcPr>
            <w:tcW w:w="7650" w:type="dxa"/>
          </w:tcPr>
          <w:p w14:paraId="72F2DAF6" w14:textId="77777777" w:rsidR="007D668F" w:rsidRPr="009B4D43" w:rsidRDefault="007D668F" w:rsidP="00DF4D7B">
            <w:pPr>
              <w:cnfStyle w:val="100000000000" w:firstRow="1" w:lastRow="0" w:firstColumn="0" w:lastColumn="0" w:oddVBand="0" w:evenVBand="0" w:oddHBand="0" w:evenHBand="0" w:firstRowFirstColumn="0" w:firstRowLastColumn="0" w:lastRowFirstColumn="0" w:lastRowLastColumn="0"/>
              <w:rPr>
                <w:rFonts w:cstheme="minorHAnsi"/>
                <w:szCs w:val="20"/>
              </w:rPr>
            </w:pPr>
            <w:r w:rsidRPr="009B4D43">
              <w:rPr>
                <w:rFonts w:cstheme="minorHAnsi"/>
                <w:szCs w:val="20"/>
              </w:rPr>
              <w:t>Judgement</w:t>
            </w:r>
          </w:p>
        </w:tc>
        <w:tc>
          <w:tcPr>
            <w:tcW w:w="3431" w:type="dxa"/>
          </w:tcPr>
          <w:p w14:paraId="69C6FBC9" w14:textId="77777777" w:rsidR="007D668F" w:rsidRPr="009B4D43" w:rsidRDefault="007D668F" w:rsidP="00DF4D7B">
            <w:pPr>
              <w:cnfStyle w:val="100000000000" w:firstRow="1" w:lastRow="0" w:firstColumn="0" w:lastColumn="0" w:oddVBand="0" w:evenVBand="0" w:oddHBand="0" w:evenHBand="0" w:firstRowFirstColumn="0" w:firstRowLastColumn="0" w:lastRowFirstColumn="0" w:lastRowLastColumn="0"/>
              <w:rPr>
                <w:rFonts w:cstheme="minorHAnsi"/>
                <w:szCs w:val="20"/>
              </w:rPr>
            </w:pPr>
            <w:r w:rsidRPr="009B4D43">
              <w:rPr>
                <w:rFonts w:cstheme="minorHAnsi"/>
                <w:szCs w:val="20"/>
              </w:rPr>
              <w:t>Concerns about certainty domains</w:t>
            </w:r>
          </w:p>
        </w:tc>
      </w:tr>
      <w:tr w:rsidR="007D668F" w:rsidRPr="009B4D43" w14:paraId="7E7C6F3C" w14:textId="77777777" w:rsidTr="003E03AC">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835" w:type="dxa"/>
          </w:tcPr>
          <w:p w14:paraId="18F23D3F" w14:textId="2FEE424C" w:rsidR="007D668F" w:rsidRPr="009B4D43" w:rsidRDefault="00A445DA" w:rsidP="00DF4D7B">
            <w:pPr>
              <w:rPr>
                <w:rFonts w:cstheme="minorHAnsi"/>
                <w:b w:val="0"/>
                <w:bCs w:val="0"/>
                <w:szCs w:val="20"/>
              </w:rPr>
            </w:pPr>
            <w:r>
              <w:rPr>
                <w:rFonts w:cstheme="minorHAnsi"/>
                <w:b w:val="0"/>
                <w:bCs w:val="0"/>
                <w:szCs w:val="20"/>
              </w:rPr>
              <w:t>Study limitations (risk of bias)</w:t>
            </w:r>
          </w:p>
        </w:tc>
        <w:tc>
          <w:tcPr>
            <w:tcW w:w="7650" w:type="dxa"/>
          </w:tcPr>
          <w:p w14:paraId="20244DD0" w14:textId="38DB89C3" w:rsidR="002775EB" w:rsidRPr="00B35796" w:rsidRDefault="00AE52AC" w:rsidP="00AE52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Pr>
                <w:rFonts w:eastAsia="Times New Roman" w:cs="Calibri"/>
                <w:color w:val="000000"/>
                <w:lang w:eastAsia="en-AU"/>
              </w:rPr>
              <w:t xml:space="preserve">Two studies examined a </w:t>
            </w:r>
            <w:r w:rsidR="00DF0A9F">
              <w:rPr>
                <w:rFonts w:eastAsia="Times New Roman" w:cs="Calibri"/>
                <w:color w:val="000000"/>
                <w:lang w:eastAsia="en-AU"/>
              </w:rPr>
              <w:t xml:space="preserve">(smoked) </w:t>
            </w:r>
            <w:r>
              <w:rPr>
                <w:rFonts w:eastAsia="Times New Roman" w:cs="Calibri"/>
                <w:color w:val="000000"/>
                <w:lang w:eastAsia="en-AU"/>
              </w:rPr>
              <w:t>dried cannabis</w:t>
            </w:r>
            <w:r w:rsidR="00C91800">
              <w:rPr>
                <w:rFonts w:eastAsia="Times New Roman" w:cs="Calibri"/>
                <w:color w:val="000000"/>
                <w:lang w:eastAsia="en-AU"/>
              </w:rPr>
              <w:t xml:space="preserve"> </w:t>
            </w:r>
            <w:r w:rsidR="00AD2709">
              <w:rPr>
                <w:rFonts w:eastAsia="Times New Roman" w:cs="Calibri"/>
                <w:color w:val="000000"/>
                <w:lang w:eastAsia="en-AU"/>
              </w:rPr>
              <w:t>(THC</w:t>
            </w:r>
            <w:r w:rsidR="000E3638">
              <w:rPr>
                <w:rFonts w:eastAsia="Times New Roman" w:cstheme="minorHAnsi"/>
                <w:color w:val="000000"/>
                <w:lang w:eastAsia="en-AU"/>
              </w:rPr>
              <w:t>±</w:t>
            </w:r>
            <w:r w:rsidR="00AD2709">
              <w:rPr>
                <w:rFonts w:eastAsia="Times New Roman" w:cs="Calibri"/>
                <w:color w:val="000000"/>
                <w:lang w:eastAsia="en-AU"/>
              </w:rPr>
              <w:t xml:space="preserve">CBD) </w:t>
            </w:r>
            <w:r>
              <w:rPr>
                <w:rFonts w:eastAsia="Times New Roman" w:cs="Calibri"/>
                <w:color w:val="000000"/>
                <w:lang w:eastAsia="en-AU"/>
              </w:rPr>
              <w:t>intervention</w:t>
            </w:r>
            <w:r w:rsidR="00E95F39">
              <w:rPr>
                <w:rFonts w:eastAsia="Times New Roman" w:cs="Calibri"/>
                <w:color w:val="000000"/>
                <w:lang w:eastAsia="en-AU"/>
              </w:rPr>
              <w:t xml:space="preserve">: </w:t>
            </w:r>
            <w:r w:rsidR="002B2927">
              <w:rPr>
                <w:rFonts w:eastAsia="Times New Roman" w:cs="Calibri"/>
                <w:color w:val="000000"/>
                <w:lang w:eastAsia="en-AU"/>
              </w:rPr>
              <w:t xml:space="preserve">one study </w:t>
            </w:r>
            <w:r w:rsidR="00A377F6" w:rsidRPr="002B2927">
              <w:rPr>
                <w:rFonts w:eastAsia="Times New Roman" w:cs="Calibri"/>
                <w:color w:val="000000"/>
                <w:lang w:eastAsia="en-AU"/>
              </w:rPr>
              <w:t>(Kayser et al., 2020)</w:t>
            </w:r>
            <w:r w:rsidR="00A377F6">
              <w:rPr>
                <w:rFonts w:eastAsia="Times New Roman" w:cs="Calibri"/>
                <w:color w:val="000000"/>
                <w:lang w:eastAsia="en-AU"/>
              </w:rPr>
              <w:t xml:space="preserve"> </w:t>
            </w:r>
            <w:r w:rsidR="002B2927" w:rsidRPr="002B2927">
              <w:rPr>
                <w:rFonts w:eastAsia="Times New Roman" w:cs="Calibri"/>
                <w:color w:val="000000"/>
                <w:lang w:eastAsia="en-AU"/>
              </w:rPr>
              <w:t xml:space="preserve">recruited participants with a primary diagnosis of obsessive compulsive disorder (OCD; DSM-5 criteria); the other study </w:t>
            </w:r>
            <w:r w:rsidR="00A377F6" w:rsidRPr="002B2927">
              <w:rPr>
                <w:rFonts w:eastAsia="Times New Roman" w:cs="Calibri"/>
                <w:color w:val="000000"/>
                <w:lang w:eastAsia="en-AU"/>
              </w:rPr>
              <w:t>(Bonn-Miller et al., 2021)</w:t>
            </w:r>
            <w:r w:rsidR="00A377F6">
              <w:rPr>
                <w:rFonts w:eastAsia="Times New Roman" w:cs="Calibri"/>
                <w:color w:val="000000"/>
                <w:lang w:eastAsia="en-AU"/>
              </w:rPr>
              <w:t xml:space="preserve"> </w:t>
            </w:r>
            <w:r w:rsidR="002B2927" w:rsidRPr="002B2927">
              <w:rPr>
                <w:rFonts w:eastAsia="Times New Roman" w:cs="Calibri"/>
                <w:color w:val="000000"/>
                <w:lang w:eastAsia="en-AU"/>
              </w:rPr>
              <w:t>recruited military veterans with a diagnosis of posttraumatic stress disorder (PTSD; DSM-5 criteria)</w:t>
            </w:r>
            <w:r w:rsidR="00CC12F4">
              <w:rPr>
                <w:rFonts w:eastAsia="Times New Roman" w:cs="Calibri"/>
                <w:color w:val="000000"/>
                <w:lang w:eastAsia="en-AU"/>
              </w:rPr>
              <w:t>. B</w:t>
            </w:r>
            <w:r>
              <w:rPr>
                <w:rFonts w:eastAsia="Times New Roman" w:cs="Calibri"/>
                <w:color w:val="000000"/>
                <w:lang w:eastAsia="en-AU"/>
              </w:rPr>
              <w:t xml:space="preserve">oth studies were judged to have a high risk of bias. </w:t>
            </w:r>
            <w:r w:rsidR="00D01EE8" w:rsidRPr="00D01EE8">
              <w:rPr>
                <w:rFonts w:eastAsia="Times New Roman" w:cs="Calibri"/>
                <w:color w:val="000000"/>
                <w:lang w:eastAsia="en-AU"/>
              </w:rPr>
              <w:t>Th</w:t>
            </w:r>
            <w:r w:rsidR="002775EB">
              <w:rPr>
                <w:rFonts w:eastAsia="Times New Roman" w:cs="Calibri"/>
                <w:color w:val="000000"/>
                <w:lang w:eastAsia="en-AU"/>
              </w:rPr>
              <w:t>e</w:t>
            </w:r>
            <w:r w:rsidR="00D01EE8" w:rsidRPr="00D01EE8">
              <w:rPr>
                <w:rFonts w:eastAsia="Times New Roman" w:cs="Calibri"/>
                <w:color w:val="000000"/>
                <w:lang w:eastAsia="en-AU"/>
              </w:rPr>
              <w:t xml:space="preserve"> study </w:t>
            </w:r>
            <w:r w:rsidR="00A37065">
              <w:rPr>
                <w:rFonts w:eastAsia="Times New Roman" w:cs="Calibri"/>
                <w:color w:val="000000"/>
                <w:lang w:eastAsia="en-AU"/>
              </w:rPr>
              <w:t xml:space="preserve">by Kayser and colleagues (2020) </w:t>
            </w:r>
            <w:r w:rsidR="00803A9E" w:rsidRPr="00803A9E">
              <w:rPr>
                <w:color w:val="000000" w:themeColor="text1"/>
              </w:rPr>
              <w:t>employed per-protocol analysis (rather than intention-to-treat analysis); excluding two participants who dropped out of the study following the first of three study sessions (</w:t>
            </w:r>
            <w:r w:rsidR="00803A9E" w:rsidRPr="00F62917">
              <w:rPr>
                <w:i/>
                <w:iCs/>
                <w:color w:val="000000" w:themeColor="text1"/>
              </w:rPr>
              <w:t>n</w:t>
            </w:r>
            <w:r w:rsidR="00803A9E" w:rsidRPr="00803A9E">
              <w:rPr>
                <w:color w:val="000000" w:themeColor="text1"/>
              </w:rPr>
              <w:t xml:space="preserve"> = 2/14; 14.3%), reporting that the time commitment was “too great”. The baseline severity of OCD symptoms was not reported for these participants, which further reduced confidence in the study findings due to the small sample size. Finally, the efficacy of the study blind was not assessed, and the differences in psychoactive effects across the study conditions were potentially discernible (e.g., high THC vs. placebo), which may have influenced participant’s responses to the self-reported outcome measures.</w:t>
            </w:r>
            <w:r w:rsidR="000468AA">
              <w:rPr>
                <w:color w:val="000000" w:themeColor="text1"/>
              </w:rPr>
              <w:t xml:space="preserve"> </w:t>
            </w:r>
            <w:r w:rsidR="000468AA">
              <w:rPr>
                <w:rFonts w:eastAsia="Times New Roman" w:cstheme="minorHAnsi"/>
                <w:color w:val="000000"/>
                <w:szCs w:val="20"/>
                <w:lang w:eastAsia="en-AU"/>
              </w:rPr>
              <w:t>In</w:t>
            </w:r>
            <w:r>
              <w:rPr>
                <w:rFonts w:eastAsia="Times New Roman" w:cstheme="minorHAnsi"/>
                <w:color w:val="000000"/>
                <w:szCs w:val="20"/>
                <w:lang w:eastAsia="en-AU"/>
              </w:rPr>
              <w:t xml:space="preserve"> th</w:t>
            </w:r>
            <w:r w:rsidR="00326BA8">
              <w:rPr>
                <w:rFonts w:eastAsia="Times New Roman" w:cstheme="minorHAnsi"/>
                <w:color w:val="000000"/>
                <w:szCs w:val="20"/>
                <w:lang w:eastAsia="en-AU"/>
              </w:rPr>
              <w:t>e study by Bonn-Miller and colleagues (2021)</w:t>
            </w:r>
            <w:r>
              <w:rPr>
                <w:rFonts w:eastAsia="Times New Roman" w:cstheme="minorHAnsi"/>
                <w:color w:val="000000"/>
                <w:szCs w:val="20"/>
                <w:lang w:eastAsia="en-AU"/>
              </w:rPr>
              <w:t xml:space="preserve">, </w:t>
            </w:r>
            <w:r w:rsidR="00357AF2">
              <w:t>t</w:t>
            </w:r>
            <w:r w:rsidR="00357AF2" w:rsidRPr="00357AF2">
              <w:rPr>
                <w:color w:val="000000" w:themeColor="text1"/>
              </w:rPr>
              <w:t xml:space="preserve">here were concerns about period and carryover effects in relation to the two-stage crossover design, concerns about failure of the study blind, and concerns about </w:t>
            </w:r>
            <w:r w:rsidR="00357AF2" w:rsidRPr="00357AF2">
              <w:rPr>
                <w:color w:val="000000" w:themeColor="text1"/>
              </w:rPr>
              <w:lastRenderedPageBreak/>
              <w:t xml:space="preserve">missing outcome data. </w:t>
            </w:r>
            <w:r w:rsidR="00A22451">
              <w:rPr>
                <w:rFonts w:eastAsia="Times New Roman" w:cs="Calibri"/>
                <w:color w:val="000000"/>
                <w:lang w:eastAsia="en-AU"/>
              </w:rPr>
              <w:t>T</w:t>
            </w:r>
            <w:r w:rsidR="00A22451" w:rsidRPr="002819E0">
              <w:rPr>
                <w:rFonts w:eastAsia="Times New Roman" w:cs="Calibri"/>
                <w:color w:val="000000"/>
                <w:lang w:eastAsia="en-AU"/>
              </w:rPr>
              <w:t>h</w:t>
            </w:r>
            <w:r w:rsidR="00A22451">
              <w:rPr>
                <w:rFonts w:eastAsia="Times New Roman" w:cs="Calibri"/>
                <w:color w:val="000000"/>
                <w:lang w:eastAsia="en-AU"/>
              </w:rPr>
              <w:t>erefore, the studies were judged to have serious methodological limitations.</w:t>
            </w:r>
          </w:p>
        </w:tc>
        <w:tc>
          <w:tcPr>
            <w:tcW w:w="3431" w:type="dxa"/>
          </w:tcPr>
          <w:p w14:paraId="2BC9F9AF" w14:textId="5940D31B" w:rsidR="007D668F" w:rsidRPr="009B4D43" w:rsidRDefault="00D01EE8" w:rsidP="00570BF9">
            <w:pPr>
              <w:cnfStyle w:val="000000100000" w:firstRow="0" w:lastRow="0" w:firstColumn="0" w:lastColumn="0" w:oddVBand="0" w:evenVBand="0" w:oddHBand="1" w:evenHBand="0" w:firstRowFirstColumn="0" w:firstRowLastColumn="0" w:lastRowFirstColumn="0" w:lastRowLastColumn="0"/>
              <w:rPr>
                <w:rFonts w:cstheme="minorHAnsi"/>
                <w:szCs w:val="20"/>
              </w:rPr>
            </w:pPr>
            <w:r>
              <w:lastRenderedPageBreak/>
              <w:t>Serio</w:t>
            </w:r>
            <w:r w:rsidR="00CF1531">
              <w:t>us</w:t>
            </w:r>
          </w:p>
        </w:tc>
      </w:tr>
      <w:tr w:rsidR="00D86B0F" w:rsidRPr="009B4D43" w14:paraId="5A947B09" w14:textId="77777777" w:rsidTr="003E03AC">
        <w:trPr>
          <w:trHeight w:val="571"/>
        </w:trPr>
        <w:tc>
          <w:tcPr>
            <w:cnfStyle w:val="001000000000" w:firstRow="0" w:lastRow="0" w:firstColumn="1" w:lastColumn="0" w:oddVBand="0" w:evenVBand="0" w:oddHBand="0" w:evenHBand="0" w:firstRowFirstColumn="0" w:firstRowLastColumn="0" w:lastRowFirstColumn="0" w:lastRowLastColumn="0"/>
            <w:tcW w:w="2835" w:type="dxa"/>
          </w:tcPr>
          <w:p w14:paraId="06C447A3" w14:textId="77777777" w:rsidR="00D86B0F" w:rsidRPr="009B4D43" w:rsidRDefault="00D86B0F" w:rsidP="00D86B0F">
            <w:pPr>
              <w:rPr>
                <w:rFonts w:cstheme="minorHAnsi"/>
                <w:szCs w:val="20"/>
              </w:rPr>
            </w:pPr>
            <w:r w:rsidRPr="009B4D43">
              <w:rPr>
                <w:rFonts w:cstheme="minorHAnsi"/>
                <w:b w:val="0"/>
                <w:bCs w:val="0"/>
                <w:szCs w:val="20"/>
              </w:rPr>
              <w:t>Precision and Consistency</w:t>
            </w:r>
          </w:p>
        </w:tc>
        <w:tc>
          <w:tcPr>
            <w:tcW w:w="7650" w:type="dxa"/>
          </w:tcPr>
          <w:p w14:paraId="32FCEEFD" w14:textId="3228BA3C" w:rsidR="00D86B0F" w:rsidRPr="00DF4950" w:rsidRDefault="00D86B0F" w:rsidP="00590DB0">
            <w:pPr>
              <w:jc w:val="both"/>
              <w:cnfStyle w:val="000000000000" w:firstRow="0" w:lastRow="0" w:firstColumn="0" w:lastColumn="0" w:oddVBand="0" w:evenVBand="0" w:oddHBand="0" w:evenHBand="0" w:firstRowFirstColumn="0" w:firstRowLastColumn="0" w:lastRowFirstColumn="0" w:lastRowLastColumn="0"/>
            </w:pPr>
            <w:r w:rsidRPr="00B77E21">
              <w:t xml:space="preserve">The total number of participants </w:t>
            </w:r>
            <w:r w:rsidR="00E57834">
              <w:t>enroll</w:t>
            </w:r>
            <w:r w:rsidRPr="00B77E21">
              <w:t xml:space="preserve">ed in the </w:t>
            </w:r>
            <w:r w:rsidR="0059288B">
              <w:t>studies</w:t>
            </w:r>
            <w:r w:rsidRPr="00B77E21">
              <w:t xml:space="preserve"> was </w:t>
            </w:r>
            <w:r>
              <w:t>94</w:t>
            </w:r>
            <w:r w:rsidRPr="00B77E21">
              <w:t xml:space="preserve">, with </w:t>
            </w:r>
            <w:r w:rsidR="0041369A">
              <w:t>most</w:t>
            </w:r>
            <w:r w:rsidR="007128D2">
              <w:t xml:space="preserve"> participants </w:t>
            </w:r>
            <w:r w:rsidRPr="00B77E21">
              <w:t xml:space="preserve">contributed by </w:t>
            </w:r>
            <w:r w:rsidR="007128D2">
              <w:t xml:space="preserve">the </w:t>
            </w:r>
            <w:r>
              <w:t>Bonn-Miller</w:t>
            </w:r>
            <w:r w:rsidRPr="00B77E21">
              <w:t xml:space="preserve"> et al. (20</w:t>
            </w:r>
            <w:r>
              <w:t>21</w:t>
            </w:r>
            <w:r w:rsidRPr="00B77E21">
              <w:t>)</w:t>
            </w:r>
            <w:r w:rsidR="007128D2">
              <w:t xml:space="preserve"> study</w:t>
            </w:r>
            <w:r w:rsidR="001458D6">
              <w:t xml:space="preserve"> (</w:t>
            </w:r>
            <w:r w:rsidR="001458D6" w:rsidRPr="00F62917">
              <w:rPr>
                <w:i/>
                <w:iCs/>
              </w:rPr>
              <w:t>n</w:t>
            </w:r>
            <w:r w:rsidR="001458D6">
              <w:t xml:space="preserve"> = 80</w:t>
            </w:r>
            <w:r w:rsidR="00C32ACE">
              <w:t>/94; 85.1%</w:t>
            </w:r>
            <w:r w:rsidR="001458D6">
              <w:t>)</w:t>
            </w:r>
            <w:r w:rsidRPr="00B77E21">
              <w:t xml:space="preserve">. </w:t>
            </w:r>
            <w:r w:rsidR="0041369A">
              <w:t xml:space="preserve">In </w:t>
            </w:r>
            <w:r w:rsidR="00D13378">
              <w:t>Stage I of the</w:t>
            </w:r>
            <w:r w:rsidR="0041369A">
              <w:t xml:space="preserve"> </w:t>
            </w:r>
            <w:r w:rsidR="00EA06D0">
              <w:t>Bonn-Miller et al. (2021)</w:t>
            </w:r>
            <w:r w:rsidRPr="00B77E21">
              <w:t xml:space="preserve"> </w:t>
            </w:r>
            <w:r w:rsidR="0041369A">
              <w:t xml:space="preserve">study, </w:t>
            </w:r>
            <w:r w:rsidR="00D13378" w:rsidRPr="00D13378">
              <w:t xml:space="preserve">no significant between-group differences in change scores (baseline to end of treatment: visit 0 to visit 7) were observed for PTSD severity (as measured by the CAPS-5; </w:t>
            </w:r>
            <w:r w:rsidR="00D13378" w:rsidRPr="00F62917">
              <w:rPr>
                <w:i/>
                <w:iCs/>
              </w:rPr>
              <w:t>p</w:t>
            </w:r>
            <w:r w:rsidR="00D13378" w:rsidRPr="00D13378">
              <w:t xml:space="preserve"> = 0.15). </w:t>
            </w:r>
            <w:r w:rsidR="0060334F">
              <w:t xml:space="preserve">In the </w:t>
            </w:r>
            <w:r>
              <w:t>Kayser</w:t>
            </w:r>
            <w:r w:rsidRPr="00B77E21">
              <w:t xml:space="preserve"> et al. (20</w:t>
            </w:r>
            <w:r>
              <w:t>20</w:t>
            </w:r>
            <w:r w:rsidRPr="00B77E21">
              <w:t xml:space="preserve">) </w:t>
            </w:r>
            <w:r w:rsidR="0060334F">
              <w:t xml:space="preserve">study, </w:t>
            </w:r>
            <w:r>
              <w:t xml:space="preserve">self‐reported OCD </w:t>
            </w:r>
            <w:r w:rsidR="0059288B">
              <w:t xml:space="preserve">and </w:t>
            </w:r>
            <w:r>
              <w:t>anxiety</w:t>
            </w:r>
            <w:r w:rsidR="0059288B">
              <w:t xml:space="preserve"> symptoms</w:t>
            </w:r>
            <w:r>
              <w:t xml:space="preserve"> did not vary as a function of </w:t>
            </w:r>
            <w:r w:rsidR="000A1D98">
              <w:t xml:space="preserve">the </w:t>
            </w:r>
            <w:r>
              <w:t xml:space="preserve">cannabis varietal, and </w:t>
            </w:r>
            <w:r w:rsidR="00E83767">
              <w:t xml:space="preserve">post-hoc analyses indicated </w:t>
            </w:r>
            <w:r>
              <w:t xml:space="preserve">state anxiety was significantly lower immediately </w:t>
            </w:r>
            <w:r w:rsidR="007124F6">
              <w:t>following</w:t>
            </w:r>
            <w:r w:rsidR="000A1D98">
              <w:t xml:space="preserve"> </w:t>
            </w:r>
            <w:r>
              <w:t xml:space="preserve">placebo </w:t>
            </w:r>
            <w:r w:rsidR="000A1D98">
              <w:t xml:space="preserve">treatment, </w:t>
            </w:r>
            <w:r>
              <w:t>relative to both</w:t>
            </w:r>
            <w:r w:rsidR="000A1D98">
              <w:t xml:space="preserve"> </w:t>
            </w:r>
            <w:r>
              <w:t>THC and CBD</w:t>
            </w:r>
            <w:r w:rsidR="000A1D98">
              <w:t xml:space="preserve"> treatment</w:t>
            </w:r>
            <w:r w:rsidRPr="00B77E21">
              <w:t>. Therefore</w:t>
            </w:r>
            <w:r w:rsidR="0060334F">
              <w:t>,</w:t>
            </w:r>
            <w:r w:rsidRPr="00B77E21">
              <w:t xml:space="preserve"> the evidence was judged to </w:t>
            </w:r>
            <w:r>
              <w:t xml:space="preserve">be consistent in terms of demonstrating no </w:t>
            </w:r>
            <w:r w:rsidR="00DC0221">
              <w:t xml:space="preserve">benefit of the active </w:t>
            </w:r>
            <w:r w:rsidR="004D5B14">
              <w:t>t</w:t>
            </w:r>
            <w:r w:rsidR="000A1D98">
              <w:t>reatment</w:t>
            </w:r>
            <w:r w:rsidR="00E83767">
              <w:t>s</w:t>
            </w:r>
            <w:r w:rsidR="000A1D98">
              <w:t xml:space="preserve"> </w:t>
            </w:r>
            <w:r w:rsidR="00DC0221">
              <w:t>over the placebo treatment</w:t>
            </w:r>
            <w:r>
              <w:t>.</w:t>
            </w:r>
          </w:p>
        </w:tc>
        <w:tc>
          <w:tcPr>
            <w:tcW w:w="3431" w:type="dxa"/>
          </w:tcPr>
          <w:p w14:paraId="2C693149" w14:textId="684A8F65" w:rsidR="00D86B0F" w:rsidRPr="007F4908" w:rsidRDefault="00D86B0F" w:rsidP="00570BF9">
            <w:pPr>
              <w:cnfStyle w:val="000000000000" w:firstRow="0" w:lastRow="0" w:firstColumn="0" w:lastColumn="0" w:oddVBand="0" w:evenVBand="0" w:oddHBand="0" w:evenHBand="0" w:firstRowFirstColumn="0" w:firstRowLastColumn="0" w:lastRowFirstColumn="0" w:lastRowLastColumn="0"/>
              <w:rPr>
                <w:rFonts w:cstheme="minorHAnsi"/>
                <w:szCs w:val="20"/>
                <w:highlight w:val="yellow"/>
              </w:rPr>
            </w:pPr>
            <w:r>
              <w:t>No</w:t>
            </w:r>
            <w:r w:rsidR="00A445DA">
              <w:t>t</w:t>
            </w:r>
            <w:r>
              <w:t xml:space="preserve"> serious</w:t>
            </w:r>
          </w:p>
        </w:tc>
      </w:tr>
      <w:tr w:rsidR="00D86B0F" w:rsidRPr="009B4D43" w14:paraId="4C8BE354" w14:textId="77777777" w:rsidTr="003E03AC">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835" w:type="dxa"/>
          </w:tcPr>
          <w:p w14:paraId="0D40E6FB" w14:textId="77777777" w:rsidR="00D86B0F" w:rsidRPr="009B4D43" w:rsidRDefault="00D86B0F" w:rsidP="00D86B0F">
            <w:pPr>
              <w:rPr>
                <w:rFonts w:cstheme="minorHAnsi"/>
                <w:b w:val="0"/>
                <w:bCs w:val="0"/>
                <w:szCs w:val="20"/>
              </w:rPr>
            </w:pPr>
            <w:r w:rsidRPr="009B4D43">
              <w:rPr>
                <w:rFonts w:cstheme="minorHAnsi"/>
                <w:b w:val="0"/>
                <w:bCs w:val="0"/>
                <w:szCs w:val="20"/>
              </w:rPr>
              <w:t>Directness</w:t>
            </w:r>
          </w:p>
        </w:tc>
        <w:tc>
          <w:tcPr>
            <w:tcW w:w="7650" w:type="dxa"/>
          </w:tcPr>
          <w:p w14:paraId="0DE9F571" w14:textId="1C789DCF" w:rsidR="00D86B0F" w:rsidRPr="0060334F" w:rsidRDefault="00ED402A" w:rsidP="00AE52AC">
            <w:pPr>
              <w:jc w:val="both"/>
              <w:cnfStyle w:val="000000100000" w:firstRow="0" w:lastRow="0" w:firstColumn="0" w:lastColumn="0" w:oddVBand="0" w:evenVBand="0" w:oddHBand="1" w:evenHBand="0" w:firstRowFirstColumn="0" w:firstRowLastColumn="0" w:lastRowFirstColumn="0" w:lastRowLastColumn="0"/>
            </w:pPr>
            <w:r>
              <w:t>Both studies had</w:t>
            </w:r>
            <w:r w:rsidR="00D86B0F">
              <w:t xml:space="preserve"> serious limitations in </w:t>
            </w:r>
            <w:r>
              <w:t xml:space="preserve">terms of </w:t>
            </w:r>
            <w:r w:rsidR="00D86B0F">
              <w:t xml:space="preserve">their relevance to </w:t>
            </w:r>
            <w:r w:rsidR="00083FA5">
              <w:t>clinical practice</w:t>
            </w:r>
            <w:r w:rsidR="00A8194D">
              <w:t>:</w:t>
            </w:r>
            <w:r w:rsidR="00D86B0F">
              <w:t xml:space="preserve"> </w:t>
            </w:r>
            <w:r w:rsidR="00AE52AC">
              <w:t xml:space="preserve">the </w:t>
            </w:r>
            <w:r w:rsidR="00D86B0F">
              <w:t xml:space="preserve">smoking </w:t>
            </w:r>
            <w:r w:rsidR="00AE52AC">
              <w:t xml:space="preserve">of </w:t>
            </w:r>
            <w:r w:rsidR="00D86B0F">
              <w:t xml:space="preserve">medicinal cannabis is explicitly not recommended </w:t>
            </w:r>
            <w:r w:rsidR="00313961">
              <w:t xml:space="preserve">by </w:t>
            </w:r>
            <w:r w:rsidR="00D86B0F">
              <w:t>the TGA on medical grounds. Alternative routes of administration (</w:t>
            </w:r>
            <w:r w:rsidR="00AE52AC">
              <w:t xml:space="preserve">e.g., </w:t>
            </w:r>
            <w:r w:rsidR="00D86B0F">
              <w:t>oral ingestion</w:t>
            </w:r>
            <w:r w:rsidR="000020A4">
              <w:t xml:space="preserve"> or </w:t>
            </w:r>
            <w:r w:rsidR="00D86B0F">
              <w:t>oromucosal spray</w:t>
            </w:r>
            <w:r w:rsidR="000020A4">
              <w:t>)</w:t>
            </w:r>
            <w:r w:rsidR="00D86B0F">
              <w:t xml:space="preserve"> are </w:t>
            </w:r>
            <w:r w:rsidR="006076E0">
              <w:t xml:space="preserve">applicable </w:t>
            </w:r>
            <w:r w:rsidR="00D86B0F">
              <w:t xml:space="preserve">to </w:t>
            </w:r>
            <w:r w:rsidR="003A257A">
              <w:t>the medical context</w:t>
            </w:r>
            <w:r w:rsidR="00D86B0F">
              <w:t xml:space="preserve">. </w:t>
            </w:r>
            <w:r w:rsidR="0060334F">
              <w:t>A</w:t>
            </w:r>
            <w:r w:rsidR="00D86B0F">
              <w:t>ddition</w:t>
            </w:r>
            <w:r w:rsidR="0060334F">
              <w:t>ally</w:t>
            </w:r>
            <w:r w:rsidR="00D86B0F">
              <w:t>, no psychotherapy intervention was offered</w:t>
            </w:r>
            <w:r w:rsidR="0060334F">
              <w:t xml:space="preserve"> to</w:t>
            </w:r>
            <w:r w:rsidR="00590DB0">
              <w:t xml:space="preserve"> </w:t>
            </w:r>
            <w:r w:rsidR="0060334F">
              <w:t>participants in either study</w:t>
            </w:r>
            <w:r w:rsidR="00D86B0F">
              <w:t>.</w:t>
            </w:r>
            <w:r w:rsidR="00FB6620">
              <w:t xml:space="preserve"> </w:t>
            </w:r>
            <w:r w:rsidR="00FB6620" w:rsidRPr="00FB0E9C">
              <w:rPr>
                <w:rFonts w:eastAsia="Times New Roman" w:cs="Calibri"/>
                <w:color w:val="000000"/>
                <w:lang w:eastAsia="en-AU"/>
              </w:rPr>
              <w:t>Therefore</w:t>
            </w:r>
            <w:r w:rsidR="00FB6620">
              <w:rPr>
                <w:rFonts w:eastAsia="Times New Roman" w:cs="Calibri"/>
                <w:color w:val="000000"/>
                <w:lang w:eastAsia="en-AU"/>
              </w:rPr>
              <w:t>, the studie</w:t>
            </w:r>
            <w:r w:rsidR="00FB6620" w:rsidRPr="00FB0E9C">
              <w:rPr>
                <w:rFonts w:eastAsia="Times New Roman" w:cs="Calibri"/>
                <w:color w:val="000000"/>
                <w:lang w:eastAsia="en-AU"/>
              </w:rPr>
              <w:t xml:space="preserve">s </w:t>
            </w:r>
            <w:r w:rsidR="00FB6620">
              <w:rPr>
                <w:rFonts w:eastAsia="Times New Roman" w:cs="Calibri"/>
                <w:color w:val="000000"/>
                <w:lang w:eastAsia="en-AU"/>
              </w:rPr>
              <w:t xml:space="preserve">were judged </w:t>
            </w:r>
            <w:r w:rsidR="00FB6620" w:rsidRPr="00FB0E9C">
              <w:rPr>
                <w:rFonts w:eastAsia="Times New Roman" w:cs="Calibri"/>
                <w:color w:val="000000"/>
                <w:lang w:eastAsia="en-AU"/>
              </w:rPr>
              <w:t xml:space="preserve">to have </w:t>
            </w:r>
            <w:r w:rsidR="00292FD2">
              <w:rPr>
                <w:rFonts w:eastAsia="Times New Roman" w:cs="Calibri"/>
                <w:color w:val="000000"/>
                <w:lang w:eastAsia="en-AU"/>
              </w:rPr>
              <w:t xml:space="preserve">a </w:t>
            </w:r>
            <w:r w:rsidR="00FB6620">
              <w:rPr>
                <w:rFonts w:eastAsia="Times New Roman" w:cs="Calibri"/>
                <w:color w:val="000000"/>
                <w:lang w:eastAsia="en-AU"/>
              </w:rPr>
              <w:t>serious</w:t>
            </w:r>
            <w:r w:rsidR="00292FD2">
              <w:rPr>
                <w:rFonts w:eastAsia="Times New Roman" w:cs="Calibri"/>
                <w:color w:val="000000"/>
                <w:lang w:eastAsia="en-AU"/>
              </w:rPr>
              <w:t xml:space="preserve"> </w:t>
            </w:r>
            <w:r w:rsidR="00FB6620" w:rsidRPr="00FB0E9C">
              <w:rPr>
                <w:rFonts w:eastAsia="Times New Roman" w:cs="Calibri"/>
                <w:color w:val="000000"/>
                <w:lang w:eastAsia="en-AU"/>
              </w:rPr>
              <w:t>indirectness</w:t>
            </w:r>
            <w:r w:rsidR="00F74A95">
              <w:rPr>
                <w:rFonts w:eastAsia="Times New Roman" w:cs="Calibri"/>
                <w:color w:val="000000"/>
                <w:lang w:eastAsia="en-AU"/>
              </w:rPr>
              <w:t xml:space="preserve"> </w:t>
            </w:r>
            <w:r w:rsidR="00EA605F">
              <w:rPr>
                <w:rFonts w:eastAsia="Times New Roman" w:cs="Calibri"/>
                <w:color w:val="000000"/>
                <w:lang w:eastAsia="en-AU"/>
              </w:rPr>
              <w:t xml:space="preserve">in relation </w:t>
            </w:r>
            <w:r w:rsidR="00F74A95">
              <w:rPr>
                <w:rFonts w:eastAsia="Times New Roman" w:cs="Calibri"/>
                <w:color w:val="000000"/>
                <w:lang w:eastAsia="en-AU"/>
              </w:rPr>
              <w:t>to the review question</w:t>
            </w:r>
            <w:r w:rsidR="00FB6620" w:rsidRPr="00FB0E9C">
              <w:rPr>
                <w:rFonts w:eastAsia="Times New Roman" w:cs="Calibri"/>
                <w:color w:val="000000"/>
                <w:lang w:eastAsia="en-AU"/>
              </w:rPr>
              <w:t>.</w:t>
            </w:r>
          </w:p>
        </w:tc>
        <w:tc>
          <w:tcPr>
            <w:tcW w:w="3431" w:type="dxa"/>
          </w:tcPr>
          <w:p w14:paraId="6379A3C0" w14:textId="5A4AD42E" w:rsidR="00D86B0F" w:rsidRPr="009B4D43" w:rsidRDefault="00D86B0F" w:rsidP="00D86B0F">
            <w:pPr>
              <w:cnfStyle w:val="000000100000" w:firstRow="0" w:lastRow="0" w:firstColumn="0" w:lastColumn="0" w:oddVBand="0" w:evenVBand="0" w:oddHBand="1" w:evenHBand="0" w:firstRowFirstColumn="0" w:firstRowLastColumn="0" w:lastRowFirstColumn="0" w:lastRowLastColumn="0"/>
              <w:rPr>
                <w:rFonts w:cstheme="minorHAnsi"/>
                <w:szCs w:val="20"/>
              </w:rPr>
            </w:pPr>
            <w:r>
              <w:t>Serious</w:t>
            </w:r>
          </w:p>
        </w:tc>
      </w:tr>
      <w:tr w:rsidR="00D86B0F" w:rsidRPr="009B4D43" w14:paraId="0F0445DC" w14:textId="77777777" w:rsidTr="003E03AC">
        <w:trPr>
          <w:trHeight w:val="571"/>
        </w:trPr>
        <w:tc>
          <w:tcPr>
            <w:cnfStyle w:val="001000000000" w:firstRow="0" w:lastRow="0" w:firstColumn="1" w:lastColumn="0" w:oddVBand="0" w:evenVBand="0" w:oddHBand="0" w:evenHBand="0" w:firstRowFirstColumn="0" w:firstRowLastColumn="0" w:lastRowFirstColumn="0" w:lastRowLastColumn="0"/>
            <w:tcW w:w="2835" w:type="dxa"/>
          </w:tcPr>
          <w:p w14:paraId="2D9CDA8B" w14:textId="77777777" w:rsidR="00D86B0F" w:rsidRPr="009B4D43" w:rsidRDefault="00D86B0F" w:rsidP="00D86B0F">
            <w:pPr>
              <w:rPr>
                <w:rFonts w:cstheme="minorHAnsi"/>
                <w:b w:val="0"/>
                <w:bCs w:val="0"/>
                <w:szCs w:val="20"/>
              </w:rPr>
            </w:pPr>
            <w:r w:rsidRPr="009B4D43">
              <w:rPr>
                <w:rFonts w:cstheme="minorHAnsi"/>
                <w:b w:val="0"/>
                <w:bCs w:val="0"/>
                <w:szCs w:val="20"/>
              </w:rPr>
              <w:t>Publication bias</w:t>
            </w:r>
          </w:p>
        </w:tc>
        <w:tc>
          <w:tcPr>
            <w:tcW w:w="7650" w:type="dxa"/>
          </w:tcPr>
          <w:p w14:paraId="7578D5D8" w14:textId="03B04AAB" w:rsidR="00D86B0F" w:rsidRPr="007F4908" w:rsidRDefault="00473618" w:rsidP="00590DB0">
            <w:pPr>
              <w:jc w:val="both"/>
              <w:cnfStyle w:val="000000000000" w:firstRow="0" w:lastRow="0" w:firstColumn="0" w:lastColumn="0" w:oddVBand="0" w:evenVBand="0" w:oddHBand="0" w:evenHBand="0" w:firstRowFirstColumn="0" w:firstRowLastColumn="0" w:lastRowFirstColumn="0" w:lastRowLastColumn="0"/>
              <w:rPr>
                <w:rFonts w:cstheme="minorHAnsi"/>
                <w:szCs w:val="20"/>
                <w:highlight w:val="yellow"/>
              </w:rPr>
            </w:pPr>
            <w:r>
              <w:t>P</w:t>
            </w:r>
            <w:r w:rsidR="00D86B0F">
              <w:t xml:space="preserve">ublication bias </w:t>
            </w:r>
            <w:r>
              <w:t xml:space="preserve">was not suspected </w:t>
            </w:r>
            <w:r w:rsidR="00D86B0F">
              <w:t>because both studies reported negative results</w:t>
            </w:r>
            <w:r w:rsidR="00590DB0">
              <w:t>, and the search for studies was comprehensive</w:t>
            </w:r>
            <w:r w:rsidR="00D86B0F">
              <w:t>.</w:t>
            </w:r>
          </w:p>
        </w:tc>
        <w:tc>
          <w:tcPr>
            <w:tcW w:w="3431" w:type="dxa"/>
          </w:tcPr>
          <w:p w14:paraId="37B0A705" w14:textId="73DD73F6" w:rsidR="00D86B0F" w:rsidRPr="007F4908" w:rsidRDefault="00D86B0F" w:rsidP="00D86B0F">
            <w:pPr>
              <w:cnfStyle w:val="000000000000" w:firstRow="0" w:lastRow="0" w:firstColumn="0" w:lastColumn="0" w:oddVBand="0" w:evenVBand="0" w:oddHBand="0" w:evenHBand="0" w:firstRowFirstColumn="0" w:firstRowLastColumn="0" w:lastRowFirstColumn="0" w:lastRowLastColumn="0"/>
              <w:rPr>
                <w:rFonts w:cstheme="minorHAnsi"/>
                <w:szCs w:val="20"/>
                <w:highlight w:val="yellow"/>
              </w:rPr>
            </w:pPr>
            <w:r>
              <w:t>Not suspected</w:t>
            </w:r>
          </w:p>
        </w:tc>
      </w:tr>
    </w:tbl>
    <w:p w14:paraId="05DB11D4" w14:textId="7C13DA39" w:rsidR="00BB0D21" w:rsidRPr="003E0FBF" w:rsidRDefault="00BB0D21" w:rsidP="00350AAD">
      <w:pPr>
        <w:pStyle w:val="Heading2"/>
        <w:numPr>
          <w:ilvl w:val="0"/>
          <w:numId w:val="19"/>
        </w:numPr>
        <w:ind w:left="357" w:hanging="357"/>
        <w:rPr>
          <w:rFonts w:cstheme="majorHAnsi"/>
        </w:rPr>
      </w:pPr>
      <w:bookmarkStart w:id="355" w:name="_Toc101536724"/>
      <w:bookmarkStart w:id="356" w:name="_Toc103944937"/>
      <w:bookmarkStart w:id="357" w:name="_Toc121096150"/>
      <w:bookmarkStart w:id="358" w:name="_Toc165018259"/>
      <w:r w:rsidRPr="003E0FBF">
        <w:rPr>
          <w:rFonts w:cstheme="majorHAnsi"/>
        </w:rPr>
        <w:t xml:space="preserve">GRADE rating of </w:t>
      </w:r>
      <w:r w:rsidR="007E023D" w:rsidRPr="003E0FBF">
        <w:rPr>
          <w:rFonts w:cstheme="majorHAnsi"/>
        </w:rPr>
        <w:t xml:space="preserve">synthetic cannabinoid </w:t>
      </w:r>
      <w:r w:rsidR="007F41EE">
        <w:rPr>
          <w:rFonts w:cstheme="majorHAnsi"/>
        </w:rPr>
        <w:t xml:space="preserve">(THC) </w:t>
      </w:r>
      <w:r w:rsidR="007E023D" w:rsidRPr="003E0FBF">
        <w:rPr>
          <w:rFonts w:cstheme="majorHAnsi"/>
        </w:rPr>
        <w:t>studies</w:t>
      </w:r>
      <w:bookmarkStart w:id="359" w:name="_Hlk99532112"/>
      <w:bookmarkEnd w:id="354"/>
      <w:bookmarkEnd w:id="355"/>
      <w:bookmarkEnd w:id="356"/>
      <w:bookmarkEnd w:id="357"/>
      <w:bookmarkEnd w:id="358"/>
    </w:p>
    <w:tbl>
      <w:tblPr>
        <w:tblStyle w:val="GridTable4-Accent5"/>
        <w:tblW w:w="0" w:type="auto"/>
        <w:tblLook w:val="04A0" w:firstRow="1" w:lastRow="0" w:firstColumn="1" w:lastColumn="0" w:noHBand="0" w:noVBand="1"/>
      </w:tblPr>
      <w:tblGrid>
        <w:gridCol w:w="2835"/>
        <w:gridCol w:w="7650"/>
        <w:gridCol w:w="3431"/>
      </w:tblGrid>
      <w:tr w:rsidR="00BB0D21" w:rsidRPr="009B4D43" w14:paraId="13B179BD" w14:textId="77777777" w:rsidTr="003A54C8">
        <w:trPr>
          <w:cnfStyle w:val="100000000000" w:firstRow="1" w:lastRow="0" w:firstColumn="0" w:lastColumn="0" w:oddVBand="0" w:evenVBand="0" w:oddHBand="0" w:evenHBand="0" w:firstRowFirstColumn="0" w:firstRowLastColumn="0" w:lastRowFirstColumn="0" w:lastRowLastColumn="0"/>
          <w:trHeight w:val="349"/>
          <w:tblHeader/>
        </w:trPr>
        <w:tc>
          <w:tcPr>
            <w:cnfStyle w:val="001000000000" w:firstRow="0" w:lastRow="0" w:firstColumn="1" w:lastColumn="0" w:oddVBand="0" w:evenVBand="0" w:oddHBand="0" w:evenHBand="0" w:firstRowFirstColumn="0" w:firstRowLastColumn="0" w:lastRowFirstColumn="0" w:lastRowLastColumn="0"/>
            <w:tcW w:w="2835" w:type="dxa"/>
          </w:tcPr>
          <w:p w14:paraId="4047B24E" w14:textId="77777777" w:rsidR="00BB0D21" w:rsidRPr="009B4D43" w:rsidRDefault="00BB0D21" w:rsidP="00BB0D21">
            <w:pPr>
              <w:rPr>
                <w:rFonts w:cstheme="minorHAnsi"/>
                <w:bCs w:val="0"/>
                <w:szCs w:val="20"/>
              </w:rPr>
            </w:pPr>
            <w:r w:rsidRPr="009B4D43">
              <w:rPr>
                <w:rFonts w:cstheme="minorHAnsi"/>
                <w:bCs w:val="0"/>
                <w:szCs w:val="20"/>
              </w:rPr>
              <w:t>GRADE domain</w:t>
            </w:r>
          </w:p>
        </w:tc>
        <w:tc>
          <w:tcPr>
            <w:tcW w:w="7650" w:type="dxa"/>
          </w:tcPr>
          <w:p w14:paraId="19902E55" w14:textId="77777777" w:rsidR="00BB0D21" w:rsidRPr="009B4D43" w:rsidRDefault="00BB0D21" w:rsidP="00BB0D21">
            <w:pPr>
              <w:cnfStyle w:val="100000000000" w:firstRow="1" w:lastRow="0" w:firstColumn="0" w:lastColumn="0" w:oddVBand="0" w:evenVBand="0" w:oddHBand="0" w:evenHBand="0" w:firstRowFirstColumn="0" w:firstRowLastColumn="0" w:lastRowFirstColumn="0" w:lastRowLastColumn="0"/>
              <w:rPr>
                <w:rFonts w:cstheme="minorHAnsi"/>
                <w:bCs w:val="0"/>
                <w:szCs w:val="20"/>
              </w:rPr>
            </w:pPr>
            <w:r w:rsidRPr="009B4D43">
              <w:rPr>
                <w:rFonts w:cstheme="minorHAnsi"/>
                <w:bCs w:val="0"/>
                <w:szCs w:val="20"/>
              </w:rPr>
              <w:t>Judgement</w:t>
            </w:r>
          </w:p>
        </w:tc>
        <w:tc>
          <w:tcPr>
            <w:tcW w:w="3431" w:type="dxa"/>
          </w:tcPr>
          <w:p w14:paraId="4B4E3E1B" w14:textId="77777777" w:rsidR="00BB0D21" w:rsidRPr="009B4D43" w:rsidRDefault="00BB0D21" w:rsidP="00BB0D21">
            <w:pPr>
              <w:cnfStyle w:val="100000000000" w:firstRow="1" w:lastRow="0" w:firstColumn="0" w:lastColumn="0" w:oddVBand="0" w:evenVBand="0" w:oddHBand="0" w:evenHBand="0" w:firstRowFirstColumn="0" w:firstRowLastColumn="0" w:lastRowFirstColumn="0" w:lastRowLastColumn="0"/>
              <w:rPr>
                <w:rFonts w:cstheme="minorHAnsi"/>
                <w:bCs w:val="0"/>
                <w:szCs w:val="20"/>
              </w:rPr>
            </w:pPr>
            <w:r w:rsidRPr="009B4D43">
              <w:rPr>
                <w:rFonts w:cstheme="minorHAnsi"/>
                <w:bCs w:val="0"/>
                <w:szCs w:val="20"/>
              </w:rPr>
              <w:t>Concerns about certainty domains</w:t>
            </w:r>
          </w:p>
        </w:tc>
      </w:tr>
      <w:tr w:rsidR="002D461D" w:rsidRPr="009B4D43" w14:paraId="4C5B2498" w14:textId="77777777" w:rsidTr="003E03AC">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835" w:type="dxa"/>
          </w:tcPr>
          <w:p w14:paraId="1A97F8AA" w14:textId="03BADB94" w:rsidR="002D461D" w:rsidRPr="009B4D43" w:rsidRDefault="00A445DA" w:rsidP="002D461D">
            <w:pPr>
              <w:rPr>
                <w:rFonts w:cstheme="minorHAnsi"/>
                <w:szCs w:val="20"/>
              </w:rPr>
            </w:pPr>
            <w:r>
              <w:rPr>
                <w:rFonts w:cstheme="minorHAnsi"/>
                <w:b w:val="0"/>
                <w:bCs w:val="0"/>
                <w:szCs w:val="20"/>
              </w:rPr>
              <w:t>Study limitations (risk of bias)</w:t>
            </w:r>
          </w:p>
        </w:tc>
        <w:tc>
          <w:tcPr>
            <w:tcW w:w="7650" w:type="dxa"/>
          </w:tcPr>
          <w:p w14:paraId="532B63A7" w14:textId="0F092728" w:rsidR="002D461D" w:rsidRPr="00F62917" w:rsidRDefault="00173B18" w:rsidP="00511938">
            <w:pPr>
              <w:jc w:val="both"/>
              <w:cnfStyle w:val="000000100000" w:firstRow="0" w:lastRow="0" w:firstColumn="0" w:lastColumn="0" w:oddVBand="0" w:evenVBand="0" w:oddHBand="1" w:evenHBand="0" w:firstRowFirstColumn="0" w:firstRowLastColumn="0" w:lastRowFirstColumn="0" w:lastRowLastColumn="0"/>
              <w:rPr>
                <w:rFonts w:eastAsia="Times New Roman"/>
                <w:lang w:eastAsia="en-AU"/>
              </w:rPr>
            </w:pPr>
            <w:r>
              <w:t xml:space="preserve">Both </w:t>
            </w:r>
            <w:r w:rsidR="00ED402A">
              <w:t xml:space="preserve">studies of synthetic </w:t>
            </w:r>
            <w:r w:rsidR="005538D2">
              <w:t xml:space="preserve">(THC) </w:t>
            </w:r>
            <w:r w:rsidR="00ED402A">
              <w:t>cannabinoid</w:t>
            </w:r>
            <w:r w:rsidR="002D461D">
              <w:t>s (</w:t>
            </w:r>
            <w:r w:rsidR="002D461D" w:rsidRPr="00F56715">
              <w:t>Hill et al.</w:t>
            </w:r>
            <w:r w:rsidR="00C26ECA">
              <w:t>,</w:t>
            </w:r>
            <w:r w:rsidR="002D461D" w:rsidRPr="00F56715">
              <w:t xml:space="preserve"> 2017</w:t>
            </w:r>
            <w:r w:rsidR="00C26ECA">
              <w:t xml:space="preserve">; </w:t>
            </w:r>
            <w:r w:rsidR="00C26ECA" w:rsidRPr="006D1B38">
              <w:t>Schlienz et al.</w:t>
            </w:r>
            <w:r w:rsidR="00C26ECA">
              <w:t xml:space="preserve">, </w:t>
            </w:r>
            <w:r w:rsidR="00C26ECA" w:rsidRPr="006D1B38">
              <w:t>2018</w:t>
            </w:r>
            <w:r w:rsidR="0060334F">
              <w:t>) w</w:t>
            </w:r>
            <w:r w:rsidR="00C26ECA">
              <w:t>ere</w:t>
            </w:r>
            <w:r w:rsidR="0060334F">
              <w:t xml:space="preserve"> judged</w:t>
            </w:r>
            <w:r w:rsidR="00FE3C12">
              <w:t xml:space="preserve"> to have a high risk of bias</w:t>
            </w:r>
            <w:r w:rsidR="002D461D">
              <w:t xml:space="preserve">. </w:t>
            </w:r>
            <w:r w:rsidR="00232182" w:rsidRPr="00232182">
              <w:t>In the Schlienz et al. (2018) study, carryover effects were not assessed. The analysis did not control for period effects, and baseline values between groups may not have been comparable at different time-points. Additionally, follow-up analyses were not reported for the study conditions in which participants could access placebo cannabis cigarettes (i.e., only the follow-up analyses for self-administration of active cannabis cigarettes were reported). Finally, the study employed per-protocol analysis (rather than intention-to-treat analysis); excluding three participants following study enrolment (</w:t>
            </w:r>
            <w:r w:rsidR="00232182" w:rsidRPr="00F62917">
              <w:rPr>
                <w:i/>
                <w:iCs/>
              </w:rPr>
              <w:t>n</w:t>
            </w:r>
            <w:r w:rsidR="00232182" w:rsidRPr="00232182">
              <w:t xml:space="preserve"> = 3/16; 18.</w:t>
            </w:r>
            <w:r w:rsidR="005A35A0">
              <w:t>8</w:t>
            </w:r>
            <w:r w:rsidR="00232182" w:rsidRPr="00232182">
              <w:t xml:space="preserve">%). </w:t>
            </w:r>
            <w:r w:rsidR="001E7EF7">
              <w:t xml:space="preserve">In the Hill et al. (2017) study, </w:t>
            </w:r>
            <w:r w:rsidR="00CA0563">
              <w:t>n</w:t>
            </w:r>
            <w:r w:rsidR="001E7EF7" w:rsidRPr="00E358B6">
              <w:rPr>
                <w:rFonts w:eastAsia="Times New Roman"/>
                <w:lang w:eastAsia="en-AU"/>
              </w:rPr>
              <w:t>o information on the method of randomisation was available</w:t>
            </w:r>
            <w:r w:rsidR="001E7EF7">
              <w:rPr>
                <w:rFonts w:eastAsia="Times New Roman"/>
                <w:lang w:eastAsia="en-AU"/>
              </w:rPr>
              <w:t>. Additionally,</w:t>
            </w:r>
            <w:r w:rsidR="001E7EF7" w:rsidRPr="006E784E">
              <w:rPr>
                <w:rFonts w:ascii="Calibri" w:hAnsi="Calibri" w:cs="Calibri"/>
                <w:color w:val="000000" w:themeColor="text1"/>
              </w:rPr>
              <w:t xml:space="preserve"> </w:t>
            </w:r>
            <w:r w:rsidR="001E7EF7">
              <w:rPr>
                <w:rFonts w:ascii="Calibri" w:hAnsi="Calibri" w:cs="Calibri"/>
                <w:color w:val="000000" w:themeColor="text1"/>
              </w:rPr>
              <w:t>six participants (</w:t>
            </w:r>
            <w:r w:rsidR="001E7EF7" w:rsidRPr="006E784E">
              <w:rPr>
                <w:rFonts w:ascii="Calibri" w:hAnsi="Calibri" w:cs="Calibri"/>
                <w:i/>
                <w:iCs/>
                <w:color w:val="000000" w:themeColor="text1"/>
              </w:rPr>
              <w:t>n</w:t>
            </w:r>
            <w:r w:rsidR="001E7EF7">
              <w:rPr>
                <w:rFonts w:ascii="Calibri" w:hAnsi="Calibri" w:cs="Calibri"/>
                <w:color w:val="000000" w:themeColor="text1"/>
              </w:rPr>
              <w:t xml:space="preserve"> = 6/18; 33.3%) </w:t>
            </w:r>
            <w:r w:rsidR="001E7EF7" w:rsidRPr="004D70C3">
              <w:rPr>
                <w:rFonts w:ascii="Calibri" w:hAnsi="Calibri" w:cs="Calibri"/>
                <w:color w:val="000000" w:themeColor="text1"/>
              </w:rPr>
              <w:t xml:space="preserve">did not complete the 10-week </w:t>
            </w:r>
            <w:r w:rsidR="001E7EF7" w:rsidRPr="004D70C3">
              <w:rPr>
                <w:rFonts w:ascii="Calibri" w:hAnsi="Calibri" w:cs="Calibri"/>
                <w:color w:val="000000" w:themeColor="text1"/>
              </w:rPr>
              <w:lastRenderedPageBreak/>
              <w:t>trial protocol</w:t>
            </w:r>
            <w:r w:rsidR="001E7EF7">
              <w:rPr>
                <w:rFonts w:ascii="Calibri" w:hAnsi="Calibri" w:cs="Calibri"/>
                <w:color w:val="000000" w:themeColor="text1"/>
              </w:rPr>
              <w:t xml:space="preserve">: </w:t>
            </w:r>
            <w:r w:rsidR="001E7EF7" w:rsidRPr="006E784E">
              <w:rPr>
                <w:rFonts w:ascii="Calibri" w:hAnsi="Calibri" w:cs="Calibri"/>
                <w:color w:val="000000" w:themeColor="text1"/>
              </w:rPr>
              <w:t>40% (</w:t>
            </w:r>
            <w:r w:rsidR="001E7EF7" w:rsidRPr="006E784E">
              <w:rPr>
                <w:rFonts w:ascii="Calibri" w:hAnsi="Calibri" w:cs="Calibri"/>
                <w:i/>
                <w:iCs/>
                <w:color w:val="000000" w:themeColor="text1"/>
              </w:rPr>
              <w:t>n</w:t>
            </w:r>
            <w:r w:rsidR="001E7EF7" w:rsidRPr="006E784E">
              <w:rPr>
                <w:rFonts w:ascii="Calibri" w:hAnsi="Calibri" w:cs="Calibri"/>
                <w:color w:val="000000" w:themeColor="text1"/>
              </w:rPr>
              <w:t xml:space="preserve"> = 4/10) of participants in the nabilone group, and 25% (</w:t>
            </w:r>
            <w:r w:rsidR="001E7EF7" w:rsidRPr="006E784E">
              <w:rPr>
                <w:rFonts w:ascii="Calibri" w:hAnsi="Calibri" w:cs="Calibri"/>
                <w:i/>
                <w:iCs/>
                <w:color w:val="000000" w:themeColor="text1"/>
              </w:rPr>
              <w:t>n</w:t>
            </w:r>
            <w:r w:rsidR="001E7EF7" w:rsidRPr="006E784E">
              <w:rPr>
                <w:rFonts w:ascii="Calibri" w:hAnsi="Calibri" w:cs="Calibri"/>
                <w:color w:val="000000" w:themeColor="text1"/>
              </w:rPr>
              <w:t xml:space="preserve"> = 2/8) of participants in the placebo group</w:t>
            </w:r>
            <w:r w:rsidR="001E7EF7" w:rsidRPr="00317C62">
              <w:rPr>
                <w:rFonts w:ascii="Calibri" w:hAnsi="Calibri" w:cs="Calibri"/>
                <w:color w:val="000000" w:themeColor="text1"/>
              </w:rPr>
              <w:t>. There was a higher dropout rate in the nabilone group, which could be correlated with</w:t>
            </w:r>
            <w:r w:rsidR="001E7EF7" w:rsidRPr="006E784E">
              <w:rPr>
                <w:rFonts w:ascii="Calibri" w:hAnsi="Calibri" w:cs="Calibri"/>
                <w:color w:val="000000" w:themeColor="text1"/>
              </w:rPr>
              <w:t xml:space="preserve"> </w:t>
            </w:r>
            <w:r w:rsidR="001E7EF7" w:rsidRPr="00317C62">
              <w:rPr>
                <w:rFonts w:ascii="Calibri" w:hAnsi="Calibri" w:cs="Calibri"/>
                <w:color w:val="000000" w:themeColor="text1"/>
              </w:rPr>
              <w:t>baseline severity of cannabis dependence</w:t>
            </w:r>
            <w:r w:rsidR="001E7EF7" w:rsidRPr="006E784E">
              <w:rPr>
                <w:rFonts w:ascii="Calibri" w:hAnsi="Calibri" w:cs="Calibri"/>
                <w:color w:val="000000" w:themeColor="text1"/>
              </w:rPr>
              <w:t xml:space="preserve"> (not reported)</w:t>
            </w:r>
            <w:r w:rsidR="001E7EF7" w:rsidRPr="00317C62">
              <w:rPr>
                <w:rFonts w:ascii="Calibri" w:hAnsi="Calibri" w:cs="Calibri"/>
                <w:color w:val="000000" w:themeColor="text1"/>
              </w:rPr>
              <w:t>. The effectiveness of the</w:t>
            </w:r>
            <w:r w:rsidR="001E7EF7" w:rsidRPr="006E784E">
              <w:rPr>
                <w:rFonts w:ascii="Calibri" w:hAnsi="Calibri" w:cs="Calibri"/>
                <w:color w:val="000000" w:themeColor="text1"/>
              </w:rPr>
              <w:t xml:space="preserve"> study blind </w:t>
            </w:r>
            <w:r w:rsidR="001E7EF7" w:rsidRPr="00317C62">
              <w:rPr>
                <w:rFonts w:ascii="Calibri" w:hAnsi="Calibri" w:cs="Calibri"/>
                <w:color w:val="000000" w:themeColor="text1"/>
              </w:rPr>
              <w:t xml:space="preserve">was not assessed, which </w:t>
            </w:r>
            <w:r w:rsidR="001E7EF7" w:rsidRPr="006E784E">
              <w:rPr>
                <w:rFonts w:ascii="Calibri" w:hAnsi="Calibri" w:cs="Calibri"/>
                <w:color w:val="000000" w:themeColor="text1"/>
              </w:rPr>
              <w:t>may have biased the results if the participants discerned the</w:t>
            </w:r>
            <w:r w:rsidR="001E7EF7">
              <w:rPr>
                <w:rFonts w:ascii="Calibri" w:hAnsi="Calibri" w:cs="Calibri"/>
                <w:color w:val="000000" w:themeColor="text1"/>
              </w:rPr>
              <w:t>ir</w:t>
            </w:r>
            <w:r w:rsidR="001E7EF7" w:rsidRPr="006E784E">
              <w:rPr>
                <w:rFonts w:ascii="Calibri" w:hAnsi="Calibri" w:cs="Calibri"/>
                <w:color w:val="000000" w:themeColor="text1"/>
              </w:rPr>
              <w:t xml:space="preserve"> allocation to study conditions</w:t>
            </w:r>
            <w:r w:rsidR="001E7EF7" w:rsidRPr="00317C62">
              <w:rPr>
                <w:rFonts w:ascii="Calibri" w:hAnsi="Calibri" w:cs="Calibri"/>
                <w:color w:val="000000" w:themeColor="text1"/>
              </w:rPr>
              <w:t>.</w:t>
            </w:r>
            <w:r w:rsidR="00AE6C36">
              <w:rPr>
                <w:rFonts w:ascii="Calibri" w:hAnsi="Calibri" w:cs="Calibri"/>
                <w:color w:val="000000" w:themeColor="text1"/>
              </w:rPr>
              <w:t xml:space="preserve"> </w:t>
            </w:r>
            <w:r w:rsidR="002D461D">
              <w:t>Therefor</w:t>
            </w:r>
            <w:r w:rsidR="0060334F">
              <w:t xml:space="preserve">e, </w:t>
            </w:r>
            <w:r w:rsidR="00FE3C12">
              <w:t xml:space="preserve">the </w:t>
            </w:r>
            <w:r w:rsidR="0060334F">
              <w:t>studies</w:t>
            </w:r>
            <w:r w:rsidR="00FE3C12">
              <w:t xml:space="preserve"> were judged </w:t>
            </w:r>
            <w:r w:rsidR="002D461D">
              <w:t>to have serious</w:t>
            </w:r>
            <w:r w:rsidR="00590DB0">
              <w:t xml:space="preserve"> methodological</w:t>
            </w:r>
            <w:r w:rsidR="002D461D">
              <w:t xml:space="preserve"> limitations. </w:t>
            </w:r>
          </w:p>
        </w:tc>
        <w:tc>
          <w:tcPr>
            <w:tcW w:w="3431" w:type="dxa"/>
          </w:tcPr>
          <w:p w14:paraId="429AEBF6" w14:textId="6D2FE1E0" w:rsidR="002D461D" w:rsidRPr="009B4D43" w:rsidRDefault="002D461D" w:rsidP="002D461D">
            <w:pPr>
              <w:cnfStyle w:val="000000100000" w:firstRow="0" w:lastRow="0" w:firstColumn="0" w:lastColumn="0" w:oddVBand="0" w:evenVBand="0" w:oddHBand="1" w:evenHBand="0" w:firstRowFirstColumn="0" w:firstRowLastColumn="0" w:lastRowFirstColumn="0" w:lastRowLastColumn="0"/>
              <w:rPr>
                <w:rFonts w:cstheme="minorHAnsi"/>
                <w:szCs w:val="20"/>
              </w:rPr>
            </w:pPr>
            <w:r>
              <w:lastRenderedPageBreak/>
              <w:t>Serious</w:t>
            </w:r>
          </w:p>
        </w:tc>
      </w:tr>
      <w:tr w:rsidR="002D461D" w:rsidRPr="009B4D43" w14:paraId="6E6249D0" w14:textId="77777777" w:rsidTr="003E03AC">
        <w:trPr>
          <w:trHeight w:val="571"/>
        </w:trPr>
        <w:tc>
          <w:tcPr>
            <w:cnfStyle w:val="001000000000" w:firstRow="0" w:lastRow="0" w:firstColumn="1" w:lastColumn="0" w:oddVBand="0" w:evenVBand="0" w:oddHBand="0" w:evenHBand="0" w:firstRowFirstColumn="0" w:firstRowLastColumn="0" w:lastRowFirstColumn="0" w:lastRowLastColumn="0"/>
            <w:tcW w:w="2835" w:type="dxa"/>
          </w:tcPr>
          <w:p w14:paraId="5F97A818" w14:textId="77777777" w:rsidR="002D461D" w:rsidRPr="009B4D43" w:rsidRDefault="002D461D" w:rsidP="002D461D">
            <w:pPr>
              <w:rPr>
                <w:rFonts w:cstheme="minorHAnsi"/>
                <w:szCs w:val="20"/>
              </w:rPr>
            </w:pPr>
            <w:r w:rsidRPr="009B4D43">
              <w:rPr>
                <w:rFonts w:cstheme="minorHAnsi"/>
                <w:b w:val="0"/>
                <w:bCs w:val="0"/>
                <w:szCs w:val="20"/>
              </w:rPr>
              <w:t>Precision and Consistency</w:t>
            </w:r>
          </w:p>
        </w:tc>
        <w:tc>
          <w:tcPr>
            <w:tcW w:w="7650" w:type="dxa"/>
          </w:tcPr>
          <w:p w14:paraId="5818887E" w14:textId="49F97FCC" w:rsidR="002D461D" w:rsidRPr="009B4D43" w:rsidRDefault="00FE3C12" w:rsidP="00AE52AC">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Pr>
                <w:rFonts w:eastAsia="Times New Roman" w:cs="Calibri"/>
                <w:color w:val="000000"/>
                <w:lang w:eastAsia="en-AU"/>
              </w:rPr>
              <w:t>The total number of participan</w:t>
            </w:r>
            <w:r w:rsidR="002D461D" w:rsidRPr="0008190F">
              <w:rPr>
                <w:rFonts w:eastAsia="Times New Roman" w:cs="Calibri"/>
                <w:color w:val="000000"/>
                <w:lang w:eastAsia="en-AU"/>
              </w:rPr>
              <w:t xml:space="preserve">ts </w:t>
            </w:r>
            <w:r w:rsidR="00F914EE">
              <w:rPr>
                <w:rFonts w:eastAsia="Times New Roman" w:cs="Calibri"/>
                <w:color w:val="000000"/>
                <w:lang w:eastAsia="en-AU"/>
              </w:rPr>
              <w:t>enroll</w:t>
            </w:r>
            <w:r w:rsidR="002D461D" w:rsidRPr="0008190F">
              <w:rPr>
                <w:rFonts w:eastAsia="Times New Roman" w:cs="Calibri"/>
                <w:color w:val="000000"/>
                <w:lang w:eastAsia="en-AU"/>
              </w:rPr>
              <w:t xml:space="preserve">ed in the </w:t>
            </w:r>
            <w:r w:rsidR="0059288B">
              <w:rPr>
                <w:rFonts w:eastAsia="Times New Roman" w:cs="Calibri"/>
                <w:color w:val="000000"/>
                <w:lang w:eastAsia="en-AU"/>
              </w:rPr>
              <w:t>studies</w:t>
            </w:r>
            <w:r w:rsidR="002D461D" w:rsidRPr="0008190F">
              <w:rPr>
                <w:rFonts w:eastAsia="Times New Roman" w:cs="Calibri"/>
                <w:color w:val="000000"/>
                <w:lang w:eastAsia="en-AU"/>
              </w:rPr>
              <w:t xml:space="preserve"> was </w:t>
            </w:r>
            <w:r w:rsidR="002D461D">
              <w:rPr>
                <w:rFonts w:eastAsia="Times New Roman" w:cs="Calibri"/>
                <w:color w:val="000000"/>
                <w:lang w:eastAsia="en-AU"/>
              </w:rPr>
              <w:t>3</w:t>
            </w:r>
            <w:r w:rsidR="00F914EE">
              <w:rPr>
                <w:rFonts w:eastAsia="Times New Roman" w:cs="Calibri"/>
                <w:color w:val="000000"/>
                <w:lang w:eastAsia="en-AU"/>
              </w:rPr>
              <w:t>4</w:t>
            </w:r>
            <w:r w:rsidR="00690E5E">
              <w:rPr>
                <w:rFonts w:eastAsia="Times New Roman" w:cs="Calibri"/>
                <w:color w:val="000000"/>
                <w:lang w:eastAsia="en-AU"/>
              </w:rPr>
              <w:t xml:space="preserve">; </w:t>
            </w:r>
            <w:r w:rsidR="000A086C">
              <w:rPr>
                <w:rFonts w:eastAsia="Times New Roman" w:cs="Calibri"/>
                <w:color w:val="000000"/>
                <w:lang w:eastAsia="en-AU"/>
              </w:rPr>
              <w:t xml:space="preserve">however, </w:t>
            </w:r>
            <w:r w:rsidR="0083565B">
              <w:rPr>
                <w:rFonts w:eastAsia="Times New Roman" w:cs="Calibri"/>
                <w:color w:val="000000"/>
                <w:lang w:eastAsia="en-AU"/>
              </w:rPr>
              <w:t>nine</w:t>
            </w:r>
            <w:r w:rsidR="00DB1C3F">
              <w:rPr>
                <w:rFonts w:eastAsia="Times New Roman" w:cs="Calibri"/>
                <w:color w:val="000000"/>
                <w:lang w:eastAsia="en-AU"/>
              </w:rPr>
              <w:t xml:space="preserve"> participants</w:t>
            </w:r>
            <w:r w:rsidR="007C527C">
              <w:rPr>
                <w:rFonts w:eastAsia="Times New Roman" w:cs="Calibri"/>
                <w:color w:val="000000"/>
                <w:lang w:eastAsia="en-AU"/>
              </w:rPr>
              <w:t xml:space="preserve"> (26.5%)</w:t>
            </w:r>
            <w:r w:rsidR="00DB1C3F">
              <w:rPr>
                <w:rFonts w:eastAsia="Times New Roman" w:cs="Calibri"/>
                <w:color w:val="000000"/>
                <w:lang w:eastAsia="en-AU"/>
              </w:rPr>
              <w:t xml:space="preserve"> did not complete the studies for various reasons</w:t>
            </w:r>
            <w:r w:rsidR="00A747D4">
              <w:rPr>
                <w:rFonts w:eastAsia="Times New Roman" w:cs="Calibri"/>
                <w:color w:val="000000"/>
                <w:lang w:eastAsia="en-AU"/>
              </w:rPr>
              <w:t xml:space="preserve"> </w:t>
            </w:r>
            <w:r w:rsidR="00A747D4" w:rsidRPr="00A747D4">
              <w:rPr>
                <w:rFonts w:eastAsia="Times New Roman" w:cs="Calibri"/>
                <w:color w:val="000000"/>
                <w:lang w:eastAsia="en-AU"/>
              </w:rPr>
              <w:t>(range of non-completion across the studies: 18.8% to 33.3%)</w:t>
            </w:r>
            <w:r w:rsidR="00DB1C3F">
              <w:rPr>
                <w:rFonts w:eastAsia="Times New Roman" w:cs="Calibri"/>
                <w:color w:val="000000"/>
                <w:lang w:eastAsia="en-AU"/>
              </w:rPr>
              <w:t>. T</w:t>
            </w:r>
            <w:r w:rsidR="002A2A93">
              <w:rPr>
                <w:rFonts w:eastAsia="Times New Roman" w:cs="Calibri"/>
                <w:color w:val="000000"/>
                <w:lang w:eastAsia="en-AU"/>
              </w:rPr>
              <w:t xml:space="preserve">he </w:t>
            </w:r>
            <w:r>
              <w:rPr>
                <w:rFonts w:eastAsia="Times New Roman" w:cs="Calibri"/>
                <w:color w:val="000000"/>
                <w:lang w:eastAsia="en-AU"/>
              </w:rPr>
              <w:t>Hill et al.</w:t>
            </w:r>
            <w:r w:rsidR="0060334F">
              <w:rPr>
                <w:rFonts w:eastAsia="Times New Roman" w:cs="Calibri"/>
                <w:color w:val="000000"/>
                <w:lang w:eastAsia="en-AU"/>
              </w:rPr>
              <w:t xml:space="preserve"> (2017)</w:t>
            </w:r>
            <w:r w:rsidR="002A2A93">
              <w:rPr>
                <w:rFonts w:eastAsia="Times New Roman" w:cs="Calibri"/>
                <w:color w:val="000000"/>
                <w:lang w:eastAsia="en-AU"/>
              </w:rPr>
              <w:t xml:space="preserve"> study</w:t>
            </w:r>
            <w:r w:rsidR="0060334F">
              <w:rPr>
                <w:rFonts w:eastAsia="Times New Roman" w:cs="Calibri"/>
                <w:color w:val="000000"/>
                <w:lang w:eastAsia="en-AU"/>
              </w:rPr>
              <w:t xml:space="preserve"> </w:t>
            </w:r>
            <w:r w:rsidR="002D461D">
              <w:rPr>
                <w:rFonts w:eastAsia="Times New Roman" w:cs="Calibri"/>
                <w:color w:val="000000"/>
                <w:lang w:eastAsia="en-AU"/>
              </w:rPr>
              <w:t xml:space="preserve">found no significant difference </w:t>
            </w:r>
            <w:r w:rsidR="00AE52AC">
              <w:rPr>
                <w:rFonts w:eastAsia="Times New Roman" w:cs="Calibri"/>
                <w:color w:val="000000"/>
                <w:lang w:eastAsia="en-AU"/>
              </w:rPr>
              <w:t>in self-reported</w:t>
            </w:r>
            <w:r w:rsidR="00AE52AC" w:rsidRPr="00133460">
              <w:rPr>
                <w:rFonts w:eastAsia="Times New Roman" w:cs="Calibri"/>
                <w:color w:val="000000"/>
                <w:lang w:eastAsia="en-AU"/>
              </w:rPr>
              <w:t xml:space="preserve"> cannabi</w:t>
            </w:r>
            <w:r w:rsidR="00AE52AC">
              <w:rPr>
                <w:rFonts w:eastAsia="Times New Roman" w:cs="Calibri"/>
                <w:color w:val="000000"/>
                <w:lang w:eastAsia="en-AU"/>
              </w:rPr>
              <w:t xml:space="preserve">s use </w:t>
            </w:r>
            <w:r w:rsidR="000B59C9">
              <w:rPr>
                <w:rFonts w:eastAsia="Times New Roman" w:cs="Calibri"/>
                <w:color w:val="000000"/>
                <w:lang w:eastAsia="en-AU"/>
              </w:rPr>
              <w:t>for</w:t>
            </w:r>
            <w:r w:rsidR="002D461D">
              <w:rPr>
                <w:rFonts w:eastAsia="Times New Roman" w:cs="Calibri"/>
                <w:color w:val="000000"/>
                <w:lang w:eastAsia="en-AU"/>
              </w:rPr>
              <w:t xml:space="preserve"> the nabilone and placebo group. </w:t>
            </w:r>
            <w:r w:rsidR="00361A08">
              <w:rPr>
                <w:rFonts w:eastAsia="Times New Roman" w:cs="Calibri"/>
                <w:color w:val="000000"/>
                <w:lang w:eastAsia="en-AU"/>
              </w:rPr>
              <w:t>The</w:t>
            </w:r>
            <w:r w:rsidR="002D461D">
              <w:rPr>
                <w:rFonts w:eastAsia="Times New Roman" w:cs="Calibri"/>
                <w:color w:val="000000"/>
                <w:lang w:eastAsia="en-AU"/>
              </w:rPr>
              <w:t xml:space="preserve"> Schlienz </w:t>
            </w:r>
            <w:r>
              <w:rPr>
                <w:rFonts w:eastAsia="Times New Roman" w:cs="Calibri"/>
                <w:color w:val="000000"/>
                <w:lang w:eastAsia="en-AU"/>
              </w:rPr>
              <w:t xml:space="preserve">et al. </w:t>
            </w:r>
            <w:r w:rsidR="002D461D">
              <w:rPr>
                <w:rFonts w:eastAsia="Times New Roman" w:cs="Calibri"/>
                <w:color w:val="000000"/>
                <w:lang w:eastAsia="en-AU"/>
              </w:rPr>
              <w:t>(2018) reported s</w:t>
            </w:r>
            <w:r w:rsidR="002D461D" w:rsidRPr="001E76B2">
              <w:rPr>
                <w:rFonts w:eastAsia="Times New Roman" w:cs="Calibri"/>
                <w:color w:val="000000"/>
                <w:lang w:eastAsia="en-AU"/>
              </w:rPr>
              <w:t>elf-administration of cannabis was significantly reduced during periods of dronabinol maintenance compared with placebo maintenance</w:t>
            </w:r>
            <w:r w:rsidR="00361A08">
              <w:rPr>
                <w:rFonts w:eastAsia="Times New Roman" w:cs="Calibri"/>
                <w:color w:val="000000"/>
                <w:lang w:eastAsia="en-AU"/>
              </w:rPr>
              <w:t>; however</w:t>
            </w:r>
            <w:r w:rsidR="00473618">
              <w:rPr>
                <w:rFonts w:eastAsia="Times New Roman" w:cs="Calibri"/>
                <w:color w:val="000000"/>
                <w:lang w:eastAsia="en-AU"/>
              </w:rPr>
              <w:t>, the robustness of the treatment</w:t>
            </w:r>
            <w:r w:rsidR="00AE52AC">
              <w:rPr>
                <w:rFonts w:eastAsia="Times New Roman" w:cs="Calibri"/>
                <w:color w:val="000000"/>
                <w:lang w:eastAsia="en-AU"/>
              </w:rPr>
              <w:t xml:space="preserve"> effect wa</w:t>
            </w:r>
            <w:r w:rsidR="002D461D">
              <w:rPr>
                <w:rFonts w:eastAsia="Times New Roman" w:cs="Calibri"/>
                <w:color w:val="000000"/>
                <w:lang w:eastAsia="en-AU"/>
              </w:rPr>
              <w:t xml:space="preserve">s uncertain due to the small sample size. </w:t>
            </w:r>
            <w:r w:rsidR="002D461D" w:rsidRPr="00B77331">
              <w:rPr>
                <w:rFonts w:eastAsia="Times New Roman" w:cs="Calibri"/>
                <w:color w:val="000000"/>
                <w:lang w:eastAsia="en-AU"/>
              </w:rPr>
              <w:t>Therefore</w:t>
            </w:r>
            <w:r w:rsidR="0060334F">
              <w:rPr>
                <w:rFonts w:eastAsia="Times New Roman" w:cs="Calibri"/>
                <w:color w:val="000000"/>
                <w:lang w:eastAsia="en-AU"/>
              </w:rPr>
              <w:t>,</w:t>
            </w:r>
            <w:r w:rsidR="002D461D" w:rsidRPr="00B77331">
              <w:rPr>
                <w:rFonts w:eastAsia="Times New Roman" w:cs="Calibri"/>
                <w:color w:val="000000"/>
                <w:lang w:eastAsia="en-AU"/>
              </w:rPr>
              <w:t xml:space="preserve"> the evidence </w:t>
            </w:r>
            <w:r>
              <w:rPr>
                <w:rFonts w:eastAsia="Times New Roman" w:cs="Calibri"/>
                <w:color w:val="000000"/>
                <w:lang w:eastAsia="en-AU"/>
              </w:rPr>
              <w:t xml:space="preserve">was judged </w:t>
            </w:r>
            <w:r w:rsidR="002D461D" w:rsidRPr="00B77331">
              <w:rPr>
                <w:rFonts w:eastAsia="Times New Roman" w:cs="Calibri"/>
                <w:color w:val="000000"/>
                <w:lang w:eastAsia="en-AU"/>
              </w:rPr>
              <w:t xml:space="preserve">to have </w:t>
            </w:r>
            <w:r w:rsidR="002D461D">
              <w:rPr>
                <w:rFonts w:eastAsia="Times New Roman" w:cs="Calibri"/>
                <w:color w:val="000000"/>
                <w:lang w:eastAsia="en-AU"/>
              </w:rPr>
              <w:t xml:space="preserve">serious </w:t>
            </w:r>
            <w:r w:rsidR="002D461D" w:rsidRPr="00B77331">
              <w:rPr>
                <w:rFonts w:eastAsia="Times New Roman" w:cs="Calibri"/>
                <w:color w:val="000000"/>
                <w:lang w:eastAsia="en-AU"/>
              </w:rPr>
              <w:t>imprecision and inconsistency.</w:t>
            </w:r>
          </w:p>
        </w:tc>
        <w:tc>
          <w:tcPr>
            <w:tcW w:w="3431" w:type="dxa"/>
          </w:tcPr>
          <w:p w14:paraId="40393991" w14:textId="03A89ED6" w:rsidR="002D461D" w:rsidRPr="009B4D43" w:rsidRDefault="002D461D" w:rsidP="002D461D">
            <w:pPr>
              <w:cnfStyle w:val="000000000000" w:firstRow="0" w:lastRow="0" w:firstColumn="0" w:lastColumn="0" w:oddVBand="0" w:evenVBand="0" w:oddHBand="0" w:evenHBand="0" w:firstRowFirstColumn="0" w:firstRowLastColumn="0" w:lastRowFirstColumn="0" w:lastRowLastColumn="0"/>
              <w:rPr>
                <w:rFonts w:cstheme="minorHAnsi"/>
                <w:szCs w:val="20"/>
              </w:rPr>
            </w:pPr>
            <w:r>
              <w:t>Serious</w:t>
            </w:r>
          </w:p>
        </w:tc>
      </w:tr>
      <w:tr w:rsidR="002D461D" w:rsidRPr="009B4D43" w14:paraId="13B6A0B9" w14:textId="77777777" w:rsidTr="003E03AC">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835" w:type="dxa"/>
          </w:tcPr>
          <w:p w14:paraId="4BB69E1B" w14:textId="77777777" w:rsidR="002D461D" w:rsidRPr="009B4D43" w:rsidRDefault="002D461D" w:rsidP="002D461D">
            <w:pPr>
              <w:rPr>
                <w:rFonts w:cstheme="minorHAnsi"/>
                <w:szCs w:val="20"/>
              </w:rPr>
            </w:pPr>
            <w:r w:rsidRPr="009B4D43">
              <w:rPr>
                <w:rFonts w:cstheme="minorHAnsi"/>
                <w:b w:val="0"/>
                <w:bCs w:val="0"/>
                <w:szCs w:val="20"/>
              </w:rPr>
              <w:t>Directness</w:t>
            </w:r>
          </w:p>
        </w:tc>
        <w:tc>
          <w:tcPr>
            <w:tcW w:w="7650" w:type="dxa"/>
          </w:tcPr>
          <w:p w14:paraId="37DC613A" w14:textId="57AB8488" w:rsidR="002D461D" w:rsidRPr="009B4D43" w:rsidRDefault="00FE3C12" w:rsidP="0047773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Pr>
                <w:rFonts w:eastAsia="Times New Roman" w:cs="Calibri"/>
                <w:color w:val="000000"/>
                <w:lang w:eastAsia="en-AU"/>
              </w:rPr>
              <w:t>Both studies enrolled participant</w:t>
            </w:r>
            <w:r w:rsidR="002D461D">
              <w:rPr>
                <w:rFonts w:eastAsia="Times New Roman" w:cs="Calibri"/>
                <w:color w:val="000000"/>
                <w:lang w:eastAsia="en-AU"/>
              </w:rPr>
              <w:t>s with cannabis use disorder</w:t>
            </w:r>
            <w:r w:rsidR="002D461D" w:rsidRPr="00985DBF">
              <w:rPr>
                <w:rFonts w:eastAsia="Times New Roman" w:cs="Calibri"/>
                <w:color w:val="000000"/>
                <w:lang w:eastAsia="en-AU"/>
              </w:rPr>
              <w:t>.</w:t>
            </w:r>
            <w:r w:rsidR="002D461D">
              <w:rPr>
                <w:rFonts w:eastAsia="Times New Roman" w:cs="Calibri"/>
                <w:color w:val="000000"/>
                <w:lang w:eastAsia="en-AU"/>
              </w:rPr>
              <w:t xml:space="preserve"> </w:t>
            </w:r>
            <w:r w:rsidR="000537C3">
              <w:rPr>
                <w:rFonts w:eastAsia="Times New Roman" w:cs="Calibri"/>
                <w:color w:val="000000"/>
                <w:lang w:eastAsia="en-AU"/>
              </w:rPr>
              <w:t>T</w:t>
            </w:r>
            <w:r w:rsidR="00AE52AC">
              <w:rPr>
                <w:rFonts w:eastAsia="Times New Roman" w:cs="Calibri"/>
                <w:color w:val="000000"/>
                <w:lang w:eastAsia="en-AU"/>
              </w:rPr>
              <w:t xml:space="preserve">he </w:t>
            </w:r>
            <w:r w:rsidR="002D461D">
              <w:rPr>
                <w:rFonts w:eastAsia="Times New Roman" w:cs="Calibri"/>
                <w:color w:val="000000"/>
                <w:lang w:eastAsia="en-AU"/>
              </w:rPr>
              <w:t xml:space="preserve">Hill </w:t>
            </w:r>
            <w:r w:rsidR="004A5CA0">
              <w:rPr>
                <w:rFonts w:eastAsia="Times New Roman" w:cs="Calibri"/>
                <w:color w:val="000000"/>
                <w:lang w:eastAsia="en-AU"/>
              </w:rPr>
              <w:t xml:space="preserve">et al. </w:t>
            </w:r>
            <w:r w:rsidR="00570BF9">
              <w:rPr>
                <w:rFonts w:eastAsia="Times New Roman" w:cs="Calibri"/>
                <w:color w:val="000000"/>
                <w:lang w:eastAsia="en-AU"/>
              </w:rPr>
              <w:t xml:space="preserve">(2017) </w:t>
            </w:r>
            <w:r w:rsidR="00A0464A">
              <w:rPr>
                <w:rFonts w:eastAsia="Times New Roman" w:cs="Calibri"/>
                <w:color w:val="000000"/>
                <w:lang w:eastAsia="en-AU"/>
              </w:rPr>
              <w:t xml:space="preserve">study </w:t>
            </w:r>
            <w:r w:rsidR="00570BF9">
              <w:rPr>
                <w:rFonts w:eastAsia="Times New Roman" w:cs="Calibri"/>
                <w:color w:val="000000"/>
                <w:lang w:eastAsia="en-AU"/>
              </w:rPr>
              <w:t>examin</w:t>
            </w:r>
            <w:r w:rsidR="002D461D">
              <w:rPr>
                <w:rFonts w:eastAsia="Times New Roman" w:cs="Calibri"/>
                <w:color w:val="000000"/>
                <w:lang w:eastAsia="en-AU"/>
              </w:rPr>
              <w:t xml:space="preserve">ed </w:t>
            </w:r>
            <w:r w:rsidR="00AE52AC">
              <w:rPr>
                <w:rFonts w:eastAsia="Times New Roman" w:cs="Calibri"/>
                <w:color w:val="000000"/>
                <w:lang w:eastAsia="en-AU"/>
              </w:rPr>
              <w:t>a</w:t>
            </w:r>
            <w:r w:rsidR="002D461D">
              <w:rPr>
                <w:rFonts w:eastAsia="Times New Roman" w:cs="Calibri"/>
                <w:color w:val="000000"/>
                <w:lang w:eastAsia="en-AU"/>
              </w:rPr>
              <w:t xml:space="preserve"> </w:t>
            </w:r>
            <w:r w:rsidR="00570BF9">
              <w:rPr>
                <w:rFonts w:eastAsia="Times New Roman" w:cs="Calibri"/>
                <w:color w:val="000000"/>
                <w:lang w:eastAsia="en-AU"/>
              </w:rPr>
              <w:t>combined medicinal cannabis intervention</w:t>
            </w:r>
            <w:r w:rsidR="00005DA1">
              <w:rPr>
                <w:rFonts w:eastAsia="Times New Roman" w:cs="Calibri"/>
                <w:color w:val="000000"/>
                <w:lang w:eastAsia="en-AU"/>
              </w:rPr>
              <w:t xml:space="preserve"> designed to </w:t>
            </w:r>
            <w:r w:rsidR="00005DA1" w:rsidRPr="00A841F6">
              <w:rPr>
                <w:rFonts w:eastAsia="Times New Roman" w:cs="Calibri"/>
                <w:color w:val="000000"/>
                <w:lang w:eastAsia="en-AU"/>
              </w:rPr>
              <w:t>approximate a primary care approach</w:t>
            </w:r>
            <w:r w:rsidR="00477736">
              <w:rPr>
                <w:rFonts w:eastAsia="Times New Roman" w:cs="Calibri"/>
                <w:color w:val="000000"/>
                <w:lang w:eastAsia="en-AU"/>
              </w:rPr>
              <w:t xml:space="preserve">: </w:t>
            </w:r>
            <w:r w:rsidR="00887292">
              <w:rPr>
                <w:rFonts w:eastAsia="Times New Roman" w:cs="Calibri"/>
                <w:color w:val="000000"/>
                <w:lang w:eastAsia="en-AU"/>
              </w:rPr>
              <w:t>all participants were offered</w:t>
            </w:r>
            <w:r w:rsidR="00887292" w:rsidRPr="00887292">
              <w:rPr>
                <w:rFonts w:eastAsia="Times New Roman" w:cs="Calibri"/>
                <w:color w:val="000000"/>
                <w:lang w:eastAsia="en-AU"/>
              </w:rPr>
              <w:t xml:space="preserve"> physician-guided medical management (MM) sessions, which included monitoring of medication side effects and strategies to increase medication adherence and support abstinence</w:t>
            </w:r>
            <w:r w:rsidR="00477736">
              <w:rPr>
                <w:rFonts w:eastAsia="Times New Roman" w:cs="Calibri"/>
                <w:color w:val="000000"/>
                <w:lang w:eastAsia="en-AU"/>
              </w:rPr>
              <w:t>.</w:t>
            </w:r>
            <w:r w:rsidR="00005DA1">
              <w:rPr>
                <w:rFonts w:eastAsia="Times New Roman" w:cs="Calibri"/>
                <w:color w:val="000000"/>
                <w:lang w:eastAsia="en-AU"/>
              </w:rPr>
              <w:t xml:space="preserve"> The </w:t>
            </w:r>
            <w:r w:rsidR="00655A12" w:rsidRPr="00655A12">
              <w:rPr>
                <w:rFonts w:eastAsia="Times New Roman" w:cs="Calibri"/>
                <w:color w:val="000000"/>
                <w:lang w:eastAsia="en-AU"/>
              </w:rPr>
              <w:t>Schlienz et al. (2018) study used a standalone THC intervention</w:t>
            </w:r>
            <w:r w:rsidR="002D461D" w:rsidRPr="00A841F6">
              <w:rPr>
                <w:rFonts w:eastAsia="Times New Roman" w:cs="Calibri"/>
                <w:color w:val="000000"/>
                <w:lang w:eastAsia="en-AU"/>
              </w:rPr>
              <w:t xml:space="preserve">. </w:t>
            </w:r>
            <w:r w:rsidR="002D461D" w:rsidRPr="00FB0E9C">
              <w:rPr>
                <w:rFonts w:eastAsia="Times New Roman" w:cs="Calibri"/>
                <w:color w:val="000000"/>
                <w:lang w:eastAsia="en-AU"/>
              </w:rPr>
              <w:t>Therefore</w:t>
            </w:r>
            <w:r w:rsidR="0060334F">
              <w:rPr>
                <w:rFonts w:eastAsia="Times New Roman" w:cs="Calibri"/>
                <w:color w:val="000000"/>
                <w:lang w:eastAsia="en-AU"/>
              </w:rPr>
              <w:t>, the studie</w:t>
            </w:r>
            <w:r w:rsidR="002D461D" w:rsidRPr="00FB0E9C">
              <w:rPr>
                <w:rFonts w:eastAsia="Times New Roman" w:cs="Calibri"/>
                <w:color w:val="000000"/>
                <w:lang w:eastAsia="en-AU"/>
              </w:rPr>
              <w:t xml:space="preserve">s </w:t>
            </w:r>
            <w:r w:rsidR="004A5CA0">
              <w:rPr>
                <w:rFonts w:eastAsia="Times New Roman" w:cs="Calibri"/>
                <w:color w:val="000000"/>
                <w:lang w:eastAsia="en-AU"/>
              </w:rPr>
              <w:t xml:space="preserve">were judged </w:t>
            </w:r>
            <w:r w:rsidR="002D461D" w:rsidRPr="00FB0E9C">
              <w:rPr>
                <w:rFonts w:eastAsia="Times New Roman" w:cs="Calibri"/>
                <w:color w:val="000000"/>
                <w:lang w:eastAsia="en-AU"/>
              </w:rPr>
              <w:t>to have borderline indirectness</w:t>
            </w:r>
            <w:r w:rsidR="00EA605F">
              <w:rPr>
                <w:rFonts w:eastAsia="Times New Roman" w:cs="Calibri"/>
                <w:color w:val="000000"/>
                <w:lang w:eastAsia="en-AU"/>
              </w:rPr>
              <w:t xml:space="preserve"> in relation to the review question</w:t>
            </w:r>
            <w:r w:rsidR="002D461D" w:rsidRPr="00FB0E9C">
              <w:rPr>
                <w:rFonts w:eastAsia="Times New Roman" w:cs="Calibri"/>
                <w:color w:val="000000"/>
                <w:lang w:eastAsia="en-AU"/>
              </w:rPr>
              <w:t>.</w:t>
            </w:r>
          </w:p>
        </w:tc>
        <w:tc>
          <w:tcPr>
            <w:tcW w:w="3431" w:type="dxa"/>
          </w:tcPr>
          <w:p w14:paraId="1C8ACBBC" w14:textId="6A082ABF" w:rsidR="002D461D" w:rsidRPr="009B4D43" w:rsidRDefault="002D461D" w:rsidP="002D461D">
            <w:pPr>
              <w:cnfStyle w:val="000000100000" w:firstRow="0" w:lastRow="0" w:firstColumn="0" w:lastColumn="0" w:oddVBand="0" w:evenVBand="0" w:oddHBand="1" w:evenHBand="0" w:firstRowFirstColumn="0" w:firstRowLastColumn="0" w:lastRowFirstColumn="0" w:lastRowLastColumn="0"/>
              <w:rPr>
                <w:rFonts w:cstheme="minorHAnsi"/>
                <w:szCs w:val="20"/>
              </w:rPr>
            </w:pPr>
            <w:r>
              <w:t>No</w:t>
            </w:r>
            <w:r w:rsidR="00A445DA">
              <w:t>t</w:t>
            </w:r>
            <w:r>
              <w:t xml:space="preserve"> serious</w:t>
            </w:r>
            <w:r w:rsidR="00082DE8">
              <w:t>, borderline</w:t>
            </w:r>
          </w:p>
        </w:tc>
      </w:tr>
      <w:tr w:rsidR="002D461D" w:rsidRPr="009B4D43" w14:paraId="2A6377F1" w14:textId="77777777" w:rsidTr="003E03AC">
        <w:trPr>
          <w:trHeight w:val="571"/>
        </w:trPr>
        <w:tc>
          <w:tcPr>
            <w:cnfStyle w:val="001000000000" w:firstRow="0" w:lastRow="0" w:firstColumn="1" w:lastColumn="0" w:oddVBand="0" w:evenVBand="0" w:oddHBand="0" w:evenHBand="0" w:firstRowFirstColumn="0" w:firstRowLastColumn="0" w:lastRowFirstColumn="0" w:lastRowLastColumn="0"/>
            <w:tcW w:w="2835" w:type="dxa"/>
          </w:tcPr>
          <w:p w14:paraId="6040A03D" w14:textId="77777777" w:rsidR="002D461D" w:rsidRPr="009B4D43" w:rsidRDefault="002D461D" w:rsidP="002D461D">
            <w:pPr>
              <w:rPr>
                <w:rFonts w:cstheme="minorHAnsi"/>
                <w:szCs w:val="20"/>
              </w:rPr>
            </w:pPr>
            <w:r w:rsidRPr="009B4D43">
              <w:rPr>
                <w:rFonts w:cstheme="minorHAnsi"/>
                <w:b w:val="0"/>
                <w:bCs w:val="0"/>
                <w:szCs w:val="20"/>
              </w:rPr>
              <w:t>Publication bias</w:t>
            </w:r>
          </w:p>
        </w:tc>
        <w:tc>
          <w:tcPr>
            <w:tcW w:w="7650" w:type="dxa"/>
          </w:tcPr>
          <w:p w14:paraId="2A50257E" w14:textId="296DC93A" w:rsidR="002D461D" w:rsidRPr="009B4D43" w:rsidRDefault="00473618" w:rsidP="00570BF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Pr>
                <w:rFonts w:eastAsia="Times New Roman" w:cs="Calibri"/>
                <w:color w:val="000000"/>
                <w:lang w:eastAsia="en-AU"/>
              </w:rPr>
              <w:t xml:space="preserve">Publication bias was not suspected </w:t>
            </w:r>
            <w:r w:rsidR="00570BF9">
              <w:rPr>
                <w:rFonts w:eastAsia="Times New Roman" w:cs="Calibri"/>
                <w:color w:val="000000"/>
                <w:lang w:eastAsia="en-AU"/>
              </w:rPr>
              <w:t>as</w:t>
            </w:r>
            <w:r>
              <w:rPr>
                <w:rFonts w:eastAsia="Times New Roman" w:cs="Calibri"/>
                <w:color w:val="000000"/>
                <w:lang w:eastAsia="en-AU"/>
              </w:rPr>
              <w:t xml:space="preserve"> t</w:t>
            </w:r>
            <w:r w:rsidR="002D461D" w:rsidRPr="00B77331">
              <w:rPr>
                <w:rFonts w:eastAsia="Times New Roman" w:cs="Calibri"/>
                <w:color w:val="000000"/>
                <w:lang w:eastAsia="en-AU"/>
              </w:rPr>
              <w:t xml:space="preserve">here was a mix of positive and negative </w:t>
            </w:r>
            <w:r w:rsidR="0060334F">
              <w:rPr>
                <w:rFonts w:eastAsia="Times New Roman" w:cs="Calibri"/>
                <w:color w:val="000000"/>
                <w:lang w:eastAsia="en-AU"/>
              </w:rPr>
              <w:t>findings</w:t>
            </w:r>
            <w:r w:rsidR="002D461D">
              <w:rPr>
                <w:rFonts w:eastAsia="Times New Roman" w:cs="Calibri"/>
                <w:color w:val="000000"/>
                <w:lang w:eastAsia="en-AU"/>
              </w:rPr>
              <w:t xml:space="preserve"> </w:t>
            </w:r>
            <w:r>
              <w:rPr>
                <w:rFonts w:eastAsia="Times New Roman" w:cs="Calibri"/>
                <w:color w:val="000000"/>
                <w:lang w:eastAsia="en-AU"/>
              </w:rPr>
              <w:t>across studies</w:t>
            </w:r>
            <w:r w:rsidR="00590DB0">
              <w:rPr>
                <w:rFonts w:eastAsia="Times New Roman" w:cs="Calibri"/>
                <w:color w:val="000000"/>
                <w:lang w:eastAsia="en-AU"/>
              </w:rPr>
              <w:t>, and the search for studies was comprehensive</w:t>
            </w:r>
            <w:r>
              <w:rPr>
                <w:rFonts w:eastAsia="Times New Roman" w:cs="Calibri"/>
                <w:color w:val="000000"/>
                <w:lang w:eastAsia="en-AU"/>
              </w:rPr>
              <w:t>.</w:t>
            </w:r>
          </w:p>
        </w:tc>
        <w:tc>
          <w:tcPr>
            <w:tcW w:w="3431" w:type="dxa"/>
          </w:tcPr>
          <w:p w14:paraId="5FBB2ABD" w14:textId="58329C49" w:rsidR="002D461D" w:rsidRPr="009B4D43" w:rsidRDefault="002D461D" w:rsidP="002D461D">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77331">
              <w:t>Not suspected</w:t>
            </w:r>
          </w:p>
        </w:tc>
      </w:tr>
      <w:bookmarkEnd w:id="359"/>
    </w:tbl>
    <w:p w14:paraId="573DDAB9" w14:textId="77777777" w:rsidR="0031590B" w:rsidRDefault="0031590B" w:rsidP="00350AAD">
      <w:pPr>
        <w:sectPr w:rsidR="0031590B" w:rsidSect="00AA7189">
          <w:pgSz w:w="16838" w:h="11906" w:orient="landscape"/>
          <w:pgMar w:top="1440" w:right="1440" w:bottom="1440" w:left="1440" w:header="708" w:footer="708" w:gutter="0"/>
          <w:cols w:space="708"/>
          <w:docGrid w:linePitch="360"/>
        </w:sectPr>
      </w:pPr>
    </w:p>
    <w:tbl>
      <w:tblPr>
        <w:tblW w:w="11090" w:type="dxa"/>
        <w:tblLook w:val="04A0" w:firstRow="1" w:lastRow="0" w:firstColumn="1" w:lastColumn="0" w:noHBand="0" w:noVBand="1"/>
      </w:tblPr>
      <w:tblGrid>
        <w:gridCol w:w="11090"/>
      </w:tblGrid>
      <w:tr w:rsidR="0031590B" w:rsidRPr="002F01D4" w14:paraId="2F465E14" w14:textId="77777777" w:rsidTr="00DF79A6">
        <w:trPr>
          <w:trHeight w:val="9774"/>
        </w:trPr>
        <w:tc>
          <w:tcPr>
            <w:tcW w:w="11090" w:type="dxa"/>
          </w:tcPr>
          <w:bookmarkStart w:id="360" w:name="_Toc165018260"/>
          <w:p w14:paraId="24C0A258" w14:textId="77777777" w:rsidR="0031590B" w:rsidRPr="002F01D4" w:rsidRDefault="0031590B" w:rsidP="00DF79A6">
            <w:pPr>
              <w:pStyle w:val="Heading1"/>
              <w:rPr>
                <w:color w:val="FFFFFF" w:themeColor="background1"/>
              </w:rPr>
            </w:pPr>
            <w:r>
              <w:rPr>
                <w:noProof/>
                <w:lang w:eastAsia="en-AU"/>
              </w:rPr>
              <w:lastRenderedPageBreak/>
              <mc:AlternateContent>
                <mc:Choice Requires="wps">
                  <w:drawing>
                    <wp:anchor distT="0" distB="0" distL="114300" distR="114300" simplePos="0" relativeHeight="251660289" behindDoc="1" locked="0" layoutInCell="1" allowOverlap="1" wp14:anchorId="7A64465F" wp14:editId="1E3BCDE9">
                      <wp:simplePos x="0" y="0"/>
                      <wp:positionH relativeFrom="column">
                        <wp:posOffset>-579568</wp:posOffset>
                      </wp:positionH>
                      <wp:positionV relativeFrom="paragraph">
                        <wp:posOffset>-795394</wp:posOffset>
                      </wp:positionV>
                      <wp:extent cx="7853082" cy="10208485"/>
                      <wp:effectExtent l="0" t="0" r="14605" b="21590"/>
                      <wp:wrapNone/>
                      <wp:docPr id="1" name="Rectangle 1" title="Decorative"/>
                      <wp:cNvGraphicFramePr/>
                      <a:graphic xmlns:a="http://schemas.openxmlformats.org/drawingml/2006/main">
                        <a:graphicData uri="http://schemas.microsoft.com/office/word/2010/wordprocessingShape">
                          <wps:wsp>
                            <wps:cNvSpPr/>
                            <wps:spPr>
                              <a:xfrm>
                                <a:off x="0" y="0"/>
                                <a:ext cx="7853082" cy="10208485"/>
                              </a:xfrm>
                              <a:prstGeom prst="rect">
                                <a:avLst/>
                              </a:prstGeom>
                              <a:solidFill>
                                <a:srgbClr val="00518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E9D15" id="Rectangle 1" o:spid="_x0000_s1026" alt="Title: Decorative" style="position:absolute;margin-left:-45.65pt;margin-top:-62.65pt;width:618.35pt;height:803.8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" fillcolor="#005183" strokecolor="#1f4d78 [1604]" strokeweight="1pt"/>
                  </w:pict>
                </mc:Fallback>
              </mc:AlternateContent>
            </w:r>
            <w:bookmarkEnd w:id="360"/>
          </w:p>
          <w:p w14:paraId="0D20BDD3" w14:textId="77777777" w:rsidR="0031590B" w:rsidRPr="002F01D4" w:rsidRDefault="0031590B" w:rsidP="00DF79A6">
            <w:pPr>
              <w:pStyle w:val="Heading1"/>
              <w:rPr>
                <w:color w:val="FFFFFF" w:themeColor="background1"/>
              </w:rPr>
            </w:pPr>
          </w:p>
          <w:p w14:paraId="3C1EEF71" w14:textId="77777777" w:rsidR="0031590B" w:rsidRPr="002F01D4" w:rsidRDefault="0031590B" w:rsidP="00DF79A6">
            <w:pPr>
              <w:pStyle w:val="Heading1"/>
              <w:rPr>
                <w:color w:val="FFFFFF" w:themeColor="background1"/>
              </w:rPr>
            </w:pPr>
          </w:p>
          <w:p w14:paraId="09D486D7" w14:textId="77777777" w:rsidR="0031590B" w:rsidRDefault="0031590B" w:rsidP="00DF79A6">
            <w:pPr>
              <w:pStyle w:val="Heading1"/>
              <w:rPr>
                <w:color w:val="FFFFFF" w:themeColor="background1"/>
              </w:rPr>
            </w:pPr>
          </w:p>
          <w:p w14:paraId="39458FD7" w14:textId="77777777" w:rsidR="0031590B" w:rsidRDefault="0031590B" w:rsidP="00DF79A6">
            <w:pPr>
              <w:pStyle w:val="Heading1"/>
              <w:rPr>
                <w:color w:val="FFFFFF" w:themeColor="background1"/>
              </w:rPr>
            </w:pPr>
            <w:r w:rsidRPr="002F01D4">
              <w:rPr>
                <w:color w:val="FFFFFF" w:themeColor="background1"/>
              </w:rPr>
              <w:tab/>
            </w:r>
          </w:p>
          <w:p w14:paraId="3CAC0B9D" w14:textId="77777777" w:rsidR="0031590B" w:rsidRPr="00C55295" w:rsidRDefault="0031590B" w:rsidP="00DF79A6">
            <w:pPr>
              <w:pStyle w:val="Heading1"/>
              <w:rPr>
                <w:b/>
                <w:color w:val="FFFFFF" w:themeColor="background1"/>
              </w:rPr>
            </w:pPr>
          </w:p>
        </w:tc>
      </w:tr>
    </w:tbl>
    <w:p w14:paraId="3993E927" w14:textId="77777777" w:rsidR="0031590B" w:rsidRPr="002F01D4" w:rsidRDefault="0031590B" w:rsidP="0031590B">
      <w:pPr>
        <w:pStyle w:val="Heading1"/>
        <w:tabs>
          <w:tab w:val="left" w:pos="5387"/>
        </w:tabs>
        <w:rPr>
          <w:color w:val="FFFFFF" w:themeColor="background1"/>
        </w:rPr>
      </w:pPr>
      <w:bookmarkStart w:id="361" w:name="_Toc165018261"/>
      <w:r>
        <w:rPr>
          <w:noProof/>
          <w:color w:val="FFFFFF" w:themeColor="background1"/>
          <w:lang w:eastAsia="en-AU"/>
        </w:rPr>
        <w:drawing>
          <wp:anchor distT="0" distB="0" distL="114300" distR="114300" simplePos="0" relativeHeight="251661313" behindDoc="0" locked="0" layoutInCell="1" allowOverlap="1" wp14:anchorId="564783B7" wp14:editId="1DE97B94">
            <wp:simplePos x="0" y="0"/>
            <wp:positionH relativeFrom="margin">
              <wp:posOffset>1452824</wp:posOffset>
            </wp:positionH>
            <wp:positionV relativeFrom="margin">
              <wp:posOffset>6737350</wp:posOffset>
            </wp:positionV>
            <wp:extent cx="3855238" cy="755127"/>
            <wp:effectExtent l="0" t="0" r="0" b="6985"/>
            <wp:wrapNone/>
            <wp:docPr id="9" name="Picture 9"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MRF LOGO inverse_NO GRAPHIC_no slogan.png"/>
                    <pic:cNvPicPr/>
                  </pic:nvPicPr>
                  <pic:blipFill>
                    <a:blip r:embed="rId11">
                      <a:extLst>
                        <a:ext uri="{28A0092B-C50C-407E-A947-70E740481C1C}">
                          <a14:useLocalDpi xmlns:a14="http://schemas.microsoft.com/office/drawing/2010/main" val="0"/>
                        </a:ext>
                      </a:extLst>
                    </a:blip>
                    <a:stretch>
                      <a:fillRect/>
                    </a:stretch>
                  </pic:blipFill>
                  <pic:spPr>
                    <a:xfrm>
                      <a:off x="0" y="0"/>
                      <a:ext cx="3855238" cy="755127"/>
                    </a:xfrm>
                    <a:prstGeom prst="rect">
                      <a:avLst/>
                    </a:prstGeom>
                  </pic:spPr>
                </pic:pic>
              </a:graphicData>
            </a:graphic>
            <wp14:sizeRelH relativeFrom="margin">
              <wp14:pctWidth>0</wp14:pctWidth>
            </wp14:sizeRelH>
            <wp14:sizeRelV relativeFrom="margin">
              <wp14:pctHeight>0</wp14:pctHeight>
            </wp14:sizeRelV>
          </wp:anchor>
        </w:drawing>
      </w:r>
      <w:bookmarkEnd w:id="361"/>
    </w:p>
    <w:p w14:paraId="44FD25E0" w14:textId="17028891" w:rsidR="00BB0D21" w:rsidRPr="009B4D43" w:rsidRDefault="00BB0D21" w:rsidP="00350AAD"/>
    <w:sectPr w:rsidR="00BB0D21" w:rsidRPr="009B4D43" w:rsidSect="00AA7189">
      <w:headerReference w:type="default" r:id="rId137"/>
      <w:footerReference w:type="default" r:id="rId138"/>
      <w:pgSz w:w="12240" w:h="15840" w:code="1"/>
      <w:pgMar w:top="1134" w:right="720" w:bottom="1134" w:left="720" w:header="567"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2BFD4" w14:textId="77777777" w:rsidR="00F7136B" w:rsidRDefault="00F7136B">
      <w:pPr>
        <w:spacing w:after="0" w:line="240" w:lineRule="auto"/>
      </w:pPr>
      <w:r>
        <w:separator/>
      </w:r>
    </w:p>
  </w:endnote>
  <w:endnote w:type="continuationSeparator" w:id="0">
    <w:p w14:paraId="72F68B4C" w14:textId="77777777" w:rsidR="00F7136B" w:rsidRDefault="00F7136B">
      <w:pPr>
        <w:spacing w:after="0" w:line="240" w:lineRule="auto"/>
      </w:pPr>
      <w:r>
        <w:continuationSeparator/>
      </w:r>
    </w:p>
  </w:endnote>
  <w:endnote w:type="continuationNotice" w:id="1">
    <w:p w14:paraId="0E0621A9" w14:textId="77777777" w:rsidR="00F7136B" w:rsidRDefault="00F71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Narrow">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531851"/>
      <w:docPartObj>
        <w:docPartGallery w:val="Page Numbers (Bottom of Page)"/>
        <w:docPartUnique/>
      </w:docPartObj>
    </w:sdtPr>
    <w:sdtEndPr/>
    <w:sdtContent>
      <w:sdt>
        <w:sdtPr>
          <w:id w:val="168841674"/>
          <w:docPartObj>
            <w:docPartGallery w:val="Page Numbers (Top of Page)"/>
            <w:docPartUnique/>
          </w:docPartObj>
        </w:sdtPr>
        <w:sdtEndPr/>
        <w:sdtContent>
          <w:p w14:paraId="4549B4CC" w14:textId="3D25C77F" w:rsidR="00F04978" w:rsidRDefault="00F049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447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4473">
              <w:rPr>
                <w:b/>
                <w:bCs/>
                <w:noProof/>
              </w:rPr>
              <w:t>86</w:t>
            </w:r>
            <w:r>
              <w:rPr>
                <w:b/>
                <w:bCs/>
                <w:sz w:val="24"/>
                <w:szCs w:val="24"/>
              </w:rPr>
              <w:fldChar w:fldCharType="end"/>
            </w:r>
          </w:p>
        </w:sdtContent>
      </w:sdt>
    </w:sdtContent>
  </w:sdt>
  <w:p w14:paraId="37A9C143" w14:textId="77777777" w:rsidR="00F04978" w:rsidRDefault="00F04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E8BC3" w14:textId="77777777" w:rsidR="00F04978" w:rsidRDefault="00F04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350445"/>
      <w:docPartObj>
        <w:docPartGallery w:val="Page Numbers (Bottom of Page)"/>
        <w:docPartUnique/>
      </w:docPartObj>
    </w:sdtPr>
    <w:sdtEndPr/>
    <w:sdtContent>
      <w:sdt>
        <w:sdtPr>
          <w:id w:val="2105153740"/>
          <w:docPartObj>
            <w:docPartGallery w:val="Page Numbers (Top of Page)"/>
            <w:docPartUnique/>
          </w:docPartObj>
        </w:sdtPr>
        <w:sdtEndPr/>
        <w:sdtContent>
          <w:p w14:paraId="54F36279" w14:textId="3E8D7024" w:rsidR="00F04978" w:rsidRDefault="00F049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447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4473">
              <w:rPr>
                <w:b/>
                <w:bCs/>
                <w:noProof/>
              </w:rPr>
              <w:t>86</w:t>
            </w:r>
            <w:r>
              <w:rPr>
                <w:b/>
                <w:bCs/>
                <w:sz w:val="24"/>
                <w:szCs w:val="24"/>
              </w:rPr>
              <w:fldChar w:fldCharType="end"/>
            </w:r>
          </w:p>
        </w:sdtContent>
      </w:sdt>
    </w:sdtContent>
  </w:sdt>
  <w:p w14:paraId="5B7A4850" w14:textId="77777777" w:rsidR="00F04978" w:rsidRDefault="00F049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BB1FB" w14:textId="77777777" w:rsidR="00F04978" w:rsidRDefault="00F049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2879" w14:textId="77777777" w:rsidR="00F04978" w:rsidRDefault="00F04978" w:rsidP="00DF79A6">
    <w:pPr>
      <w:pStyle w:val="Footer"/>
      <w:jc w:val="center"/>
    </w:pPr>
    <w:r>
      <w:rPr>
        <w:color w:val="5B9BD5"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6D6EC" w14:textId="77777777" w:rsidR="00F7136B" w:rsidRDefault="00F7136B">
      <w:pPr>
        <w:spacing w:after="0" w:line="240" w:lineRule="auto"/>
      </w:pPr>
      <w:r>
        <w:separator/>
      </w:r>
    </w:p>
  </w:footnote>
  <w:footnote w:type="continuationSeparator" w:id="0">
    <w:p w14:paraId="4F625980" w14:textId="77777777" w:rsidR="00F7136B" w:rsidRDefault="00F7136B">
      <w:pPr>
        <w:spacing w:after="0" w:line="240" w:lineRule="auto"/>
      </w:pPr>
      <w:r>
        <w:continuationSeparator/>
      </w:r>
    </w:p>
  </w:footnote>
  <w:footnote w:type="continuationNotice" w:id="1">
    <w:p w14:paraId="0E60BE34" w14:textId="77777777" w:rsidR="00F7136B" w:rsidRDefault="00F713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85414" w14:textId="474CFC4C" w:rsidR="00F04978" w:rsidRDefault="00F04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602C" w14:textId="77777777" w:rsidR="00F04978" w:rsidRDefault="00F049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E480F" w14:textId="0FBF7D2F" w:rsidR="00F04978" w:rsidRDefault="00F049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D3300" w14:textId="77777777" w:rsidR="00F04978" w:rsidRDefault="00F049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8D55B" w14:textId="77777777" w:rsidR="00F04978" w:rsidRPr="00495014" w:rsidRDefault="00F04978" w:rsidP="00DF79A6">
    <w:pPr>
      <w:pStyle w:val="Header"/>
      <w:ind w:right="27"/>
      <w:jc w:val="right"/>
    </w:pPr>
    <w:r>
      <w:rPr>
        <w:caps/>
        <w:noProof/>
        <w:color w:val="808080" w:themeColor="background1" w:themeShade="80"/>
        <w:szCs w:val="20"/>
        <w:lang w:eastAsia="en-AU"/>
      </w:rPr>
      <mc:AlternateContent>
        <mc:Choice Requires="wpg">
          <w:drawing>
            <wp:anchor distT="0" distB="0" distL="114300" distR="114300" simplePos="0" relativeHeight="251659776" behindDoc="0" locked="0" layoutInCell="1" allowOverlap="1" wp14:anchorId="321A5E38" wp14:editId="255513FE">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title="Decorative"/>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94149" w14:textId="20913ECF" w:rsidR="00F04978" w:rsidRDefault="00F04978">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1A5E38" id="Group 158" o:spid="_x0000_s1026" alt="Title: Decorative" style="position:absolute;left:0;text-align:left;margin-left:0;margin-top:0;width:133.9pt;height:80.65pt;z-index:25165977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3D094149" w14:textId="20913ECF" w:rsidR="00FC328A" w:rsidRDefault="00FC328A">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90E91">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FF2"/>
    <w:multiLevelType w:val="hybridMultilevel"/>
    <w:tmpl w:val="A8E4DE94"/>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0FD1034"/>
    <w:multiLevelType w:val="hybridMultilevel"/>
    <w:tmpl w:val="A99A26B6"/>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CA315A"/>
    <w:multiLevelType w:val="hybridMultilevel"/>
    <w:tmpl w:val="96467D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92059C"/>
    <w:multiLevelType w:val="hybridMultilevel"/>
    <w:tmpl w:val="AC2A7D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B66BE0"/>
    <w:multiLevelType w:val="hybridMultilevel"/>
    <w:tmpl w:val="7D80305A"/>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C95C92"/>
    <w:multiLevelType w:val="hybridMultilevel"/>
    <w:tmpl w:val="48DC9C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8317EE5"/>
    <w:multiLevelType w:val="hybridMultilevel"/>
    <w:tmpl w:val="FB404DE4"/>
    <w:lvl w:ilvl="0" w:tplc="0C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F940DB"/>
    <w:multiLevelType w:val="hybridMultilevel"/>
    <w:tmpl w:val="84C87690"/>
    <w:lvl w:ilvl="0" w:tplc="D00CDA84">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0442B5"/>
    <w:multiLevelType w:val="hybridMultilevel"/>
    <w:tmpl w:val="834EB25E"/>
    <w:lvl w:ilvl="0" w:tplc="0D049C24">
      <w:start w:val="1"/>
      <w:numFmt w:val="decimal"/>
      <w:lvlText w:val="%1"/>
      <w:lvlJc w:val="left"/>
      <w:pPr>
        <w:ind w:left="996" w:hanging="63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821AC1"/>
    <w:multiLevelType w:val="hybridMultilevel"/>
    <w:tmpl w:val="114AB8F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C63579F"/>
    <w:multiLevelType w:val="hybridMultilevel"/>
    <w:tmpl w:val="8FBCBF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17B5C1F"/>
    <w:multiLevelType w:val="hybridMultilevel"/>
    <w:tmpl w:val="B45264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A8636F"/>
    <w:multiLevelType w:val="hybridMultilevel"/>
    <w:tmpl w:val="DE70F6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693C40"/>
    <w:multiLevelType w:val="hybridMultilevel"/>
    <w:tmpl w:val="5664A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520C40"/>
    <w:multiLevelType w:val="hybridMultilevel"/>
    <w:tmpl w:val="640485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837EDD"/>
    <w:multiLevelType w:val="hybridMultilevel"/>
    <w:tmpl w:val="68C4B4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7820B1F"/>
    <w:multiLevelType w:val="hybridMultilevel"/>
    <w:tmpl w:val="A0FEBE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8D423CC"/>
    <w:multiLevelType w:val="hybridMultilevel"/>
    <w:tmpl w:val="04B87BF8"/>
    <w:lvl w:ilvl="0" w:tplc="FFFFFFF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B013DC1"/>
    <w:multiLevelType w:val="hybridMultilevel"/>
    <w:tmpl w:val="93B63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BEE2B15"/>
    <w:multiLevelType w:val="hybridMultilevel"/>
    <w:tmpl w:val="18028C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CB50872"/>
    <w:multiLevelType w:val="hybridMultilevel"/>
    <w:tmpl w:val="E22AE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CFA6AED"/>
    <w:multiLevelType w:val="hybridMultilevel"/>
    <w:tmpl w:val="316C70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D335F64"/>
    <w:multiLevelType w:val="hybridMultilevel"/>
    <w:tmpl w:val="840AE4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D894FC9"/>
    <w:multiLevelType w:val="hybridMultilevel"/>
    <w:tmpl w:val="DFDA4E1C"/>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1F71665D"/>
    <w:multiLevelType w:val="hybridMultilevel"/>
    <w:tmpl w:val="7C2E8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FDA190F"/>
    <w:multiLevelType w:val="hybridMultilevel"/>
    <w:tmpl w:val="C3262116"/>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1FE67556"/>
    <w:multiLevelType w:val="hybridMultilevel"/>
    <w:tmpl w:val="24402A7C"/>
    <w:lvl w:ilvl="0" w:tplc="289C6BD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0075421"/>
    <w:multiLevelType w:val="hybridMultilevel"/>
    <w:tmpl w:val="557AB4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21D349C8"/>
    <w:multiLevelType w:val="hybridMultilevel"/>
    <w:tmpl w:val="15E2FE22"/>
    <w:lvl w:ilvl="0" w:tplc="FFFFFFF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2A120BA"/>
    <w:multiLevelType w:val="hybridMultilevel"/>
    <w:tmpl w:val="D0A26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3826780"/>
    <w:multiLevelType w:val="hybridMultilevel"/>
    <w:tmpl w:val="A8AEAD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59B69D9"/>
    <w:multiLevelType w:val="hybridMultilevel"/>
    <w:tmpl w:val="03505A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5BA0741"/>
    <w:multiLevelType w:val="hybridMultilevel"/>
    <w:tmpl w:val="F74CA472"/>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26A117A9"/>
    <w:multiLevelType w:val="hybridMultilevel"/>
    <w:tmpl w:val="16D2F9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8BF5261"/>
    <w:multiLevelType w:val="hybridMultilevel"/>
    <w:tmpl w:val="9864B4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9A31D10"/>
    <w:multiLevelType w:val="hybridMultilevel"/>
    <w:tmpl w:val="502C0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AB92F86"/>
    <w:multiLevelType w:val="hybridMultilevel"/>
    <w:tmpl w:val="D0E0B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C09091F"/>
    <w:multiLevelType w:val="hybridMultilevel"/>
    <w:tmpl w:val="10CCC8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2C28336A"/>
    <w:multiLevelType w:val="hybridMultilevel"/>
    <w:tmpl w:val="47B2D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C7E0E3C"/>
    <w:multiLevelType w:val="hybridMultilevel"/>
    <w:tmpl w:val="1E8C21AA"/>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2F033834"/>
    <w:multiLevelType w:val="hybridMultilevel"/>
    <w:tmpl w:val="B936C2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12812B2"/>
    <w:multiLevelType w:val="hybridMultilevel"/>
    <w:tmpl w:val="A7F858E0"/>
    <w:lvl w:ilvl="0" w:tplc="5126AD44">
      <w:start w:val="1"/>
      <w:numFmt w:val="decimal"/>
      <w:lvlText w:val="%1."/>
      <w:lvlJc w:val="left"/>
      <w:pPr>
        <w:ind w:left="720" w:hanging="360"/>
      </w:pPr>
      <w:rPr>
        <w:rFonts w:asciiTheme="majorHAnsi" w:hAnsiTheme="majorHAnsi" w:cstheme="majorBidi" w:hint="default"/>
        <w:sz w:val="2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40A2FD0"/>
    <w:multiLevelType w:val="hybridMultilevel"/>
    <w:tmpl w:val="E2046D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6772520"/>
    <w:multiLevelType w:val="hybridMultilevel"/>
    <w:tmpl w:val="6012FD9E"/>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37C70ED6"/>
    <w:multiLevelType w:val="hybridMultilevel"/>
    <w:tmpl w:val="8FA2D3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7DB1BBC"/>
    <w:multiLevelType w:val="hybridMultilevel"/>
    <w:tmpl w:val="96467D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8C069D7"/>
    <w:multiLevelType w:val="hybridMultilevel"/>
    <w:tmpl w:val="CA0263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A23041F"/>
    <w:multiLevelType w:val="hybridMultilevel"/>
    <w:tmpl w:val="6C345F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A29031B"/>
    <w:multiLevelType w:val="hybridMultilevel"/>
    <w:tmpl w:val="98C687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BB72D00"/>
    <w:multiLevelType w:val="hybridMultilevel"/>
    <w:tmpl w:val="118A43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C7C182D"/>
    <w:multiLevelType w:val="hybridMultilevel"/>
    <w:tmpl w:val="73E209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3DE24937"/>
    <w:multiLevelType w:val="hybridMultilevel"/>
    <w:tmpl w:val="A5588A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02A4D45"/>
    <w:multiLevelType w:val="hybridMultilevel"/>
    <w:tmpl w:val="2878FB4A"/>
    <w:lvl w:ilvl="0" w:tplc="E83E2FDE">
      <w:start w:val="1"/>
      <w:numFmt w:val="decimal"/>
      <w:lvlText w:val="%1."/>
      <w:lvlJc w:val="left"/>
      <w:pPr>
        <w:ind w:left="360" w:hanging="360"/>
      </w:pPr>
      <w:rPr>
        <w:rFonts w:hint="default"/>
        <w:b w:val="0"/>
        <w:bCs w:val="0"/>
      </w:rPr>
    </w:lvl>
    <w:lvl w:ilvl="1" w:tplc="64742D0A">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10063CA"/>
    <w:multiLevelType w:val="hybridMultilevel"/>
    <w:tmpl w:val="F5182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11E52C6"/>
    <w:multiLevelType w:val="hybridMultilevel"/>
    <w:tmpl w:val="3AAC665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4282270C"/>
    <w:multiLevelType w:val="hybridMultilevel"/>
    <w:tmpl w:val="81065F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2E45C64"/>
    <w:multiLevelType w:val="hybridMultilevel"/>
    <w:tmpl w:val="411299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398730F"/>
    <w:multiLevelType w:val="hybridMultilevel"/>
    <w:tmpl w:val="9F3AF0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445B28E4"/>
    <w:multiLevelType w:val="hybridMultilevel"/>
    <w:tmpl w:val="FB5EFA9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4DF5BFD"/>
    <w:multiLevelType w:val="hybridMultilevel"/>
    <w:tmpl w:val="8F982B4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44FC497F"/>
    <w:multiLevelType w:val="hybridMultilevel"/>
    <w:tmpl w:val="8B828FCA"/>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45616054"/>
    <w:multiLevelType w:val="hybridMultilevel"/>
    <w:tmpl w:val="88521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6365BD4"/>
    <w:multiLevelType w:val="hybridMultilevel"/>
    <w:tmpl w:val="CF6635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96975E4"/>
    <w:multiLevelType w:val="hybridMultilevel"/>
    <w:tmpl w:val="F954B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AF436DF"/>
    <w:multiLevelType w:val="hybridMultilevel"/>
    <w:tmpl w:val="B3E271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B9F6731"/>
    <w:multiLevelType w:val="hybridMultilevel"/>
    <w:tmpl w:val="1BAE698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C1D44B4"/>
    <w:multiLevelType w:val="hybridMultilevel"/>
    <w:tmpl w:val="FF3A0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D13212F"/>
    <w:multiLevelType w:val="hybridMultilevel"/>
    <w:tmpl w:val="94F05F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4E99114F"/>
    <w:multiLevelType w:val="hybridMultilevel"/>
    <w:tmpl w:val="4B3E1CF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9" w15:restartNumberingAfterBreak="0">
    <w:nsid w:val="4EBB319C"/>
    <w:multiLevelType w:val="hybridMultilevel"/>
    <w:tmpl w:val="BC8A9E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505466E5"/>
    <w:multiLevelType w:val="hybridMultilevel"/>
    <w:tmpl w:val="56AEE1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06E43CF"/>
    <w:multiLevelType w:val="hybridMultilevel"/>
    <w:tmpl w:val="678CCA5E"/>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15:restartNumberingAfterBreak="0">
    <w:nsid w:val="50C013A1"/>
    <w:multiLevelType w:val="hybridMultilevel"/>
    <w:tmpl w:val="ABECF9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50CC7996"/>
    <w:multiLevelType w:val="hybridMultilevel"/>
    <w:tmpl w:val="E7428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531E67B4"/>
    <w:multiLevelType w:val="hybridMultilevel"/>
    <w:tmpl w:val="72E683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44F10E2"/>
    <w:multiLevelType w:val="hybridMultilevel"/>
    <w:tmpl w:val="DFB82A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46A289D"/>
    <w:multiLevelType w:val="hybridMultilevel"/>
    <w:tmpl w:val="54EC3BBA"/>
    <w:lvl w:ilvl="0" w:tplc="CE787940">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4905B94"/>
    <w:multiLevelType w:val="hybridMultilevel"/>
    <w:tmpl w:val="D8DA9D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5631623F"/>
    <w:multiLevelType w:val="hybridMultilevel"/>
    <w:tmpl w:val="D0305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565F431F"/>
    <w:multiLevelType w:val="hybridMultilevel"/>
    <w:tmpl w:val="D9D454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56886982"/>
    <w:multiLevelType w:val="hybridMultilevel"/>
    <w:tmpl w:val="D8444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57B03225"/>
    <w:multiLevelType w:val="hybridMultilevel"/>
    <w:tmpl w:val="0FBE7190"/>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15:restartNumberingAfterBreak="0">
    <w:nsid w:val="57C2031D"/>
    <w:multiLevelType w:val="hybridMultilevel"/>
    <w:tmpl w:val="54827EFE"/>
    <w:lvl w:ilvl="0" w:tplc="E02EFCFC">
      <w:start w:val="1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8201E58"/>
    <w:multiLevelType w:val="hybridMultilevel"/>
    <w:tmpl w:val="913AE5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58980950"/>
    <w:multiLevelType w:val="hybridMultilevel"/>
    <w:tmpl w:val="0AC8F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599A25FB"/>
    <w:multiLevelType w:val="hybridMultilevel"/>
    <w:tmpl w:val="719A9A6A"/>
    <w:lvl w:ilvl="0" w:tplc="0C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59DC0FC0"/>
    <w:multiLevelType w:val="hybridMultilevel"/>
    <w:tmpl w:val="B4C2169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5A467139"/>
    <w:multiLevelType w:val="hybridMultilevel"/>
    <w:tmpl w:val="B8CA923C"/>
    <w:lvl w:ilvl="0" w:tplc="B2AACAAC">
      <w:start w:val="1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B25668A"/>
    <w:multiLevelType w:val="hybridMultilevel"/>
    <w:tmpl w:val="2710F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5BE820A8"/>
    <w:multiLevelType w:val="hybridMultilevel"/>
    <w:tmpl w:val="B28655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5D141A61"/>
    <w:multiLevelType w:val="hybridMultilevel"/>
    <w:tmpl w:val="81926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D901DF2"/>
    <w:multiLevelType w:val="hybridMultilevel"/>
    <w:tmpl w:val="474C9AD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03D6126"/>
    <w:multiLevelType w:val="hybridMultilevel"/>
    <w:tmpl w:val="3E9AE8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60637966"/>
    <w:multiLevelType w:val="hybridMultilevel"/>
    <w:tmpl w:val="752EF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10D027C"/>
    <w:multiLevelType w:val="hybridMultilevel"/>
    <w:tmpl w:val="094AC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622C1058"/>
    <w:multiLevelType w:val="hybridMultilevel"/>
    <w:tmpl w:val="B34297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629E1092"/>
    <w:multiLevelType w:val="hybridMultilevel"/>
    <w:tmpl w:val="DE8EA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62B45567"/>
    <w:multiLevelType w:val="hybridMultilevel"/>
    <w:tmpl w:val="9FCCE12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8" w15:restartNumberingAfterBreak="0">
    <w:nsid w:val="63533F6B"/>
    <w:multiLevelType w:val="hybridMultilevel"/>
    <w:tmpl w:val="3BFC9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5C45A5D"/>
    <w:multiLevelType w:val="hybridMultilevel"/>
    <w:tmpl w:val="FC26CDFA"/>
    <w:lvl w:ilvl="0" w:tplc="0C090005">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0" w15:restartNumberingAfterBreak="0">
    <w:nsid w:val="668414FE"/>
    <w:multiLevelType w:val="hybridMultilevel"/>
    <w:tmpl w:val="FFE45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66DB1BE1"/>
    <w:multiLevelType w:val="hybridMultilevel"/>
    <w:tmpl w:val="03DC57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676B453F"/>
    <w:multiLevelType w:val="hybridMultilevel"/>
    <w:tmpl w:val="CC4C2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67B4264E"/>
    <w:multiLevelType w:val="hybridMultilevel"/>
    <w:tmpl w:val="73FAB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C6D5D08"/>
    <w:multiLevelType w:val="hybridMultilevel"/>
    <w:tmpl w:val="9CAE50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6D720F93"/>
    <w:multiLevelType w:val="hybridMultilevel"/>
    <w:tmpl w:val="36EEB2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6F450229"/>
    <w:multiLevelType w:val="hybridMultilevel"/>
    <w:tmpl w:val="FB50D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7043AEC9"/>
    <w:multiLevelType w:val="hybridMultilevel"/>
    <w:tmpl w:val="FFFFFFFF"/>
    <w:lvl w:ilvl="0" w:tplc="8E56DEDC">
      <w:start w:val="1"/>
      <w:numFmt w:val="decimal"/>
      <w:lvlText w:val="%1."/>
      <w:lvlJc w:val="left"/>
      <w:pPr>
        <w:ind w:left="720" w:hanging="360"/>
      </w:pPr>
    </w:lvl>
    <w:lvl w:ilvl="1" w:tplc="615EDA28">
      <w:start w:val="1"/>
      <w:numFmt w:val="bullet"/>
      <w:lvlText w:val="o"/>
      <w:lvlJc w:val="left"/>
      <w:pPr>
        <w:ind w:left="1440" w:hanging="360"/>
      </w:pPr>
      <w:rPr>
        <w:rFonts w:ascii="Courier New" w:hAnsi="Courier New" w:hint="default"/>
      </w:rPr>
    </w:lvl>
    <w:lvl w:ilvl="2" w:tplc="CD1A1324">
      <w:start w:val="1"/>
      <w:numFmt w:val="bullet"/>
      <w:lvlText w:val=""/>
      <w:lvlJc w:val="left"/>
      <w:pPr>
        <w:ind w:left="2160" w:hanging="360"/>
      </w:pPr>
      <w:rPr>
        <w:rFonts w:ascii="Wingdings" w:hAnsi="Wingdings" w:hint="default"/>
      </w:rPr>
    </w:lvl>
    <w:lvl w:ilvl="3" w:tplc="CDC6C536">
      <w:start w:val="1"/>
      <w:numFmt w:val="bullet"/>
      <w:lvlText w:val=""/>
      <w:lvlJc w:val="left"/>
      <w:pPr>
        <w:ind w:left="2880" w:hanging="360"/>
      </w:pPr>
      <w:rPr>
        <w:rFonts w:ascii="Symbol" w:hAnsi="Symbol" w:hint="default"/>
      </w:rPr>
    </w:lvl>
    <w:lvl w:ilvl="4" w:tplc="5AE21816">
      <w:start w:val="1"/>
      <w:numFmt w:val="bullet"/>
      <w:lvlText w:val="o"/>
      <w:lvlJc w:val="left"/>
      <w:pPr>
        <w:ind w:left="3600" w:hanging="360"/>
      </w:pPr>
      <w:rPr>
        <w:rFonts w:ascii="Courier New" w:hAnsi="Courier New" w:hint="default"/>
      </w:rPr>
    </w:lvl>
    <w:lvl w:ilvl="5" w:tplc="58F4F92C">
      <w:start w:val="1"/>
      <w:numFmt w:val="bullet"/>
      <w:lvlText w:val=""/>
      <w:lvlJc w:val="left"/>
      <w:pPr>
        <w:ind w:left="4320" w:hanging="360"/>
      </w:pPr>
      <w:rPr>
        <w:rFonts w:ascii="Wingdings" w:hAnsi="Wingdings" w:hint="default"/>
      </w:rPr>
    </w:lvl>
    <w:lvl w:ilvl="6" w:tplc="A25AFFEC">
      <w:start w:val="1"/>
      <w:numFmt w:val="bullet"/>
      <w:lvlText w:val=""/>
      <w:lvlJc w:val="left"/>
      <w:pPr>
        <w:ind w:left="5040" w:hanging="360"/>
      </w:pPr>
      <w:rPr>
        <w:rFonts w:ascii="Symbol" w:hAnsi="Symbol" w:hint="default"/>
      </w:rPr>
    </w:lvl>
    <w:lvl w:ilvl="7" w:tplc="B26EADCC">
      <w:start w:val="1"/>
      <w:numFmt w:val="bullet"/>
      <w:lvlText w:val="o"/>
      <w:lvlJc w:val="left"/>
      <w:pPr>
        <w:ind w:left="5760" w:hanging="360"/>
      </w:pPr>
      <w:rPr>
        <w:rFonts w:ascii="Courier New" w:hAnsi="Courier New" w:hint="default"/>
      </w:rPr>
    </w:lvl>
    <w:lvl w:ilvl="8" w:tplc="20164074">
      <w:start w:val="1"/>
      <w:numFmt w:val="bullet"/>
      <w:lvlText w:val=""/>
      <w:lvlJc w:val="left"/>
      <w:pPr>
        <w:ind w:left="6480" w:hanging="360"/>
      </w:pPr>
      <w:rPr>
        <w:rFonts w:ascii="Wingdings" w:hAnsi="Wingdings" w:hint="default"/>
      </w:rPr>
    </w:lvl>
  </w:abstractNum>
  <w:abstractNum w:abstractNumId="108" w15:restartNumberingAfterBreak="0">
    <w:nsid w:val="725275A2"/>
    <w:multiLevelType w:val="hybridMultilevel"/>
    <w:tmpl w:val="CD548B4A"/>
    <w:lvl w:ilvl="0" w:tplc="0C090001">
      <w:start w:val="1"/>
      <w:numFmt w:val="bullet"/>
      <w:lvlText w:val=""/>
      <w:lvlJc w:val="left"/>
      <w:pPr>
        <w:ind w:left="360" w:hanging="360"/>
      </w:pPr>
      <w:rPr>
        <w:rFonts w:ascii="Symbol" w:hAnsi="Symbol" w:hint="default"/>
      </w:rPr>
    </w:lvl>
    <w:lvl w:ilvl="1" w:tplc="FB48BEE8">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73763A4B"/>
    <w:multiLevelType w:val="hybridMultilevel"/>
    <w:tmpl w:val="324CF49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55E672D"/>
    <w:multiLevelType w:val="hybridMultilevel"/>
    <w:tmpl w:val="EFF2D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6CF2B98"/>
    <w:multiLevelType w:val="hybridMultilevel"/>
    <w:tmpl w:val="693A3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2" w15:restartNumberingAfterBreak="0">
    <w:nsid w:val="76D51F9C"/>
    <w:multiLevelType w:val="hybridMultilevel"/>
    <w:tmpl w:val="AAE0E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7826198F"/>
    <w:multiLevelType w:val="hybridMultilevel"/>
    <w:tmpl w:val="9460C62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79A21B92"/>
    <w:multiLevelType w:val="hybridMultilevel"/>
    <w:tmpl w:val="B15451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7A283436"/>
    <w:multiLevelType w:val="hybridMultilevel"/>
    <w:tmpl w:val="34724FC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6" w15:restartNumberingAfterBreak="0">
    <w:nsid w:val="7A875A6B"/>
    <w:multiLevelType w:val="hybridMultilevel"/>
    <w:tmpl w:val="275C6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C0B0D94"/>
    <w:multiLevelType w:val="hybridMultilevel"/>
    <w:tmpl w:val="26865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7E625860"/>
    <w:multiLevelType w:val="hybridMultilevel"/>
    <w:tmpl w:val="4E02F7EA"/>
    <w:lvl w:ilvl="0" w:tplc="0C090003">
      <w:start w:val="1"/>
      <w:numFmt w:val="bullet"/>
      <w:lvlText w:val="o"/>
      <w:lvlJc w:val="left"/>
      <w:pPr>
        <w:ind w:left="714" w:hanging="360"/>
      </w:pPr>
      <w:rPr>
        <w:rFonts w:ascii="Courier New" w:hAnsi="Courier New" w:cs="Courier New" w:hint="default"/>
      </w:rPr>
    </w:lvl>
    <w:lvl w:ilvl="1" w:tplc="FFFFFFFF" w:tentative="1">
      <w:start w:val="1"/>
      <w:numFmt w:val="bullet"/>
      <w:lvlText w:val="o"/>
      <w:lvlJc w:val="left"/>
      <w:pPr>
        <w:ind w:left="1434" w:hanging="360"/>
      </w:pPr>
      <w:rPr>
        <w:rFonts w:ascii="Courier New" w:hAnsi="Courier New" w:cs="Courier New" w:hint="default"/>
      </w:rPr>
    </w:lvl>
    <w:lvl w:ilvl="2" w:tplc="FFFFFFFF" w:tentative="1">
      <w:start w:val="1"/>
      <w:numFmt w:val="bullet"/>
      <w:lvlText w:val=""/>
      <w:lvlJc w:val="left"/>
      <w:pPr>
        <w:ind w:left="2154" w:hanging="360"/>
      </w:pPr>
      <w:rPr>
        <w:rFonts w:ascii="Wingdings" w:hAnsi="Wingdings" w:hint="default"/>
      </w:rPr>
    </w:lvl>
    <w:lvl w:ilvl="3" w:tplc="FFFFFFFF" w:tentative="1">
      <w:start w:val="1"/>
      <w:numFmt w:val="bullet"/>
      <w:lvlText w:val=""/>
      <w:lvlJc w:val="left"/>
      <w:pPr>
        <w:ind w:left="2874" w:hanging="360"/>
      </w:pPr>
      <w:rPr>
        <w:rFonts w:ascii="Symbol" w:hAnsi="Symbol" w:hint="default"/>
      </w:rPr>
    </w:lvl>
    <w:lvl w:ilvl="4" w:tplc="FFFFFFFF" w:tentative="1">
      <w:start w:val="1"/>
      <w:numFmt w:val="bullet"/>
      <w:lvlText w:val="o"/>
      <w:lvlJc w:val="left"/>
      <w:pPr>
        <w:ind w:left="3594" w:hanging="360"/>
      </w:pPr>
      <w:rPr>
        <w:rFonts w:ascii="Courier New" w:hAnsi="Courier New" w:cs="Courier New" w:hint="default"/>
      </w:rPr>
    </w:lvl>
    <w:lvl w:ilvl="5" w:tplc="FFFFFFFF" w:tentative="1">
      <w:start w:val="1"/>
      <w:numFmt w:val="bullet"/>
      <w:lvlText w:val=""/>
      <w:lvlJc w:val="left"/>
      <w:pPr>
        <w:ind w:left="4314" w:hanging="360"/>
      </w:pPr>
      <w:rPr>
        <w:rFonts w:ascii="Wingdings" w:hAnsi="Wingdings" w:hint="default"/>
      </w:rPr>
    </w:lvl>
    <w:lvl w:ilvl="6" w:tplc="FFFFFFFF" w:tentative="1">
      <w:start w:val="1"/>
      <w:numFmt w:val="bullet"/>
      <w:lvlText w:val=""/>
      <w:lvlJc w:val="left"/>
      <w:pPr>
        <w:ind w:left="5034" w:hanging="360"/>
      </w:pPr>
      <w:rPr>
        <w:rFonts w:ascii="Symbol" w:hAnsi="Symbol" w:hint="default"/>
      </w:rPr>
    </w:lvl>
    <w:lvl w:ilvl="7" w:tplc="FFFFFFFF" w:tentative="1">
      <w:start w:val="1"/>
      <w:numFmt w:val="bullet"/>
      <w:lvlText w:val="o"/>
      <w:lvlJc w:val="left"/>
      <w:pPr>
        <w:ind w:left="5754" w:hanging="360"/>
      </w:pPr>
      <w:rPr>
        <w:rFonts w:ascii="Courier New" w:hAnsi="Courier New" w:cs="Courier New" w:hint="default"/>
      </w:rPr>
    </w:lvl>
    <w:lvl w:ilvl="8" w:tplc="FFFFFFFF" w:tentative="1">
      <w:start w:val="1"/>
      <w:numFmt w:val="bullet"/>
      <w:lvlText w:val=""/>
      <w:lvlJc w:val="left"/>
      <w:pPr>
        <w:ind w:left="6474" w:hanging="360"/>
      </w:pPr>
      <w:rPr>
        <w:rFonts w:ascii="Wingdings" w:hAnsi="Wingdings" w:hint="default"/>
      </w:rPr>
    </w:lvl>
  </w:abstractNum>
  <w:abstractNum w:abstractNumId="119" w15:restartNumberingAfterBreak="0">
    <w:nsid w:val="7E7C226F"/>
    <w:multiLevelType w:val="hybridMultilevel"/>
    <w:tmpl w:val="6DE8E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7E93101C"/>
    <w:multiLevelType w:val="hybridMultilevel"/>
    <w:tmpl w:val="D56AF2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7F0E1A64"/>
    <w:multiLevelType w:val="hybridMultilevel"/>
    <w:tmpl w:val="4F7CDC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2" w15:restartNumberingAfterBreak="0">
    <w:nsid w:val="7F7B7341"/>
    <w:multiLevelType w:val="hybridMultilevel"/>
    <w:tmpl w:val="97180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7"/>
  </w:num>
  <w:num w:numId="2">
    <w:abstractNumId w:val="26"/>
  </w:num>
  <w:num w:numId="3">
    <w:abstractNumId w:val="9"/>
  </w:num>
  <w:num w:numId="4">
    <w:abstractNumId w:val="1"/>
  </w:num>
  <w:num w:numId="5">
    <w:abstractNumId w:val="19"/>
  </w:num>
  <w:num w:numId="6">
    <w:abstractNumId w:val="64"/>
  </w:num>
  <w:num w:numId="7">
    <w:abstractNumId w:val="11"/>
  </w:num>
  <w:num w:numId="8">
    <w:abstractNumId w:val="104"/>
  </w:num>
  <w:num w:numId="9">
    <w:abstractNumId w:val="67"/>
  </w:num>
  <w:num w:numId="10">
    <w:abstractNumId w:val="114"/>
  </w:num>
  <w:num w:numId="11">
    <w:abstractNumId w:val="56"/>
  </w:num>
  <w:num w:numId="12">
    <w:abstractNumId w:val="30"/>
  </w:num>
  <w:num w:numId="13">
    <w:abstractNumId w:val="86"/>
  </w:num>
  <w:num w:numId="14">
    <w:abstractNumId w:val="14"/>
  </w:num>
  <w:num w:numId="15">
    <w:abstractNumId w:val="53"/>
  </w:num>
  <w:num w:numId="16">
    <w:abstractNumId w:val="95"/>
  </w:num>
  <w:num w:numId="17">
    <w:abstractNumId w:val="52"/>
  </w:num>
  <w:num w:numId="18">
    <w:abstractNumId w:val="41"/>
  </w:num>
  <w:num w:numId="19">
    <w:abstractNumId w:val="93"/>
  </w:num>
  <w:num w:numId="20">
    <w:abstractNumId w:val="76"/>
  </w:num>
  <w:num w:numId="21">
    <w:abstractNumId w:val="51"/>
  </w:num>
  <w:num w:numId="22">
    <w:abstractNumId w:val="50"/>
  </w:num>
  <w:num w:numId="23">
    <w:abstractNumId w:val="21"/>
  </w:num>
  <w:num w:numId="24">
    <w:abstractNumId w:val="111"/>
  </w:num>
  <w:num w:numId="25">
    <w:abstractNumId w:val="3"/>
  </w:num>
  <w:num w:numId="26">
    <w:abstractNumId w:val="13"/>
  </w:num>
  <w:num w:numId="27">
    <w:abstractNumId w:val="91"/>
  </w:num>
  <w:num w:numId="28">
    <w:abstractNumId w:val="79"/>
  </w:num>
  <w:num w:numId="29">
    <w:abstractNumId w:val="89"/>
  </w:num>
  <w:num w:numId="30">
    <w:abstractNumId w:val="92"/>
  </w:num>
  <w:num w:numId="31">
    <w:abstractNumId w:val="120"/>
  </w:num>
  <w:num w:numId="32">
    <w:abstractNumId w:val="46"/>
  </w:num>
  <w:num w:numId="33">
    <w:abstractNumId w:val="10"/>
  </w:num>
  <w:num w:numId="34">
    <w:abstractNumId w:val="83"/>
  </w:num>
  <w:num w:numId="35">
    <w:abstractNumId w:val="38"/>
  </w:num>
  <w:num w:numId="36">
    <w:abstractNumId w:val="106"/>
  </w:num>
  <w:num w:numId="37">
    <w:abstractNumId w:val="43"/>
  </w:num>
  <w:num w:numId="38">
    <w:abstractNumId w:val="119"/>
  </w:num>
  <w:num w:numId="39">
    <w:abstractNumId w:val="34"/>
  </w:num>
  <w:num w:numId="40">
    <w:abstractNumId w:val="16"/>
  </w:num>
  <w:num w:numId="41">
    <w:abstractNumId w:val="70"/>
  </w:num>
  <w:num w:numId="42">
    <w:abstractNumId w:val="8"/>
  </w:num>
  <w:num w:numId="43">
    <w:abstractNumId w:val="24"/>
  </w:num>
  <w:num w:numId="44">
    <w:abstractNumId w:val="101"/>
  </w:num>
  <w:num w:numId="45">
    <w:abstractNumId w:val="12"/>
  </w:num>
  <w:num w:numId="46">
    <w:abstractNumId w:val="77"/>
  </w:num>
  <w:num w:numId="47">
    <w:abstractNumId w:val="122"/>
  </w:num>
  <w:num w:numId="48">
    <w:abstractNumId w:val="103"/>
  </w:num>
  <w:num w:numId="49">
    <w:abstractNumId w:val="27"/>
  </w:num>
  <w:num w:numId="50">
    <w:abstractNumId w:val="90"/>
  </w:num>
  <w:num w:numId="51">
    <w:abstractNumId w:val="20"/>
  </w:num>
  <w:num w:numId="52">
    <w:abstractNumId w:val="66"/>
  </w:num>
  <w:num w:numId="53">
    <w:abstractNumId w:val="98"/>
  </w:num>
  <w:num w:numId="54">
    <w:abstractNumId w:val="61"/>
  </w:num>
  <w:num w:numId="55">
    <w:abstractNumId w:val="59"/>
  </w:num>
  <w:num w:numId="56">
    <w:abstractNumId w:val="18"/>
  </w:num>
  <w:num w:numId="57">
    <w:abstractNumId w:val="17"/>
  </w:num>
  <w:num w:numId="58">
    <w:abstractNumId w:val="121"/>
  </w:num>
  <w:num w:numId="59">
    <w:abstractNumId w:val="15"/>
  </w:num>
  <w:num w:numId="60">
    <w:abstractNumId w:val="65"/>
  </w:num>
  <w:num w:numId="61">
    <w:abstractNumId w:val="47"/>
  </w:num>
  <w:num w:numId="62">
    <w:abstractNumId w:val="74"/>
  </w:num>
  <w:num w:numId="63">
    <w:abstractNumId w:val="37"/>
  </w:num>
  <w:num w:numId="64">
    <w:abstractNumId w:val="54"/>
  </w:num>
  <w:num w:numId="65">
    <w:abstractNumId w:val="45"/>
  </w:num>
  <w:num w:numId="66">
    <w:abstractNumId w:val="2"/>
  </w:num>
  <w:num w:numId="67">
    <w:abstractNumId w:val="25"/>
  </w:num>
  <w:num w:numId="68">
    <w:abstractNumId w:val="28"/>
  </w:num>
  <w:num w:numId="69">
    <w:abstractNumId w:val="62"/>
  </w:num>
  <w:num w:numId="70">
    <w:abstractNumId w:val="7"/>
  </w:num>
  <w:num w:numId="71">
    <w:abstractNumId w:val="82"/>
  </w:num>
  <w:num w:numId="72">
    <w:abstractNumId w:val="87"/>
  </w:num>
  <w:num w:numId="73">
    <w:abstractNumId w:val="110"/>
  </w:num>
  <w:num w:numId="74">
    <w:abstractNumId w:val="57"/>
  </w:num>
  <w:num w:numId="75">
    <w:abstractNumId w:val="85"/>
  </w:num>
  <w:num w:numId="76">
    <w:abstractNumId w:val="109"/>
  </w:num>
  <w:num w:numId="77">
    <w:abstractNumId w:val="36"/>
  </w:num>
  <w:num w:numId="78">
    <w:abstractNumId w:val="39"/>
  </w:num>
  <w:num w:numId="79">
    <w:abstractNumId w:val="42"/>
  </w:num>
  <w:num w:numId="80">
    <w:abstractNumId w:val="102"/>
  </w:num>
  <w:num w:numId="81">
    <w:abstractNumId w:val="97"/>
  </w:num>
  <w:num w:numId="82">
    <w:abstractNumId w:val="22"/>
  </w:num>
  <w:num w:numId="83">
    <w:abstractNumId w:val="4"/>
  </w:num>
  <w:num w:numId="84">
    <w:abstractNumId w:val="71"/>
  </w:num>
  <w:num w:numId="85">
    <w:abstractNumId w:val="32"/>
  </w:num>
  <w:num w:numId="86">
    <w:abstractNumId w:val="23"/>
  </w:num>
  <w:num w:numId="87">
    <w:abstractNumId w:val="94"/>
  </w:num>
  <w:num w:numId="88">
    <w:abstractNumId w:val="40"/>
  </w:num>
  <w:num w:numId="89">
    <w:abstractNumId w:val="33"/>
  </w:num>
  <w:num w:numId="90">
    <w:abstractNumId w:val="55"/>
  </w:num>
  <w:num w:numId="91">
    <w:abstractNumId w:val="72"/>
  </w:num>
  <w:num w:numId="92">
    <w:abstractNumId w:val="69"/>
  </w:num>
  <w:num w:numId="93">
    <w:abstractNumId w:val="73"/>
  </w:num>
  <w:num w:numId="94">
    <w:abstractNumId w:val="84"/>
  </w:num>
  <w:num w:numId="95">
    <w:abstractNumId w:val="5"/>
  </w:num>
  <w:num w:numId="96">
    <w:abstractNumId w:val="117"/>
  </w:num>
  <w:num w:numId="97">
    <w:abstractNumId w:val="58"/>
  </w:num>
  <w:num w:numId="98">
    <w:abstractNumId w:val="118"/>
  </w:num>
  <w:num w:numId="99">
    <w:abstractNumId w:val="6"/>
  </w:num>
  <w:num w:numId="100">
    <w:abstractNumId w:val="29"/>
  </w:num>
  <w:num w:numId="101">
    <w:abstractNumId w:val="35"/>
  </w:num>
  <w:num w:numId="102">
    <w:abstractNumId w:val="78"/>
  </w:num>
  <w:num w:numId="103">
    <w:abstractNumId w:val="112"/>
  </w:num>
  <w:num w:numId="104">
    <w:abstractNumId w:val="88"/>
  </w:num>
  <w:num w:numId="105">
    <w:abstractNumId w:val="81"/>
  </w:num>
  <w:num w:numId="106">
    <w:abstractNumId w:val="96"/>
  </w:num>
  <w:num w:numId="107">
    <w:abstractNumId w:val="80"/>
  </w:num>
  <w:num w:numId="108">
    <w:abstractNumId w:val="75"/>
  </w:num>
  <w:num w:numId="109">
    <w:abstractNumId w:val="31"/>
  </w:num>
  <w:num w:numId="110">
    <w:abstractNumId w:val="68"/>
  </w:num>
  <w:num w:numId="111">
    <w:abstractNumId w:val="116"/>
  </w:num>
  <w:num w:numId="112">
    <w:abstractNumId w:val="48"/>
  </w:num>
  <w:num w:numId="113">
    <w:abstractNumId w:val="115"/>
  </w:num>
  <w:num w:numId="114">
    <w:abstractNumId w:val="49"/>
  </w:num>
  <w:num w:numId="115">
    <w:abstractNumId w:val="63"/>
  </w:num>
  <w:num w:numId="116">
    <w:abstractNumId w:val="99"/>
  </w:num>
  <w:num w:numId="117">
    <w:abstractNumId w:val="44"/>
  </w:num>
  <w:num w:numId="118">
    <w:abstractNumId w:val="113"/>
  </w:num>
  <w:num w:numId="119">
    <w:abstractNumId w:val="0"/>
  </w:num>
  <w:num w:numId="120">
    <w:abstractNumId w:val="108"/>
  </w:num>
  <w:num w:numId="121">
    <w:abstractNumId w:val="100"/>
  </w:num>
  <w:num w:numId="122">
    <w:abstractNumId w:val="105"/>
  </w:num>
  <w:num w:numId="123">
    <w:abstractNumId w:val="6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DE"/>
    <w:rsid w:val="00000869"/>
    <w:rsid w:val="00000967"/>
    <w:rsid w:val="00000A69"/>
    <w:rsid w:val="0000143B"/>
    <w:rsid w:val="00001C83"/>
    <w:rsid w:val="000020A4"/>
    <w:rsid w:val="00002805"/>
    <w:rsid w:val="00003340"/>
    <w:rsid w:val="00003FD0"/>
    <w:rsid w:val="00004133"/>
    <w:rsid w:val="000041A5"/>
    <w:rsid w:val="00004263"/>
    <w:rsid w:val="000045F1"/>
    <w:rsid w:val="00004660"/>
    <w:rsid w:val="00004C45"/>
    <w:rsid w:val="00005274"/>
    <w:rsid w:val="00005327"/>
    <w:rsid w:val="00005B76"/>
    <w:rsid w:val="00005C98"/>
    <w:rsid w:val="00005DA1"/>
    <w:rsid w:val="00005DFA"/>
    <w:rsid w:val="00006ADC"/>
    <w:rsid w:val="00006CE6"/>
    <w:rsid w:val="00010316"/>
    <w:rsid w:val="000105C4"/>
    <w:rsid w:val="000108A2"/>
    <w:rsid w:val="0001116F"/>
    <w:rsid w:val="000114F8"/>
    <w:rsid w:val="0001163C"/>
    <w:rsid w:val="00012D52"/>
    <w:rsid w:val="00013927"/>
    <w:rsid w:val="0001400B"/>
    <w:rsid w:val="00014B85"/>
    <w:rsid w:val="000151A4"/>
    <w:rsid w:val="000156FA"/>
    <w:rsid w:val="00015B3C"/>
    <w:rsid w:val="00015B8D"/>
    <w:rsid w:val="000175D2"/>
    <w:rsid w:val="00017719"/>
    <w:rsid w:val="00017845"/>
    <w:rsid w:val="00017D5B"/>
    <w:rsid w:val="00020569"/>
    <w:rsid w:val="00020959"/>
    <w:rsid w:val="00021E80"/>
    <w:rsid w:val="00022615"/>
    <w:rsid w:val="000227F7"/>
    <w:rsid w:val="00023F66"/>
    <w:rsid w:val="00027598"/>
    <w:rsid w:val="00027798"/>
    <w:rsid w:val="00027B52"/>
    <w:rsid w:val="0003025A"/>
    <w:rsid w:val="00030B8C"/>
    <w:rsid w:val="000314A2"/>
    <w:rsid w:val="00031789"/>
    <w:rsid w:val="00032605"/>
    <w:rsid w:val="00034537"/>
    <w:rsid w:val="00034744"/>
    <w:rsid w:val="00034795"/>
    <w:rsid w:val="00034C5B"/>
    <w:rsid w:val="00035390"/>
    <w:rsid w:val="000354D3"/>
    <w:rsid w:val="00035948"/>
    <w:rsid w:val="00036F0B"/>
    <w:rsid w:val="00036FF4"/>
    <w:rsid w:val="0004012E"/>
    <w:rsid w:val="00040DFE"/>
    <w:rsid w:val="000412DA"/>
    <w:rsid w:val="00041A6B"/>
    <w:rsid w:val="00041BD9"/>
    <w:rsid w:val="00041C99"/>
    <w:rsid w:val="00041EB2"/>
    <w:rsid w:val="0004297F"/>
    <w:rsid w:val="00042D19"/>
    <w:rsid w:val="00043AE2"/>
    <w:rsid w:val="00044B2E"/>
    <w:rsid w:val="00044BE1"/>
    <w:rsid w:val="00044C29"/>
    <w:rsid w:val="00045214"/>
    <w:rsid w:val="000454AA"/>
    <w:rsid w:val="00045CA7"/>
    <w:rsid w:val="00045DBB"/>
    <w:rsid w:val="0004604E"/>
    <w:rsid w:val="000463EF"/>
    <w:rsid w:val="000468A2"/>
    <w:rsid w:val="000468AA"/>
    <w:rsid w:val="000471DA"/>
    <w:rsid w:val="00050576"/>
    <w:rsid w:val="0005065F"/>
    <w:rsid w:val="00051376"/>
    <w:rsid w:val="00051864"/>
    <w:rsid w:val="00051A69"/>
    <w:rsid w:val="00053761"/>
    <w:rsid w:val="000537C3"/>
    <w:rsid w:val="00053FB9"/>
    <w:rsid w:val="000542F6"/>
    <w:rsid w:val="00055238"/>
    <w:rsid w:val="00055B90"/>
    <w:rsid w:val="000574B6"/>
    <w:rsid w:val="000608CC"/>
    <w:rsid w:val="00060CFE"/>
    <w:rsid w:val="00060F06"/>
    <w:rsid w:val="0006107A"/>
    <w:rsid w:val="00061394"/>
    <w:rsid w:val="00062301"/>
    <w:rsid w:val="00062CEC"/>
    <w:rsid w:val="000641D1"/>
    <w:rsid w:val="000645B0"/>
    <w:rsid w:val="00064B83"/>
    <w:rsid w:val="00064BD7"/>
    <w:rsid w:val="00064D76"/>
    <w:rsid w:val="00064EBA"/>
    <w:rsid w:val="0006523E"/>
    <w:rsid w:val="0007173E"/>
    <w:rsid w:val="000719F0"/>
    <w:rsid w:val="00071B87"/>
    <w:rsid w:val="000728AB"/>
    <w:rsid w:val="00072B73"/>
    <w:rsid w:val="00072E0E"/>
    <w:rsid w:val="000732C0"/>
    <w:rsid w:val="00074080"/>
    <w:rsid w:val="000748C4"/>
    <w:rsid w:val="00075320"/>
    <w:rsid w:val="00075C56"/>
    <w:rsid w:val="0007605D"/>
    <w:rsid w:val="00076450"/>
    <w:rsid w:val="00076D4E"/>
    <w:rsid w:val="000773F9"/>
    <w:rsid w:val="00077ACF"/>
    <w:rsid w:val="00077C79"/>
    <w:rsid w:val="00077FF7"/>
    <w:rsid w:val="00080105"/>
    <w:rsid w:val="00080375"/>
    <w:rsid w:val="000806E5"/>
    <w:rsid w:val="00080FD0"/>
    <w:rsid w:val="00081DE8"/>
    <w:rsid w:val="000827FA"/>
    <w:rsid w:val="00082AD5"/>
    <w:rsid w:val="00082DE8"/>
    <w:rsid w:val="0008347B"/>
    <w:rsid w:val="00083FA5"/>
    <w:rsid w:val="000857D0"/>
    <w:rsid w:val="00085C2A"/>
    <w:rsid w:val="00086012"/>
    <w:rsid w:val="000874A6"/>
    <w:rsid w:val="0008774B"/>
    <w:rsid w:val="00087F01"/>
    <w:rsid w:val="00087F2D"/>
    <w:rsid w:val="00090561"/>
    <w:rsid w:val="00090B78"/>
    <w:rsid w:val="00091B1F"/>
    <w:rsid w:val="00092373"/>
    <w:rsid w:val="00092392"/>
    <w:rsid w:val="00092D99"/>
    <w:rsid w:val="00093DCE"/>
    <w:rsid w:val="00093E0E"/>
    <w:rsid w:val="00094391"/>
    <w:rsid w:val="00094582"/>
    <w:rsid w:val="00094A98"/>
    <w:rsid w:val="00094B9F"/>
    <w:rsid w:val="00094BC5"/>
    <w:rsid w:val="0009505D"/>
    <w:rsid w:val="000951BD"/>
    <w:rsid w:val="00095A9C"/>
    <w:rsid w:val="0009765B"/>
    <w:rsid w:val="00097AA6"/>
    <w:rsid w:val="00097C26"/>
    <w:rsid w:val="00097FF2"/>
    <w:rsid w:val="000A086C"/>
    <w:rsid w:val="000A1D98"/>
    <w:rsid w:val="000A1E85"/>
    <w:rsid w:val="000A1FED"/>
    <w:rsid w:val="000A221C"/>
    <w:rsid w:val="000A321B"/>
    <w:rsid w:val="000A3F34"/>
    <w:rsid w:val="000A43FE"/>
    <w:rsid w:val="000A6C6C"/>
    <w:rsid w:val="000A7370"/>
    <w:rsid w:val="000B0310"/>
    <w:rsid w:val="000B05EE"/>
    <w:rsid w:val="000B089D"/>
    <w:rsid w:val="000B12C1"/>
    <w:rsid w:val="000B1A01"/>
    <w:rsid w:val="000B1B22"/>
    <w:rsid w:val="000B244C"/>
    <w:rsid w:val="000B297C"/>
    <w:rsid w:val="000B2BD4"/>
    <w:rsid w:val="000B2DAD"/>
    <w:rsid w:val="000B2E9D"/>
    <w:rsid w:val="000B2EDA"/>
    <w:rsid w:val="000B3195"/>
    <w:rsid w:val="000B4C2D"/>
    <w:rsid w:val="000B533C"/>
    <w:rsid w:val="000B5371"/>
    <w:rsid w:val="000B5982"/>
    <w:rsid w:val="000B59C9"/>
    <w:rsid w:val="000B6205"/>
    <w:rsid w:val="000B692A"/>
    <w:rsid w:val="000B6BBA"/>
    <w:rsid w:val="000C001B"/>
    <w:rsid w:val="000C09EA"/>
    <w:rsid w:val="000C0A30"/>
    <w:rsid w:val="000C164B"/>
    <w:rsid w:val="000C28E2"/>
    <w:rsid w:val="000C2D0A"/>
    <w:rsid w:val="000C2EE7"/>
    <w:rsid w:val="000C3252"/>
    <w:rsid w:val="000C3A19"/>
    <w:rsid w:val="000C3FBC"/>
    <w:rsid w:val="000C4A8C"/>
    <w:rsid w:val="000C55D2"/>
    <w:rsid w:val="000C599A"/>
    <w:rsid w:val="000C59CA"/>
    <w:rsid w:val="000C5D70"/>
    <w:rsid w:val="000C5EDB"/>
    <w:rsid w:val="000C637A"/>
    <w:rsid w:val="000C6669"/>
    <w:rsid w:val="000C6877"/>
    <w:rsid w:val="000C6AAD"/>
    <w:rsid w:val="000C6B94"/>
    <w:rsid w:val="000D0129"/>
    <w:rsid w:val="000D04CE"/>
    <w:rsid w:val="000D0B68"/>
    <w:rsid w:val="000D20B3"/>
    <w:rsid w:val="000D2708"/>
    <w:rsid w:val="000D32B3"/>
    <w:rsid w:val="000D3D91"/>
    <w:rsid w:val="000D3F0C"/>
    <w:rsid w:val="000D4CA2"/>
    <w:rsid w:val="000D5226"/>
    <w:rsid w:val="000D5A24"/>
    <w:rsid w:val="000D5BC1"/>
    <w:rsid w:val="000D6B54"/>
    <w:rsid w:val="000D70C8"/>
    <w:rsid w:val="000D7CFC"/>
    <w:rsid w:val="000D7DA3"/>
    <w:rsid w:val="000E054A"/>
    <w:rsid w:val="000E0981"/>
    <w:rsid w:val="000E0B93"/>
    <w:rsid w:val="000E0D83"/>
    <w:rsid w:val="000E1162"/>
    <w:rsid w:val="000E173E"/>
    <w:rsid w:val="000E1A62"/>
    <w:rsid w:val="000E1D60"/>
    <w:rsid w:val="000E1DA8"/>
    <w:rsid w:val="000E206A"/>
    <w:rsid w:val="000E242D"/>
    <w:rsid w:val="000E262F"/>
    <w:rsid w:val="000E3638"/>
    <w:rsid w:val="000E38E5"/>
    <w:rsid w:val="000E405D"/>
    <w:rsid w:val="000E4728"/>
    <w:rsid w:val="000E4ABF"/>
    <w:rsid w:val="000E5DFF"/>
    <w:rsid w:val="000E5E74"/>
    <w:rsid w:val="000E674B"/>
    <w:rsid w:val="000E73F7"/>
    <w:rsid w:val="000E7C1F"/>
    <w:rsid w:val="000E7E4D"/>
    <w:rsid w:val="000F016F"/>
    <w:rsid w:val="000F0549"/>
    <w:rsid w:val="000F0FB7"/>
    <w:rsid w:val="000F3A17"/>
    <w:rsid w:val="000F3CB7"/>
    <w:rsid w:val="000F4051"/>
    <w:rsid w:val="000F526E"/>
    <w:rsid w:val="000F6018"/>
    <w:rsid w:val="000F6184"/>
    <w:rsid w:val="000F629D"/>
    <w:rsid w:val="000F69BA"/>
    <w:rsid w:val="000F6E59"/>
    <w:rsid w:val="000F7320"/>
    <w:rsid w:val="000F74C6"/>
    <w:rsid w:val="000F7A30"/>
    <w:rsid w:val="000F7D93"/>
    <w:rsid w:val="0010090B"/>
    <w:rsid w:val="00100ABB"/>
    <w:rsid w:val="00100CDD"/>
    <w:rsid w:val="001011A0"/>
    <w:rsid w:val="00102855"/>
    <w:rsid w:val="0010299E"/>
    <w:rsid w:val="00103402"/>
    <w:rsid w:val="00103B6C"/>
    <w:rsid w:val="00103C88"/>
    <w:rsid w:val="0010475D"/>
    <w:rsid w:val="001068F6"/>
    <w:rsid w:val="00107887"/>
    <w:rsid w:val="00107C67"/>
    <w:rsid w:val="00107E69"/>
    <w:rsid w:val="001103D6"/>
    <w:rsid w:val="001114F5"/>
    <w:rsid w:val="00111E9A"/>
    <w:rsid w:val="00112189"/>
    <w:rsid w:val="00112B67"/>
    <w:rsid w:val="00112C9A"/>
    <w:rsid w:val="001132D9"/>
    <w:rsid w:val="00113EAB"/>
    <w:rsid w:val="0011475B"/>
    <w:rsid w:val="00114A0F"/>
    <w:rsid w:val="00115605"/>
    <w:rsid w:val="00115987"/>
    <w:rsid w:val="00115E61"/>
    <w:rsid w:val="00117422"/>
    <w:rsid w:val="00117599"/>
    <w:rsid w:val="0011798D"/>
    <w:rsid w:val="00117AAE"/>
    <w:rsid w:val="00117AE7"/>
    <w:rsid w:val="00117B1C"/>
    <w:rsid w:val="001204AC"/>
    <w:rsid w:val="00120B6D"/>
    <w:rsid w:val="00120E5D"/>
    <w:rsid w:val="0012204C"/>
    <w:rsid w:val="00122119"/>
    <w:rsid w:val="00122181"/>
    <w:rsid w:val="00122FEB"/>
    <w:rsid w:val="001232A5"/>
    <w:rsid w:val="00123D96"/>
    <w:rsid w:val="00123FFA"/>
    <w:rsid w:val="00124375"/>
    <w:rsid w:val="00124E3B"/>
    <w:rsid w:val="001251AB"/>
    <w:rsid w:val="001251BA"/>
    <w:rsid w:val="00125524"/>
    <w:rsid w:val="0012586E"/>
    <w:rsid w:val="00126565"/>
    <w:rsid w:val="001268B0"/>
    <w:rsid w:val="00126F8B"/>
    <w:rsid w:val="0012741E"/>
    <w:rsid w:val="001307DD"/>
    <w:rsid w:val="00130E8F"/>
    <w:rsid w:val="0013194B"/>
    <w:rsid w:val="00131EC9"/>
    <w:rsid w:val="00132B88"/>
    <w:rsid w:val="00133714"/>
    <w:rsid w:val="00133ED9"/>
    <w:rsid w:val="00134826"/>
    <w:rsid w:val="0013518F"/>
    <w:rsid w:val="00136F13"/>
    <w:rsid w:val="00137C01"/>
    <w:rsid w:val="00141DB6"/>
    <w:rsid w:val="00142222"/>
    <w:rsid w:val="00142305"/>
    <w:rsid w:val="001423CB"/>
    <w:rsid w:val="00142A16"/>
    <w:rsid w:val="00142BB9"/>
    <w:rsid w:val="00143BBB"/>
    <w:rsid w:val="00144107"/>
    <w:rsid w:val="001441EC"/>
    <w:rsid w:val="0014424E"/>
    <w:rsid w:val="00144976"/>
    <w:rsid w:val="00144E3A"/>
    <w:rsid w:val="001458D6"/>
    <w:rsid w:val="001477EC"/>
    <w:rsid w:val="00147C05"/>
    <w:rsid w:val="00147D1E"/>
    <w:rsid w:val="00150845"/>
    <w:rsid w:val="00150A48"/>
    <w:rsid w:val="001510AE"/>
    <w:rsid w:val="00151967"/>
    <w:rsid w:val="00151F62"/>
    <w:rsid w:val="001522CA"/>
    <w:rsid w:val="001526EF"/>
    <w:rsid w:val="00152AB2"/>
    <w:rsid w:val="00152D4B"/>
    <w:rsid w:val="00153DFB"/>
    <w:rsid w:val="0015458E"/>
    <w:rsid w:val="001549D2"/>
    <w:rsid w:val="00154AEE"/>
    <w:rsid w:val="0015508F"/>
    <w:rsid w:val="001555D7"/>
    <w:rsid w:val="0015596A"/>
    <w:rsid w:val="00155F41"/>
    <w:rsid w:val="001561B9"/>
    <w:rsid w:val="00157A39"/>
    <w:rsid w:val="00157BAD"/>
    <w:rsid w:val="0016048E"/>
    <w:rsid w:val="0016085C"/>
    <w:rsid w:val="00161A38"/>
    <w:rsid w:val="00161DAC"/>
    <w:rsid w:val="001634EF"/>
    <w:rsid w:val="00163682"/>
    <w:rsid w:val="00163B00"/>
    <w:rsid w:val="00163E0C"/>
    <w:rsid w:val="001641F2"/>
    <w:rsid w:val="00164273"/>
    <w:rsid w:val="001647B2"/>
    <w:rsid w:val="001653AC"/>
    <w:rsid w:val="00166567"/>
    <w:rsid w:val="00167280"/>
    <w:rsid w:val="00167436"/>
    <w:rsid w:val="001708B1"/>
    <w:rsid w:val="001718CE"/>
    <w:rsid w:val="00171946"/>
    <w:rsid w:val="00172566"/>
    <w:rsid w:val="001726F2"/>
    <w:rsid w:val="00172B86"/>
    <w:rsid w:val="00172F47"/>
    <w:rsid w:val="00173B18"/>
    <w:rsid w:val="00173EE4"/>
    <w:rsid w:val="001749F8"/>
    <w:rsid w:val="00174CA8"/>
    <w:rsid w:val="0017599B"/>
    <w:rsid w:val="0017700F"/>
    <w:rsid w:val="001804BB"/>
    <w:rsid w:val="00180ECE"/>
    <w:rsid w:val="00181458"/>
    <w:rsid w:val="0018199D"/>
    <w:rsid w:val="00182110"/>
    <w:rsid w:val="0018237B"/>
    <w:rsid w:val="00182797"/>
    <w:rsid w:val="001830E0"/>
    <w:rsid w:val="001836E3"/>
    <w:rsid w:val="0018385C"/>
    <w:rsid w:val="001838BE"/>
    <w:rsid w:val="00185442"/>
    <w:rsid w:val="0018587A"/>
    <w:rsid w:val="001861BE"/>
    <w:rsid w:val="0018645E"/>
    <w:rsid w:val="00186AFF"/>
    <w:rsid w:val="001871D2"/>
    <w:rsid w:val="00187341"/>
    <w:rsid w:val="00187EAF"/>
    <w:rsid w:val="00187FE8"/>
    <w:rsid w:val="001905FD"/>
    <w:rsid w:val="00190AEA"/>
    <w:rsid w:val="0019148A"/>
    <w:rsid w:val="0019150A"/>
    <w:rsid w:val="00191C9A"/>
    <w:rsid w:val="00192054"/>
    <w:rsid w:val="00192080"/>
    <w:rsid w:val="0019224F"/>
    <w:rsid w:val="0019379E"/>
    <w:rsid w:val="00193C9B"/>
    <w:rsid w:val="00193EFB"/>
    <w:rsid w:val="0019447E"/>
    <w:rsid w:val="00195B0D"/>
    <w:rsid w:val="00196A37"/>
    <w:rsid w:val="00196AF8"/>
    <w:rsid w:val="0019768D"/>
    <w:rsid w:val="001A0AD7"/>
    <w:rsid w:val="001A27DB"/>
    <w:rsid w:val="001A2803"/>
    <w:rsid w:val="001A2B40"/>
    <w:rsid w:val="001A34F8"/>
    <w:rsid w:val="001A3755"/>
    <w:rsid w:val="001A3C19"/>
    <w:rsid w:val="001A40D1"/>
    <w:rsid w:val="001A4226"/>
    <w:rsid w:val="001A53C4"/>
    <w:rsid w:val="001A6833"/>
    <w:rsid w:val="001A7287"/>
    <w:rsid w:val="001B0A01"/>
    <w:rsid w:val="001B1369"/>
    <w:rsid w:val="001B1A59"/>
    <w:rsid w:val="001B232C"/>
    <w:rsid w:val="001B29AC"/>
    <w:rsid w:val="001B349B"/>
    <w:rsid w:val="001B37EE"/>
    <w:rsid w:val="001B3B9A"/>
    <w:rsid w:val="001B47F9"/>
    <w:rsid w:val="001B4CA9"/>
    <w:rsid w:val="001B4E36"/>
    <w:rsid w:val="001B51DF"/>
    <w:rsid w:val="001B5362"/>
    <w:rsid w:val="001B5430"/>
    <w:rsid w:val="001B5623"/>
    <w:rsid w:val="001B648C"/>
    <w:rsid w:val="001B7928"/>
    <w:rsid w:val="001B7DE5"/>
    <w:rsid w:val="001C099A"/>
    <w:rsid w:val="001C13AE"/>
    <w:rsid w:val="001C1815"/>
    <w:rsid w:val="001C1D1B"/>
    <w:rsid w:val="001C27CC"/>
    <w:rsid w:val="001C27DF"/>
    <w:rsid w:val="001C34F0"/>
    <w:rsid w:val="001C4DF7"/>
    <w:rsid w:val="001C5086"/>
    <w:rsid w:val="001C514A"/>
    <w:rsid w:val="001C5953"/>
    <w:rsid w:val="001C76C7"/>
    <w:rsid w:val="001C7BDD"/>
    <w:rsid w:val="001C7BF1"/>
    <w:rsid w:val="001D00CB"/>
    <w:rsid w:val="001D0637"/>
    <w:rsid w:val="001D16C0"/>
    <w:rsid w:val="001D17D7"/>
    <w:rsid w:val="001D182F"/>
    <w:rsid w:val="001D1C1B"/>
    <w:rsid w:val="001D1C37"/>
    <w:rsid w:val="001D217E"/>
    <w:rsid w:val="001D2565"/>
    <w:rsid w:val="001D28F3"/>
    <w:rsid w:val="001D360F"/>
    <w:rsid w:val="001D4537"/>
    <w:rsid w:val="001D4897"/>
    <w:rsid w:val="001D4940"/>
    <w:rsid w:val="001D4C51"/>
    <w:rsid w:val="001D560B"/>
    <w:rsid w:val="001D5684"/>
    <w:rsid w:val="001D6532"/>
    <w:rsid w:val="001D6581"/>
    <w:rsid w:val="001D721C"/>
    <w:rsid w:val="001D796A"/>
    <w:rsid w:val="001E0826"/>
    <w:rsid w:val="001E097D"/>
    <w:rsid w:val="001E12D9"/>
    <w:rsid w:val="001E1F87"/>
    <w:rsid w:val="001E2548"/>
    <w:rsid w:val="001E30B4"/>
    <w:rsid w:val="001E3997"/>
    <w:rsid w:val="001E41AD"/>
    <w:rsid w:val="001E446D"/>
    <w:rsid w:val="001E47C3"/>
    <w:rsid w:val="001E4C65"/>
    <w:rsid w:val="001E5310"/>
    <w:rsid w:val="001E58AD"/>
    <w:rsid w:val="001E5997"/>
    <w:rsid w:val="001E5BBF"/>
    <w:rsid w:val="001E5D3D"/>
    <w:rsid w:val="001E5E19"/>
    <w:rsid w:val="001E66B1"/>
    <w:rsid w:val="001E7B32"/>
    <w:rsid w:val="001E7EE0"/>
    <w:rsid w:val="001E7EF7"/>
    <w:rsid w:val="001F004F"/>
    <w:rsid w:val="001F0357"/>
    <w:rsid w:val="001F1113"/>
    <w:rsid w:val="001F2B80"/>
    <w:rsid w:val="001F3B66"/>
    <w:rsid w:val="001F43E8"/>
    <w:rsid w:val="001F479B"/>
    <w:rsid w:val="001F56EA"/>
    <w:rsid w:val="001F5988"/>
    <w:rsid w:val="001F5A64"/>
    <w:rsid w:val="001F5DFD"/>
    <w:rsid w:val="001F72F6"/>
    <w:rsid w:val="001F76AE"/>
    <w:rsid w:val="00200299"/>
    <w:rsid w:val="002004EF"/>
    <w:rsid w:val="00201332"/>
    <w:rsid w:val="00201A9D"/>
    <w:rsid w:val="00201CFA"/>
    <w:rsid w:val="002020D6"/>
    <w:rsid w:val="00202BA4"/>
    <w:rsid w:val="00202EAF"/>
    <w:rsid w:val="00202F73"/>
    <w:rsid w:val="00204977"/>
    <w:rsid w:val="00204B93"/>
    <w:rsid w:val="0020502D"/>
    <w:rsid w:val="002060B4"/>
    <w:rsid w:val="002060DE"/>
    <w:rsid w:val="00210B46"/>
    <w:rsid w:val="00211FD3"/>
    <w:rsid w:val="002135D4"/>
    <w:rsid w:val="00213A02"/>
    <w:rsid w:val="00213DFF"/>
    <w:rsid w:val="00214639"/>
    <w:rsid w:val="00214A69"/>
    <w:rsid w:val="00214B1F"/>
    <w:rsid w:val="0021580B"/>
    <w:rsid w:val="00215FAE"/>
    <w:rsid w:val="002166D7"/>
    <w:rsid w:val="00216DD1"/>
    <w:rsid w:val="00216E2C"/>
    <w:rsid w:val="00217509"/>
    <w:rsid w:val="00220A87"/>
    <w:rsid w:val="00220DF4"/>
    <w:rsid w:val="00221FD5"/>
    <w:rsid w:val="00222A74"/>
    <w:rsid w:val="002233A2"/>
    <w:rsid w:val="002242C6"/>
    <w:rsid w:val="002242D2"/>
    <w:rsid w:val="00224D6C"/>
    <w:rsid w:val="002257EC"/>
    <w:rsid w:val="00225E40"/>
    <w:rsid w:val="002264BD"/>
    <w:rsid w:val="00226939"/>
    <w:rsid w:val="00227665"/>
    <w:rsid w:val="00230176"/>
    <w:rsid w:val="00231167"/>
    <w:rsid w:val="00232182"/>
    <w:rsid w:val="002326E1"/>
    <w:rsid w:val="002329F1"/>
    <w:rsid w:val="00232B78"/>
    <w:rsid w:val="00233A56"/>
    <w:rsid w:val="00233F57"/>
    <w:rsid w:val="002340E8"/>
    <w:rsid w:val="0023469A"/>
    <w:rsid w:val="00234D07"/>
    <w:rsid w:val="0023544A"/>
    <w:rsid w:val="0023551A"/>
    <w:rsid w:val="00235B37"/>
    <w:rsid w:val="002367AE"/>
    <w:rsid w:val="00236A3E"/>
    <w:rsid w:val="00236FA1"/>
    <w:rsid w:val="0024029A"/>
    <w:rsid w:val="00240CDD"/>
    <w:rsid w:val="002414E4"/>
    <w:rsid w:val="00241545"/>
    <w:rsid w:val="00241C14"/>
    <w:rsid w:val="00243704"/>
    <w:rsid w:val="00243A0A"/>
    <w:rsid w:val="00245013"/>
    <w:rsid w:val="002468CD"/>
    <w:rsid w:val="00246B5C"/>
    <w:rsid w:val="00247423"/>
    <w:rsid w:val="0025052C"/>
    <w:rsid w:val="00250CA4"/>
    <w:rsid w:val="002511FA"/>
    <w:rsid w:val="002517D2"/>
    <w:rsid w:val="002526D6"/>
    <w:rsid w:val="002527B0"/>
    <w:rsid w:val="00252B1B"/>
    <w:rsid w:val="00252BDA"/>
    <w:rsid w:val="00252F88"/>
    <w:rsid w:val="00253883"/>
    <w:rsid w:val="002540ED"/>
    <w:rsid w:val="0025463D"/>
    <w:rsid w:val="002553B4"/>
    <w:rsid w:val="002561F5"/>
    <w:rsid w:val="002564AD"/>
    <w:rsid w:val="00256723"/>
    <w:rsid w:val="00256EDF"/>
    <w:rsid w:val="002579CA"/>
    <w:rsid w:val="00257CDE"/>
    <w:rsid w:val="00257D34"/>
    <w:rsid w:val="00260067"/>
    <w:rsid w:val="00261AB1"/>
    <w:rsid w:val="002620AB"/>
    <w:rsid w:val="002624E2"/>
    <w:rsid w:val="002628B8"/>
    <w:rsid w:val="00263085"/>
    <w:rsid w:val="002631B0"/>
    <w:rsid w:val="00263564"/>
    <w:rsid w:val="00264E25"/>
    <w:rsid w:val="00264ECE"/>
    <w:rsid w:val="0026533E"/>
    <w:rsid w:val="00265545"/>
    <w:rsid w:val="00265595"/>
    <w:rsid w:val="002656AF"/>
    <w:rsid w:val="00265750"/>
    <w:rsid w:val="00265958"/>
    <w:rsid w:val="002659B6"/>
    <w:rsid w:val="00265DA2"/>
    <w:rsid w:val="00266215"/>
    <w:rsid w:val="00266AEE"/>
    <w:rsid w:val="0026789C"/>
    <w:rsid w:val="00270424"/>
    <w:rsid w:val="00270F66"/>
    <w:rsid w:val="00273525"/>
    <w:rsid w:val="00274C48"/>
    <w:rsid w:val="002765D3"/>
    <w:rsid w:val="002773B3"/>
    <w:rsid w:val="002774B6"/>
    <w:rsid w:val="002775EB"/>
    <w:rsid w:val="00277A9A"/>
    <w:rsid w:val="00277D92"/>
    <w:rsid w:val="00280220"/>
    <w:rsid w:val="002809AB"/>
    <w:rsid w:val="00280BBF"/>
    <w:rsid w:val="00280C60"/>
    <w:rsid w:val="0028139E"/>
    <w:rsid w:val="002819E0"/>
    <w:rsid w:val="00281FA1"/>
    <w:rsid w:val="0028200B"/>
    <w:rsid w:val="002830BC"/>
    <w:rsid w:val="00283F31"/>
    <w:rsid w:val="00284300"/>
    <w:rsid w:val="002854C9"/>
    <w:rsid w:val="00285772"/>
    <w:rsid w:val="00285F35"/>
    <w:rsid w:val="002902F5"/>
    <w:rsid w:val="0029063E"/>
    <w:rsid w:val="00290E40"/>
    <w:rsid w:val="00290E91"/>
    <w:rsid w:val="00292FD2"/>
    <w:rsid w:val="00293042"/>
    <w:rsid w:val="00294AE6"/>
    <w:rsid w:val="00295582"/>
    <w:rsid w:val="0029562F"/>
    <w:rsid w:val="00296893"/>
    <w:rsid w:val="002973F7"/>
    <w:rsid w:val="0029744E"/>
    <w:rsid w:val="00297C84"/>
    <w:rsid w:val="00297D7E"/>
    <w:rsid w:val="002A091D"/>
    <w:rsid w:val="002A0D99"/>
    <w:rsid w:val="002A12F3"/>
    <w:rsid w:val="002A1DC6"/>
    <w:rsid w:val="002A1DDD"/>
    <w:rsid w:val="002A285F"/>
    <w:rsid w:val="002A2A93"/>
    <w:rsid w:val="002A321C"/>
    <w:rsid w:val="002A3964"/>
    <w:rsid w:val="002A4393"/>
    <w:rsid w:val="002A441F"/>
    <w:rsid w:val="002A612A"/>
    <w:rsid w:val="002A65E3"/>
    <w:rsid w:val="002A72DD"/>
    <w:rsid w:val="002A73F4"/>
    <w:rsid w:val="002A75C6"/>
    <w:rsid w:val="002A79B2"/>
    <w:rsid w:val="002B087C"/>
    <w:rsid w:val="002B2434"/>
    <w:rsid w:val="002B24EB"/>
    <w:rsid w:val="002B2927"/>
    <w:rsid w:val="002B2B4A"/>
    <w:rsid w:val="002B3ED8"/>
    <w:rsid w:val="002B472E"/>
    <w:rsid w:val="002B4BD6"/>
    <w:rsid w:val="002B4C13"/>
    <w:rsid w:val="002B579F"/>
    <w:rsid w:val="002B58F2"/>
    <w:rsid w:val="002B5FEB"/>
    <w:rsid w:val="002B6333"/>
    <w:rsid w:val="002B6431"/>
    <w:rsid w:val="002B6A17"/>
    <w:rsid w:val="002B6A4D"/>
    <w:rsid w:val="002B6B10"/>
    <w:rsid w:val="002B6C18"/>
    <w:rsid w:val="002B6C35"/>
    <w:rsid w:val="002B73D1"/>
    <w:rsid w:val="002B7910"/>
    <w:rsid w:val="002B7E24"/>
    <w:rsid w:val="002C08EA"/>
    <w:rsid w:val="002C0C20"/>
    <w:rsid w:val="002C1B4B"/>
    <w:rsid w:val="002C2821"/>
    <w:rsid w:val="002C2F51"/>
    <w:rsid w:val="002C3514"/>
    <w:rsid w:val="002C4809"/>
    <w:rsid w:val="002C4E44"/>
    <w:rsid w:val="002C58DA"/>
    <w:rsid w:val="002C663C"/>
    <w:rsid w:val="002C77EA"/>
    <w:rsid w:val="002D0AF7"/>
    <w:rsid w:val="002D1703"/>
    <w:rsid w:val="002D1888"/>
    <w:rsid w:val="002D2009"/>
    <w:rsid w:val="002D25A5"/>
    <w:rsid w:val="002D286A"/>
    <w:rsid w:val="002D2D5D"/>
    <w:rsid w:val="002D461D"/>
    <w:rsid w:val="002D4992"/>
    <w:rsid w:val="002D5704"/>
    <w:rsid w:val="002D62A4"/>
    <w:rsid w:val="002D6B06"/>
    <w:rsid w:val="002D7161"/>
    <w:rsid w:val="002D7371"/>
    <w:rsid w:val="002D7ABA"/>
    <w:rsid w:val="002D7B1A"/>
    <w:rsid w:val="002E1C13"/>
    <w:rsid w:val="002E1FCC"/>
    <w:rsid w:val="002E2BF6"/>
    <w:rsid w:val="002E3467"/>
    <w:rsid w:val="002E36BF"/>
    <w:rsid w:val="002E3EDE"/>
    <w:rsid w:val="002E408C"/>
    <w:rsid w:val="002E40EE"/>
    <w:rsid w:val="002E595C"/>
    <w:rsid w:val="002E5DAF"/>
    <w:rsid w:val="002E5EA1"/>
    <w:rsid w:val="002E6604"/>
    <w:rsid w:val="002E717B"/>
    <w:rsid w:val="002E7539"/>
    <w:rsid w:val="002F0D0A"/>
    <w:rsid w:val="002F21C1"/>
    <w:rsid w:val="002F28D9"/>
    <w:rsid w:val="002F296C"/>
    <w:rsid w:val="002F2E97"/>
    <w:rsid w:val="002F3686"/>
    <w:rsid w:val="002F38D4"/>
    <w:rsid w:val="002F4014"/>
    <w:rsid w:val="002F48A7"/>
    <w:rsid w:val="002F49B5"/>
    <w:rsid w:val="002F5204"/>
    <w:rsid w:val="002F5770"/>
    <w:rsid w:val="002F5877"/>
    <w:rsid w:val="002F5899"/>
    <w:rsid w:val="002F6708"/>
    <w:rsid w:val="002F6CBA"/>
    <w:rsid w:val="002F7459"/>
    <w:rsid w:val="002F780F"/>
    <w:rsid w:val="002F7CAC"/>
    <w:rsid w:val="003001D5"/>
    <w:rsid w:val="0030024B"/>
    <w:rsid w:val="00301AEC"/>
    <w:rsid w:val="00301EF5"/>
    <w:rsid w:val="003022F2"/>
    <w:rsid w:val="00302A8C"/>
    <w:rsid w:val="00302BBF"/>
    <w:rsid w:val="00303E99"/>
    <w:rsid w:val="00303F13"/>
    <w:rsid w:val="003059A2"/>
    <w:rsid w:val="00306716"/>
    <w:rsid w:val="00306C6A"/>
    <w:rsid w:val="00307901"/>
    <w:rsid w:val="00307A34"/>
    <w:rsid w:val="0031054D"/>
    <w:rsid w:val="00310789"/>
    <w:rsid w:val="00310D4D"/>
    <w:rsid w:val="003112D2"/>
    <w:rsid w:val="003113A2"/>
    <w:rsid w:val="00311D72"/>
    <w:rsid w:val="003123B4"/>
    <w:rsid w:val="003125EA"/>
    <w:rsid w:val="00313961"/>
    <w:rsid w:val="00315020"/>
    <w:rsid w:val="00315210"/>
    <w:rsid w:val="0031590B"/>
    <w:rsid w:val="00315912"/>
    <w:rsid w:val="00315B8F"/>
    <w:rsid w:val="00315EE2"/>
    <w:rsid w:val="003160C9"/>
    <w:rsid w:val="00317063"/>
    <w:rsid w:val="00317C62"/>
    <w:rsid w:val="00317D09"/>
    <w:rsid w:val="00317F5B"/>
    <w:rsid w:val="0032090A"/>
    <w:rsid w:val="00321A8E"/>
    <w:rsid w:val="003238D2"/>
    <w:rsid w:val="00324BC3"/>
    <w:rsid w:val="00325168"/>
    <w:rsid w:val="0032558B"/>
    <w:rsid w:val="00325B70"/>
    <w:rsid w:val="003261B5"/>
    <w:rsid w:val="00326BA8"/>
    <w:rsid w:val="003270C1"/>
    <w:rsid w:val="00327592"/>
    <w:rsid w:val="0032783D"/>
    <w:rsid w:val="0033023F"/>
    <w:rsid w:val="00330268"/>
    <w:rsid w:val="00330A17"/>
    <w:rsid w:val="0033103F"/>
    <w:rsid w:val="00331152"/>
    <w:rsid w:val="003320A6"/>
    <w:rsid w:val="00332A84"/>
    <w:rsid w:val="00334403"/>
    <w:rsid w:val="0033578C"/>
    <w:rsid w:val="00335B3B"/>
    <w:rsid w:val="00335C39"/>
    <w:rsid w:val="00335DAE"/>
    <w:rsid w:val="0033635F"/>
    <w:rsid w:val="00336B7F"/>
    <w:rsid w:val="00337723"/>
    <w:rsid w:val="00337813"/>
    <w:rsid w:val="00337FC9"/>
    <w:rsid w:val="003406BA"/>
    <w:rsid w:val="00340856"/>
    <w:rsid w:val="00340A2D"/>
    <w:rsid w:val="00340A57"/>
    <w:rsid w:val="003414A6"/>
    <w:rsid w:val="00341D2E"/>
    <w:rsid w:val="0034239F"/>
    <w:rsid w:val="00342EC1"/>
    <w:rsid w:val="003430CD"/>
    <w:rsid w:val="003434F0"/>
    <w:rsid w:val="00343A15"/>
    <w:rsid w:val="00344526"/>
    <w:rsid w:val="00344CD5"/>
    <w:rsid w:val="003460A8"/>
    <w:rsid w:val="003469DF"/>
    <w:rsid w:val="00346EBD"/>
    <w:rsid w:val="0034740D"/>
    <w:rsid w:val="00347761"/>
    <w:rsid w:val="003479C2"/>
    <w:rsid w:val="00350AAD"/>
    <w:rsid w:val="00350E34"/>
    <w:rsid w:val="0035102C"/>
    <w:rsid w:val="003516AB"/>
    <w:rsid w:val="00351824"/>
    <w:rsid w:val="00351D9C"/>
    <w:rsid w:val="003524C5"/>
    <w:rsid w:val="00352B17"/>
    <w:rsid w:val="00352CB6"/>
    <w:rsid w:val="00352FC0"/>
    <w:rsid w:val="00353294"/>
    <w:rsid w:val="00353C9B"/>
    <w:rsid w:val="00354B2F"/>
    <w:rsid w:val="00354D5A"/>
    <w:rsid w:val="003558FA"/>
    <w:rsid w:val="00356A37"/>
    <w:rsid w:val="00357AF2"/>
    <w:rsid w:val="00357BAB"/>
    <w:rsid w:val="00360484"/>
    <w:rsid w:val="00361A08"/>
    <w:rsid w:val="00361EB1"/>
    <w:rsid w:val="0036230B"/>
    <w:rsid w:val="003627E8"/>
    <w:rsid w:val="00362A59"/>
    <w:rsid w:val="00362DFD"/>
    <w:rsid w:val="003632E3"/>
    <w:rsid w:val="0036378A"/>
    <w:rsid w:val="003637B1"/>
    <w:rsid w:val="0036411C"/>
    <w:rsid w:val="0036525C"/>
    <w:rsid w:val="003664BB"/>
    <w:rsid w:val="003672D9"/>
    <w:rsid w:val="003677DF"/>
    <w:rsid w:val="003700A5"/>
    <w:rsid w:val="00370CEE"/>
    <w:rsid w:val="0037176F"/>
    <w:rsid w:val="00372868"/>
    <w:rsid w:val="00372C0E"/>
    <w:rsid w:val="003730A2"/>
    <w:rsid w:val="00373A10"/>
    <w:rsid w:val="0037428A"/>
    <w:rsid w:val="00374A8F"/>
    <w:rsid w:val="00374BF9"/>
    <w:rsid w:val="00374ED7"/>
    <w:rsid w:val="00375AC7"/>
    <w:rsid w:val="00375B0A"/>
    <w:rsid w:val="00375F32"/>
    <w:rsid w:val="00377099"/>
    <w:rsid w:val="003772D1"/>
    <w:rsid w:val="003773A5"/>
    <w:rsid w:val="00377954"/>
    <w:rsid w:val="00377DBC"/>
    <w:rsid w:val="00380DBB"/>
    <w:rsid w:val="00381EDE"/>
    <w:rsid w:val="003828CB"/>
    <w:rsid w:val="00383592"/>
    <w:rsid w:val="003839A3"/>
    <w:rsid w:val="00384209"/>
    <w:rsid w:val="0038466D"/>
    <w:rsid w:val="00384A38"/>
    <w:rsid w:val="00384D12"/>
    <w:rsid w:val="00385138"/>
    <w:rsid w:val="003861B0"/>
    <w:rsid w:val="00386245"/>
    <w:rsid w:val="00386788"/>
    <w:rsid w:val="003874CC"/>
    <w:rsid w:val="003878F2"/>
    <w:rsid w:val="0039051B"/>
    <w:rsid w:val="00390FD9"/>
    <w:rsid w:val="003915B0"/>
    <w:rsid w:val="003917E2"/>
    <w:rsid w:val="003918D2"/>
    <w:rsid w:val="00391C7A"/>
    <w:rsid w:val="00391D93"/>
    <w:rsid w:val="0039234F"/>
    <w:rsid w:val="00392459"/>
    <w:rsid w:val="00393C69"/>
    <w:rsid w:val="003947FD"/>
    <w:rsid w:val="00394F0B"/>
    <w:rsid w:val="00397336"/>
    <w:rsid w:val="00397CD5"/>
    <w:rsid w:val="00397DF6"/>
    <w:rsid w:val="00397FDB"/>
    <w:rsid w:val="00397FE2"/>
    <w:rsid w:val="003A0064"/>
    <w:rsid w:val="003A02EB"/>
    <w:rsid w:val="003A1435"/>
    <w:rsid w:val="003A145D"/>
    <w:rsid w:val="003A1698"/>
    <w:rsid w:val="003A1A92"/>
    <w:rsid w:val="003A1F5B"/>
    <w:rsid w:val="003A257A"/>
    <w:rsid w:val="003A2662"/>
    <w:rsid w:val="003A2833"/>
    <w:rsid w:val="003A28C9"/>
    <w:rsid w:val="003A2F83"/>
    <w:rsid w:val="003A3203"/>
    <w:rsid w:val="003A3BB5"/>
    <w:rsid w:val="003A3C1D"/>
    <w:rsid w:val="003A4645"/>
    <w:rsid w:val="003A4937"/>
    <w:rsid w:val="003A4C61"/>
    <w:rsid w:val="003A51DF"/>
    <w:rsid w:val="003A540F"/>
    <w:rsid w:val="003A54C8"/>
    <w:rsid w:val="003A558B"/>
    <w:rsid w:val="003A56D5"/>
    <w:rsid w:val="003A5E3E"/>
    <w:rsid w:val="003A6267"/>
    <w:rsid w:val="003A7404"/>
    <w:rsid w:val="003A7BFD"/>
    <w:rsid w:val="003B07A2"/>
    <w:rsid w:val="003B13D6"/>
    <w:rsid w:val="003B1447"/>
    <w:rsid w:val="003B17A4"/>
    <w:rsid w:val="003B21A8"/>
    <w:rsid w:val="003B2F27"/>
    <w:rsid w:val="003B3251"/>
    <w:rsid w:val="003B32A3"/>
    <w:rsid w:val="003B3C65"/>
    <w:rsid w:val="003B417A"/>
    <w:rsid w:val="003B47BB"/>
    <w:rsid w:val="003B49B9"/>
    <w:rsid w:val="003B5A4A"/>
    <w:rsid w:val="003B66C6"/>
    <w:rsid w:val="003B67BB"/>
    <w:rsid w:val="003B7F9F"/>
    <w:rsid w:val="003C0CF1"/>
    <w:rsid w:val="003C1441"/>
    <w:rsid w:val="003C1574"/>
    <w:rsid w:val="003C1812"/>
    <w:rsid w:val="003C1E10"/>
    <w:rsid w:val="003C200B"/>
    <w:rsid w:val="003C248B"/>
    <w:rsid w:val="003C3AEC"/>
    <w:rsid w:val="003C3F43"/>
    <w:rsid w:val="003C3F72"/>
    <w:rsid w:val="003C44CB"/>
    <w:rsid w:val="003C6AE4"/>
    <w:rsid w:val="003C6DD3"/>
    <w:rsid w:val="003C732B"/>
    <w:rsid w:val="003C7E20"/>
    <w:rsid w:val="003D0955"/>
    <w:rsid w:val="003D0997"/>
    <w:rsid w:val="003D0A1A"/>
    <w:rsid w:val="003D1305"/>
    <w:rsid w:val="003D181D"/>
    <w:rsid w:val="003D1C7B"/>
    <w:rsid w:val="003D24D1"/>
    <w:rsid w:val="003D261E"/>
    <w:rsid w:val="003D29A3"/>
    <w:rsid w:val="003D2AC1"/>
    <w:rsid w:val="003D2F9F"/>
    <w:rsid w:val="003D4E73"/>
    <w:rsid w:val="003D51F9"/>
    <w:rsid w:val="003D5531"/>
    <w:rsid w:val="003E011B"/>
    <w:rsid w:val="003E03AC"/>
    <w:rsid w:val="003E0477"/>
    <w:rsid w:val="003E0678"/>
    <w:rsid w:val="003E0A8B"/>
    <w:rsid w:val="003E0AE4"/>
    <w:rsid w:val="003E0FBF"/>
    <w:rsid w:val="003E184D"/>
    <w:rsid w:val="003E184F"/>
    <w:rsid w:val="003E188E"/>
    <w:rsid w:val="003E1DB1"/>
    <w:rsid w:val="003E1E1E"/>
    <w:rsid w:val="003E23F9"/>
    <w:rsid w:val="003E2441"/>
    <w:rsid w:val="003E2B90"/>
    <w:rsid w:val="003E30DE"/>
    <w:rsid w:val="003E3A83"/>
    <w:rsid w:val="003E45D5"/>
    <w:rsid w:val="003E49EC"/>
    <w:rsid w:val="003E4AAB"/>
    <w:rsid w:val="003E57B2"/>
    <w:rsid w:val="003E5BA1"/>
    <w:rsid w:val="003E67A1"/>
    <w:rsid w:val="003E7906"/>
    <w:rsid w:val="003F0FDB"/>
    <w:rsid w:val="003F18F7"/>
    <w:rsid w:val="003F2679"/>
    <w:rsid w:val="003F3634"/>
    <w:rsid w:val="003F3AC5"/>
    <w:rsid w:val="003F3B58"/>
    <w:rsid w:val="003F4685"/>
    <w:rsid w:val="003F4BA4"/>
    <w:rsid w:val="003F59A7"/>
    <w:rsid w:val="003F618C"/>
    <w:rsid w:val="003F6C97"/>
    <w:rsid w:val="003F711C"/>
    <w:rsid w:val="003F794D"/>
    <w:rsid w:val="003F795C"/>
    <w:rsid w:val="003F7C88"/>
    <w:rsid w:val="00400715"/>
    <w:rsid w:val="004009DE"/>
    <w:rsid w:val="004015F1"/>
    <w:rsid w:val="00401BB2"/>
    <w:rsid w:val="00401E14"/>
    <w:rsid w:val="0040300D"/>
    <w:rsid w:val="004034D0"/>
    <w:rsid w:val="00403904"/>
    <w:rsid w:val="00403E4E"/>
    <w:rsid w:val="00403FBB"/>
    <w:rsid w:val="00404AD8"/>
    <w:rsid w:val="00405211"/>
    <w:rsid w:val="004052FD"/>
    <w:rsid w:val="00405EBE"/>
    <w:rsid w:val="00406227"/>
    <w:rsid w:val="004064F7"/>
    <w:rsid w:val="004070EB"/>
    <w:rsid w:val="00407812"/>
    <w:rsid w:val="00411521"/>
    <w:rsid w:val="00411F59"/>
    <w:rsid w:val="004126F1"/>
    <w:rsid w:val="0041369A"/>
    <w:rsid w:val="0041375B"/>
    <w:rsid w:val="00413A50"/>
    <w:rsid w:val="00413B3B"/>
    <w:rsid w:val="0041558E"/>
    <w:rsid w:val="00415DDC"/>
    <w:rsid w:val="00415E23"/>
    <w:rsid w:val="00416AA0"/>
    <w:rsid w:val="004174CD"/>
    <w:rsid w:val="0042020A"/>
    <w:rsid w:val="0042103A"/>
    <w:rsid w:val="0042136A"/>
    <w:rsid w:val="00423057"/>
    <w:rsid w:val="0042329E"/>
    <w:rsid w:val="00423FC2"/>
    <w:rsid w:val="00424050"/>
    <w:rsid w:val="004246DB"/>
    <w:rsid w:val="00425DE1"/>
    <w:rsid w:val="00425F49"/>
    <w:rsid w:val="00427A09"/>
    <w:rsid w:val="00427E4D"/>
    <w:rsid w:val="0043004E"/>
    <w:rsid w:val="00430080"/>
    <w:rsid w:val="004300FB"/>
    <w:rsid w:val="00430373"/>
    <w:rsid w:val="004303C4"/>
    <w:rsid w:val="00430A8A"/>
    <w:rsid w:val="00431189"/>
    <w:rsid w:val="004316B6"/>
    <w:rsid w:val="00431C0B"/>
    <w:rsid w:val="004322AB"/>
    <w:rsid w:val="0043272D"/>
    <w:rsid w:val="00433306"/>
    <w:rsid w:val="0043353B"/>
    <w:rsid w:val="00433597"/>
    <w:rsid w:val="0043378D"/>
    <w:rsid w:val="00433969"/>
    <w:rsid w:val="00433D11"/>
    <w:rsid w:val="004348AE"/>
    <w:rsid w:val="00434B12"/>
    <w:rsid w:val="00435101"/>
    <w:rsid w:val="00435849"/>
    <w:rsid w:val="004361E5"/>
    <w:rsid w:val="00436BEF"/>
    <w:rsid w:val="0044014A"/>
    <w:rsid w:val="00441E04"/>
    <w:rsid w:val="0044208F"/>
    <w:rsid w:val="00442D07"/>
    <w:rsid w:val="00443225"/>
    <w:rsid w:val="00443AED"/>
    <w:rsid w:val="00443F41"/>
    <w:rsid w:val="0044423B"/>
    <w:rsid w:val="00444BB8"/>
    <w:rsid w:val="00445BCC"/>
    <w:rsid w:val="00447B24"/>
    <w:rsid w:val="00451CC8"/>
    <w:rsid w:val="00451E74"/>
    <w:rsid w:val="004520AA"/>
    <w:rsid w:val="00452B7C"/>
    <w:rsid w:val="00453686"/>
    <w:rsid w:val="004552F0"/>
    <w:rsid w:val="00455B37"/>
    <w:rsid w:val="0045739E"/>
    <w:rsid w:val="00460C40"/>
    <w:rsid w:val="00460DC5"/>
    <w:rsid w:val="00460E18"/>
    <w:rsid w:val="00461699"/>
    <w:rsid w:val="00461A71"/>
    <w:rsid w:val="00461FA5"/>
    <w:rsid w:val="00462081"/>
    <w:rsid w:val="00462193"/>
    <w:rsid w:val="00462394"/>
    <w:rsid w:val="00463A7F"/>
    <w:rsid w:val="00463B49"/>
    <w:rsid w:val="004652AC"/>
    <w:rsid w:val="0046570C"/>
    <w:rsid w:val="00465866"/>
    <w:rsid w:val="00465A5B"/>
    <w:rsid w:val="00465F27"/>
    <w:rsid w:val="0046677D"/>
    <w:rsid w:val="00466D18"/>
    <w:rsid w:val="00466E8A"/>
    <w:rsid w:val="00466F0D"/>
    <w:rsid w:val="0046712D"/>
    <w:rsid w:val="00467E66"/>
    <w:rsid w:val="00470D26"/>
    <w:rsid w:val="00470DAF"/>
    <w:rsid w:val="0047221C"/>
    <w:rsid w:val="00472600"/>
    <w:rsid w:val="00472B4A"/>
    <w:rsid w:val="00473618"/>
    <w:rsid w:val="00473D00"/>
    <w:rsid w:val="004742EC"/>
    <w:rsid w:val="00474B09"/>
    <w:rsid w:val="00474E5A"/>
    <w:rsid w:val="00474F5D"/>
    <w:rsid w:val="0047527F"/>
    <w:rsid w:val="00475773"/>
    <w:rsid w:val="00475C81"/>
    <w:rsid w:val="0047628A"/>
    <w:rsid w:val="00477736"/>
    <w:rsid w:val="00477EA3"/>
    <w:rsid w:val="00480CDF"/>
    <w:rsid w:val="004810E8"/>
    <w:rsid w:val="00481F7F"/>
    <w:rsid w:val="00485D6C"/>
    <w:rsid w:val="00485D8F"/>
    <w:rsid w:val="004868B7"/>
    <w:rsid w:val="00486C09"/>
    <w:rsid w:val="00487348"/>
    <w:rsid w:val="0048771D"/>
    <w:rsid w:val="0049008D"/>
    <w:rsid w:val="004901F1"/>
    <w:rsid w:val="0049066C"/>
    <w:rsid w:val="00490782"/>
    <w:rsid w:val="00490E9C"/>
    <w:rsid w:val="00490F2E"/>
    <w:rsid w:val="00491A97"/>
    <w:rsid w:val="00491AC2"/>
    <w:rsid w:val="00491CAF"/>
    <w:rsid w:val="00492186"/>
    <w:rsid w:val="00492301"/>
    <w:rsid w:val="00492FA0"/>
    <w:rsid w:val="00493BC0"/>
    <w:rsid w:val="00494550"/>
    <w:rsid w:val="00494B70"/>
    <w:rsid w:val="00494D0A"/>
    <w:rsid w:val="004954D3"/>
    <w:rsid w:val="00495880"/>
    <w:rsid w:val="00495B84"/>
    <w:rsid w:val="00495BD5"/>
    <w:rsid w:val="00495C2C"/>
    <w:rsid w:val="00495E81"/>
    <w:rsid w:val="00497B21"/>
    <w:rsid w:val="004A05D2"/>
    <w:rsid w:val="004A160E"/>
    <w:rsid w:val="004A1693"/>
    <w:rsid w:val="004A1F14"/>
    <w:rsid w:val="004A28E1"/>
    <w:rsid w:val="004A402B"/>
    <w:rsid w:val="004A513A"/>
    <w:rsid w:val="004A5CA0"/>
    <w:rsid w:val="004A61A9"/>
    <w:rsid w:val="004A6C7B"/>
    <w:rsid w:val="004A71BC"/>
    <w:rsid w:val="004A77BB"/>
    <w:rsid w:val="004B04ED"/>
    <w:rsid w:val="004B141C"/>
    <w:rsid w:val="004B17CF"/>
    <w:rsid w:val="004B2541"/>
    <w:rsid w:val="004B36B4"/>
    <w:rsid w:val="004B3714"/>
    <w:rsid w:val="004B494A"/>
    <w:rsid w:val="004B4B01"/>
    <w:rsid w:val="004B4DA6"/>
    <w:rsid w:val="004B5C58"/>
    <w:rsid w:val="004B5CD8"/>
    <w:rsid w:val="004B5D05"/>
    <w:rsid w:val="004B5DBC"/>
    <w:rsid w:val="004B5E25"/>
    <w:rsid w:val="004B6061"/>
    <w:rsid w:val="004B6378"/>
    <w:rsid w:val="004B665E"/>
    <w:rsid w:val="004B6E32"/>
    <w:rsid w:val="004B6F75"/>
    <w:rsid w:val="004B74F2"/>
    <w:rsid w:val="004B76A2"/>
    <w:rsid w:val="004B7F28"/>
    <w:rsid w:val="004C0419"/>
    <w:rsid w:val="004C0D25"/>
    <w:rsid w:val="004C1044"/>
    <w:rsid w:val="004C1D30"/>
    <w:rsid w:val="004C23CE"/>
    <w:rsid w:val="004C2413"/>
    <w:rsid w:val="004C332C"/>
    <w:rsid w:val="004C3648"/>
    <w:rsid w:val="004C3931"/>
    <w:rsid w:val="004C3BFE"/>
    <w:rsid w:val="004C3DFA"/>
    <w:rsid w:val="004C464C"/>
    <w:rsid w:val="004C477E"/>
    <w:rsid w:val="004C4ECA"/>
    <w:rsid w:val="004C539D"/>
    <w:rsid w:val="004C6601"/>
    <w:rsid w:val="004C6831"/>
    <w:rsid w:val="004C69D5"/>
    <w:rsid w:val="004C6F13"/>
    <w:rsid w:val="004C75AB"/>
    <w:rsid w:val="004D014C"/>
    <w:rsid w:val="004D0205"/>
    <w:rsid w:val="004D02F2"/>
    <w:rsid w:val="004D0449"/>
    <w:rsid w:val="004D073F"/>
    <w:rsid w:val="004D0865"/>
    <w:rsid w:val="004D18BF"/>
    <w:rsid w:val="004D2A6D"/>
    <w:rsid w:val="004D2A99"/>
    <w:rsid w:val="004D3569"/>
    <w:rsid w:val="004D5017"/>
    <w:rsid w:val="004D5AFF"/>
    <w:rsid w:val="004D5B14"/>
    <w:rsid w:val="004D5E61"/>
    <w:rsid w:val="004D64E7"/>
    <w:rsid w:val="004D79F3"/>
    <w:rsid w:val="004D7A12"/>
    <w:rsid w:val="004D7F5B"/>
    <w:rsid w:val="004E0569"/>
    <w:rsid w:val="004E0E57"/>
    <w:rsid w:val="004E147D"/>
    <w:rsid w:val="004E2874"/>
    <w:rsid w:val="004E2E77"/>
    <w:rsid w:val="004E3D48"/>
    <w:rsid w:val="004E3DFE"/>
    <w:rsid w:val="004E5083"/>
    <w:rsid w:val="004E5401"/>
    <w:rsid w:val="004E597C"/>
    <w:rsid w:val="004E5F88"/>
    <w:rsid w:val="004E71F8"/>
    <w:rsid w:val="004E722A"/>
    <w:rsid w:val="004E73F2"/>
    <w:rsid w:val="004E7910"/>
    <w:rsid w:val="004F0AD8"/>
    <w:rsid w:val="004F1204"/>
    <w:rsid w:val="004F1918"/>
    <w:rsid w:val="004F2D7A"/>
    <w:rsid w:val="004F2F8A"/>
    <w:rsid w:val="004F328D"/>
    <w:rsid w:val="004F35E2"/>
    <w:rsid w:val="004F516A"/>
    <w:rsid w:val="004F5A39"/>
    <w:rsid w:val="004F6976"/>
    <w:rsid w:val="004F7109"/>
    <w:rsid w:val="004F7610"/>
    <w:rsid w:val="004F769F"/>
    <w:rsid w:val="004F7B79"/>
    <w:rsid w:val="00500797"/>
    <w:rsid w:val="005008D2"/>
    <w:rsid w:val="00500B3C"/>
    <w:rsid w:val="005010B8"/>
    <w:rsid w:val="005010B9"/>
    <w:rsid w:val="00501CC5"/>
    <w:rsid w:val="00501D2D"/>
    <w:rsid w:val="00501E1B"/>
    <w:rsid w:val="00501F49"/>
    <w:rsid w:val="00502184"/>
    <w:rsid w:val="00502408"/>
    <w:rsid w:val="00502490"/>
    <w:rsid w:val="00502562"/>
    <w:rsid w:val="00502659"/>
    <w:rsid w:val="00502E8E"/>
    <w:rsid w:val="00503D2A"/>
    <w:rsid w:val="00504275"/>
    <w:rsid w:val="0050494A"/>
    <w:rsid w:val="00504C17"/>
    <w:rsid w:val="00504E5A"/>
    <w:rsid w:val="00506F7D"/>
    <w:rsid w:val="0050713E"/>
    <w:rsid w:val="0051057B"/>
    <w:rsid w:val="005110E2"/>
    <w:rsid w:val="00511938"/>
    <w:rsid w:val="005119A0"/>
    <w:rsid w:val="00511B15"/>
    <w:rsid w:val="00511DFB"/>
    <w:rsid w:val="00512431"/>
    <w:rsid w:val="00512AC6"/>
    <w:rsid w:val="00512EB7"/>
    <w:rsid w:val="00513407"/>
    <w:rsid w:val="00514B35"/>
    <w:rsid w:val="00514C68"/>
    <w:rsid w:val="005156B1"/>
    <w:rsid w:val="00516102"/>
    <w:rsid w:val="00520DF2"/>
    <w:rsid w:val="00521385"/>
    <w:rsid w:val="00521948"/>
    <w:rsid w:val="0052271D"/>
    <w:rsid w:val="00522B3C"/>
    <w:rsid w:val="00522D53"/>
    <w:rsid w:val="00522E26"/>
    <w:rsid w:val="0052431B"/>
    <w:rsid w:val="00524871"/>
    <w:rsid w:val="00524E36"/>
    <w:rsid w:val="00524E86"/>
    <w:rsid w:val="00525791"/>
    <w:rsid w:val="00525AB8"/>
    <w:rsid w:val="00525D34"/>
    <w:rsid w:val="005261D8"/>
    <w:rsid w:val="005262C3"/>
    <w:rsid w:val="0052634C"/>
    <w:rsid w:val="005272D6"/>
    <w:rsid w:val="0052768E"/>
    <w:rsid w:val="00527C4D"/>
    <w:rsid w:val="00530766"/>
    <w:rsid w:val="00530A12"/>
    <w:rsid w:val="00530D9A"/>
    <w:rsid w:val="00530ECB"/>
    <w:rsid w:val="00531168"/>
    <w:rsid w:val="00531A38"/>
    <w:rsid w:val="0053234E"/>
    <w:rsid w:val="005324EA"/>
    <w:rsid w:val="00533080"/>
    <w:rsid w:val="00533520"/>
    <w:rsid w:val="005335DE"/>
    <w:rsid w:val="00534E43"/>
    <w:rsid w:val="00535963"/>
    <w:rsid w:val="00536505"/>
    <w:rsid w:val="00536CC3"/>
    <w:rsid w:val="00536CD4"/>
    <w:rsid w:val="005376FE"/>
    <w:rsid w:val="00537B21"/>
    <w:rsid w:val="00537DA6"/>
    <w:rsid w:val="005402EE"/>
    <w:rsid w:val="005411B3"/>
    <w:rsid w:val="00541324"/>
    <w:rsid w:val="005415C1"/>
    <w:rsid w:val="0054172B"/>
    <w:rsid w:val="005417E7"/>
    <w:rsid w:val="00541DD8"/>
    <w:rsid w:val="00543E97"/>
    <w:rsid w:val="00544270"/>
    <w:rsid w:val="00545298"/>
    <w:rsid w:val="005454E8"/>
    <w:rsid w:val="00545AB6"/>
    <w:rsid w:val="00546036"/>
    <w:rsid w:val="005467C8"/>
    <w:rsid w:val="00550AA8"/>
    <w:rsid w:val="00551339"/>
    <w:rsid w:val="005515BD"/>
    <w:rsid w:val="00552EDF"/>
    <w:rsid w:val="005538D2"/>
    <w:rsid w:val="00554CE3"/>
    <w:rsid w:val="0055545A"/>
    <w:rsid w:val="005558C6"/>
    <w:rsid w:val="00556239"/>
    <w:rsid w:val="00556914"/>
    <w:rsid w:val="00556A57"/>
    <w:rsid w:val="005570FF"/>
    <w:rsid w:val="005574DE"/>
    <w:rsid w:val="00560ADD"/>
    <w:rsid w:val="005618B8"/>
    <w:rsid w:val="00561FC5"/>
    <w:rsid w:val="0056225B"/>
    <w:rsid w:val="0056303C"/>
    <w:rsid w:val="00563314"/>
    <w:rsid w:val="00563885"/>
    <w:rsid w:val="00563A45"/>
    <w:rsid w:val="005661FD"/>
    <w:rsid w:val="005668CD"/>
    <w:rsid w:val="00567083"/>
    <w:rsid w:val="005670B2"/>
    <w:rsid w:val="00567B0E"/>
    <w:rsid w:val="005702D5"/>
    <w:rsid w:val="0057039F"/>
    <w:rsid w:val="005707EE"/>
    <w:rsid w:val="00570BF9"/>
    <w:rsid w:val="00570EE1"/>
    <w:rsid w:val="005712A2"/>
    <w:rsid w:val="005720B8"/>
    <w:rsid w:val="00572565"/>
    <w:rsid w:val="005726FE"/>
    <w:rsid w:val="00572C94"/>
    <w:rsid w:val="005735BE"/>
    <w:rsid w:val="00573850"/>
    <w:rsid w:val="00573DED"/>
    <w:rsid w:val="00574201"/>
    <w:rsid w:val="005744EE"/>
    <w:rsid w:val="00574B41"/>
    <w:rsid w:val="00574D33"/>
    <w:rsid w:val="005751E5"/>
    <w:rsid w:val="00575490"/>
    <w:rsid w:val="00575552"/>
    <w:rsid w:val="00575AD6"/>
    <w:rsid w:val="00575C3C"/>
    <w:rsid w:val="00575D17"/>
    <w:rsid w:val="00576096"/>
    <w:rsid w:val="00576C1C"/>
    <w:rsid w:val="005771D2"/>
    <w:rsid w:val="0057743D"/>
    <w:rsid w:val="005775D3"/>
    <w:rsid w:val="00577DB5"/>
    <w:rsid w:val="00580CEB"/>
    <w:rsid w:val="00580D65"/>
    <w:rsid w:val="0058124A"/>
    <w:rsid w:val="0058174C"/>
    <w:rsid w:val="005818EA"/>
    <w:rsid w:val="00581A7E"/>
    <w:rsid w:val="00583BCB"/>
    <w:rsid w:val="00583F5F"/>
    <w:rsid w:val="00584387"/>
    <w:rsid w:val="00584506"/>
    <w:rsid w:val="0058462C"/>
    <w:rsid w:val="00584FED"/>
    <w:rsid w:val="005852D7"/>
    <w:rsid w:val="00585471"/>
    <w:rsid w:val="0058595D"/>
    <w:rsid w:val="00585B04"/>
    <w:rsid w:val="005868C2"/>
    <w:rsid w:val="005873AB"/>
    <w:rsid w:val="0058790D"/>
    <w:rsid w:val="0059016A"/>
    <w:rsid w:val="00590701"/>
    <w:rsid w:val="00590DB0"/>
    <w:rsid w:val="0059202A"/>
    <w:rsid w:val="00592163"/>
    <w:rsid w:val="0059288B"/>
    <w:rsid w:val="00592ACD"/>
    <w:rsid w:val="00592B1D"/>
    <w:rsid w:val="0059411E"/>
    <w:rsid w:val="005949E2"/>
    <w:rsid w:val="00595380"/>
    <w:rsid w:val="005958E3"/>
    <w:rsid w:val="00595C24"/>
    <w:rsid w:val="005965BA"/>
    <w:rsid w:val="005A1669"/>
    <w:rsid w:val="005A1AF2"/>
    <w:rsid w:val="005A1BF0"/>
    <w:rsid w:val="005A26E3"/>
    <w:rsid w:val="005A2892"/>
    <w:rsid w:val="005A32D7"/>
    <w:rsid w:val="005A35A0"/>
    <w:rsid w:val="005A3651"/>
    <w:rsid w:val="005A39D4"/>
    <w:rsid w:val="005A39E2"/>
    <w:rsid w:val="005A4227"/>
    <w:rsid w:val="005A435C"/>
    <w:rsid w:val="005A4379"/>
    <w:rsid w:val="005A48D0"/>
    <w:rsid w:val="005A504B"/>
    <w:rsid w:val="005A59DC"/>
    <w:rsid w:val="005A5CDF"/>
    <w:rsid w:val="005A6429"/>
    <w:rsid w:val="005A6837"/>
    <w:rsid w:val="005A6DEE"/>
    <w:rsid w:val="005A7320"/>
    <w:rsid w:val="005A78A1"/>
    <w:rsid w:val="005B01CC"/>
    <w:rsid w:val="005B05F9"/>
    <w:rsid w:val="005B1A20"/>
    <w:rsid w:val="005B1B34"/>
    <w:rsid w:val="005B1E71"/>
    <w:rsid w:val="005B22C3"/>
    <w:rsid w:val="005B2825"/>
    <w:rsid w:val="005B358D"/>
    <w:rsid w:val="005B39E0"/>
    <w:rsid w:val="005B4594"/>
    <w:rsid w:val="005B471C"/>
    <w:rsid w:val="005B4CC3"/>
    <w:rsid w:val="005B59A1"/>
    <w:rsid w:val="005B6F91"/>
    <w:rsid w:val="005B6F93"/>
    <w:rsid w:val="005B7355"/>
    <w:rsid w:val="005C08C6"/>
    <w:rsid w:val="005C2039"/>
    <w:rsid w:val="005C2B22"/>
    <w:rsid w:val="005C2F8D"/>
    <w:rsid w:val="005C460E"/>
    <w:rsid w:val="005C46F4"/>
    <w:rsid w:val="005C4CC0"/>
    <w:rsid w:val="005C4FA4"/>
    <w:rsid w:val="005C54F6"/>
    <w:rsid w:val="005C55E8"/>
    <w:rsid w:val="005C64B2"/>
    <w:rsid w:val="005C687D"/>
    <w:rsid w:val="005C7310"/>
    <w:rsid w:val="005D003D"/>
    <w:rsid w:val="005D0231"/>
    <w:rsid w:val="005D03B7"/>
    <w:rsid w:val="005D0559"/>
    <w:rsid w:val="005D0A54"/>
    <w:rsid w:val="005D0E9A"/>
    <w:rsid w:val="005D1762"/>
    <w:rsid w:val="005D1CD5"/>
    <w:rsid w:val="005D2407"/>
    <w:rsid w:val="005D2485"/>
    <w:rsid w:val="005D24D1"/>
    <w:rsid w:val="005D2CCA"/>
    <w:rsid w:val="005D2D12"/>
    <w:rsid w:val="005D3734"/>
    <w:rsid w:val="005D3960"/>
    <w:rsid w:val="005D3965"/>
    <w:rsid w:val="005D42E7"/>
    <w:rsid w:val="005D4371"/>
    <w:rsid w:val="005D466C"/>
    <w:rsid w:val="005D5780"/>
    <w:rsid w:val="005D5EC3"/>
    <w:rsid w:val="005D5FB0"/>
    <w:rsid w:val="005D630F"/>
    <w:rsid w:val="005D6337"/>
    <w:rsid w:val="005D6605"/>
    <w:rsid w:val="005D6CDA"/>
    <w:rsid w:val="005D6E23"/>
    <w:rsid w:val="005D733B"/>
    <w:rsid w:val="005E012E"/>
    <w:rsid w:val="005E091A"/>
    <w:rsid w:val="005E15E3"/>
    <w:rsid w:val="005E202F"/>
    <w:rsid w:val="005E268E"/>
    <w:rsid w:val="005E2B93"/>
    <w:rsid w:val="005E3D6D"/>
    <w:rsid w:val="005E3F40"/>
    <w:rsid w:val="005E4A37"/>
    <w:rsid w:val="005E4B39"/>
    <w:rsid w:val="005E5027"/>
    <w:rsid w:val="005E54B8"/>
    <w:rsid w:val="005E595F"/>
    <w:rsid w:val="005E5B61"/>
    <w:rsid w:val="005E6128"/>
    <w:rsid w:val="005E63F0"/>
    <w:rsid w:val="005E6E5B"/>
    <w:rsid w:val="005E6F6C"/>
    <w:rsid w:val="005E7161"/>
    <w:rsid w:val="005E770E"/>
    <w:rsid w:val="005E779C"/>
    <w:rsid w:val="005E7A8F"/>
    <w:rsid w:val="005E7AB1"/>
    <w:rsid w:val="005E7E1C"/>
    <w:rsid w:val="005E7FC4"/>
    <w:rsid w:val="005F082C"/>
    <w:rsid w:val="005F0E8A"/>
    <w:rsid w:val="005F12DB"/>
    <w:rsid w:val="005F1887"/>
    <w:rsid w:val="005F18C5"/>
    <w:rsid w:val="005F1A53"/>
    <w:rsid w:val="005F1DA7"/>
    <w:rsid w:val="005F1F5A"/>
    <w:rsid w:val="005F20A8"/>
    <w:rsid w:val="005F247F"/>
    <w:rsid w:val="005F2D66"/>
    <w:rsid w:val="005F3A5D"/>
    <w:rsid w:val="005F42E1"/>
    <w:rsid w:val="005F4CDC"/>
    <w:rsid w:val="005F4D60"/>
    <w:rsid w:val="005F4DEF"/>
    <w:rsid w:val="005F5048"/>
    <w:rsid w:val="005F537A"/>
    <w:rsid w:val="005F591E"/>
    <w:rsid w:val="005F5BCA"/>
    <w:rsid w:val="005F5C38"/>
    <w:rsid w:val="005F5C81"/>
    <w:rsid w:val="005F6A9B"/>
    <w:rsid w:val="005F745C"/>
    <w:rsid w:val="005F7917"/>
    <w:rsid w:val="005F7FC4"/>
    <w:rsid w:val="00600247"/>
    <w:rsid w:val="0060054E"/>
    <w:rsid w:val="00600BBA"/>
    <w:rsid w:val="00600DCE"/>
    <w:rsid w:val="0060135F"/>
    <w:rsid w:val="00601534"/>
    <w:rsid w:val="00601D74"/>
    <w:rsid w:val="00602416"/>
    <w:rsid w:val="00602A47"/>
    <w:rsid w:val="00602FBD"/>
    <w:rsid w:val="0060334F"/>
    <w:rsid w:val="006034BC"/>
    <w:rsid w:val="00604419"/>
    <w:rsid w:val="006046B4"/>
    <w:rsid w:val="00604B18"/>
    <w:rsid w:val="0060581C"/>
    <w:rsid w:val="00605C4B"/>
    <w:rsid w:val="006075A3"/>
    <w:rsid w:val="006076E0"/>
    <w:rsid w:val="00607D56"/>
    <w:rsid w:val="00607F3B"/>
    <w:rsid w:val="0061026B"/>
    <w:rsid w:val="00612718"/>
    <w:rsid w:val="006128AD"/>
    <w:rsid w:val="00612BA5"/>
    <w:rsid w:val="00612F7D"/>
    <w:rsid w:val="006145A9"/>
    <w:rsid w:val="00614981"/>
    <w:rsid w:val="00614E9D"/>
    <w:rsid w:val="006153C6"/>
    <w:rsid w:val="00615A39"/>
    <w:rsid w:val="00615AE1"/>
    <w:rsid w:val="006162D9"/>
    <w:rsid w:val="0061632A"/>
    <w:rsid w:val="00616ADC"/>
    <w:rsid w:val="00616ECD"/>
    <w:rsid w:val="00617214"/>
    <w:rsid w:val="006175D2"/>
    <w:rsid w:val="00617DFD"/>
    <w:rsid w:val="00620D88"/>
    <w:rsid w:val="006211E9"/>
    <w:rsid w:val="0062120A"/>
    <w:rsid w:val="00622132"/>
    <w:rsid w:val="0062215C"/>
    <w:rsid w:val="006223EA"/>
    <w:rsid w:val="00623032"/>
    <w:rsid w:val="00623415"/>
    <w:rsid w:val="00624021"/>
    <w:rsid w:val="00624467"/>
    <w:rsid w:val="00624FC1"/>
    <w:rsid w:val="006252D6"/>
    <w:rsid w:val="0062532C"/>
    <w:rsid w:val="0062558D"/>
    <w:rsid w:val="00625BD0"/>
    <w:rsid w:val="0062635C"/>
    <w:rsid w:val="006267E8"/>
    <w:rsid w:val="00627531"/>
    <w:rsid w:val="0062789A"/>
    <w:rsid w:val="00627E57"/>
    <w:rsid w:val="006300C8"/>
    <w:rsid w:val="006300E8"/>
    <w:rsid w:val="0063071D"/>
    <w:rsid w:val="0063090D"/>
    <w:rsid w:val="00632257"/>
    <w:rsid w:val="006337A9"/>
    <w:rsid w:val="006340CC"/>
    <w:rsid w:val="00634975"/>
    <w:rsid w:val="006350E3"/>
    <w:rsid w:val="00635411"/>
    <w:rsid w:val="006358F8"/>
    <w:rsid w:val="006360AB"/>
    <w:rsid w:val="0063636E"/>
    <w:rsid w:val="006363C4"/>
    <w:rsid w:val="0063665F"/>
    <w:rsid w:val="00636707"/>
    <w:rsid w:val="00636B82"/>
    <w:rsid w:val="00640001"/>
    <w:rsid w:val="006404E7"/>
    <w:rsid w:val="00640BFA"/>
    <w:rsid w:val="0064132C"/>
    <w:rsid w:val="00641927"/>
    <w:rsid w:val="00641F87"/>
    <w:rsid w:val="00642199"/>
    <w:rsid w:val="006428F4"/>
    <w:rsid w:val="00642D7C"/>
    <w:rsid w:val="00642E6B"/>
    <w:rsid w:val="0064305E"/>
    <w:rsid w:val="00643459"/>
    <w:rsid w:val="006439AF"/>
    <w:rsid w:val="00643E4D"/>
    <w:rsid w:val="006440F7"/>
    <w:rsid w:val="006441BB"/>
    <w:rsid w:val="00644483"/>
    <w:rsid w:val="00644728"/>
    <w:rsid w:val="00644968"/>
    <w:rsid w:val="00645786"/>
    <w:rsid w:val="00645B51"/>
    <w:rsid w:val="0064602D"/>
    <w:rsid w:val="00646035"/>
    <w:rsid w:val="00646220"/>
    <w:rsid w:val="00646AFA"/>
    <w:rsid w:val="00646EDA"/>
    <w:rsid w:val="0064739D"/>
    <w:rsid w:val="006474A2"/>
    <w:rsid w:val="0064782A"/>
    <w:rsid w:val="00647B01"/>
    <w:rsid w:val="00650A7D"/>
    <w:rsid w:val="0065285F"/>
    <w:rsid w:val="00653E05"/>
    <w:rsid w:val="00654068"/>
    <w:rsid w:val="006549F1"/>
    <w:rsid w:val="00654C44"/>
    <w:rsid w:val="00655A12"/>
    <w:rsid w:val="00655F68"/>
    <w:rsid w:val="00656765"/>
    <w:rsid w:val="00660411"/>
    <w:rsid w:val="00660B53"/>
    <w:rsid w:val="006612C7"/>
    <w:rsid w:val="0066148A"/>
    <w:rsid w:val="00662785"/>
    <w:rsid w:val="00663156"/>
    <w:rsid w:val="00663799"/>
    <w:rsid w:val="00663BB3"/>
    <w:rsid w:val="00663C85"/>
    <w:rsid w:val="00664AEE"/>
    <w:rsid w:val="00665772"/>
    <w:rsid w:val="00665DA0"/>
    <w:rsid w:val="00666A28"/>
    <w:rsid w:val="00667133"/>
    <w:rsid w:val="00667ADF"/>
    <w:rsid w:val="00670128"/>
    <w:rsid w:val="00670353"/>
    <w:rsid w:val="006705D6"/>
    <w:rsid w:val="006706E2"/>
    <w:rsid w:val="006707B4"/>
    <w:rsid w:val="00670A73"/>
    <w:rsid w:val="00670DFA"/>
    <w:rsid w:val="00671092"/>
    <w:rsid w:val="00671772"/>
    <w:rsid w:val="00671AA5"/>
    <w:rsid w:val="0067257A"/>
    <w:rsid w:val="006726F0"/>
    <w:rsid w:val="0067273D"/>
    <w:rsid w:val="00672EF6"/>
    <w:rsid w:val="006734B5"/>
    <w:rsid w:val="0067372F"/>
    <w:rsid w:val="00674CE9"/>
    <w:rsid w:val="006761CA"/>
    <w:rsid w:val="00676930"/>
    <w:rsid w:val="00676978"/>
    <w:rsid w:val="00677501"/>
    <w:rsid w:val="00680A31"/>
    <w:rsid w:val="00681D44"/>
    <w:rsid w:val="00682CF4"/>
    <w:rsid w:val="00682EE0"/>
    <w:rsid w:val="006833EF"/>
    <w:rsid w:val="00684D35"/>
    <w:rsid w:val="00684D5B"/>
    <w:rsid w:val="00685144"/>
    <w:rsid w:val="006864B4"/>
    <w:rsid w:val="0068661F"/>
    <w:rsid w:val="00686F3F"/>
    <w:rsid w:val="006874A3"/>
    <w:rsid w:val="0069096A"/>
    <w:rsid w:val="00690E5E"/>
    <w:rsid w:val="00691062"/>
    <w:rsid w:val="0069135A"/>
    <w:rsid w:val="00691439"/>
    <w:rsid w:val="0069168D"/>
    <w:rsid w:val="00692C8B"/>
    <w:rsid w:val="00693568"/>
    <w:rsid w:val="00693DD3"/>
    <w:rsid w:val="00694084"/>
    <w:rsid w:val="00694379"/>
    <w:rsid w:val="0069451A"/>
    <w:rsid w:val="0069469A"/>
    <w:rsid w:val="006946A1"/>
    <w:rsid w:val="00694E21"/>
    <w:rsid w:val="0069582D"/>
    <w:rsid w:val="00696561"/>
    <w:rsid w:val="00696CD4"/>
    <w:rsid w:val="00696D7F"/>
    <w:rsid w:val="006A09AB"/>
    <w:rsid w:val="006A4892"/>
    <w:rsid w:val="006A540C"/>
    <w:rsid w:val="006A57F5"/>
    <w:rsid w:val="006A5845"/>
    <w:rsid w:val="006A607D"/>
    <w:rsid w:val="006A6207"/>
    <w:rsid w:val="006A62E0"/>
    <w:rsid w:val="006A71E0"/>
    <w:rsid w:val="006B1117"/>
    <w:rsid w:val="006B1A74"/>
    <w:rsid w:val="006B2A4B"/>
    <w:rsid w:val="006B33AD"/>
    <w:rsid w:val="006B3CD5"/>
    <w:rsid w:val="006B4F6C"/>
    <w:rsid w:val="006B5126"/>
    <w:rsid w:val="006B5739"/>
    <w:rsid w:val="006B57BB"/>
    <w:rsid w:val="006B617F"/>
    <w:rsid w:val="006B6976"/>
    <w:rsid w:val="006B711D"/>
    <w:rsid w:val="006B7A77"/>
    <w:rsid w:val="006C0767"/>
    <w:rsid w:val="006C104C"/>
    <w:rsid w:val="006C220E"/>
    <w:rsid w:val="006C229C"/>
    <w:rsid w:val="006C2338"/>
    <w:rsid w:val="006C24CE"/>
    <w:rsid w:val="006C3400"/>
    <w:rsid w:val="006C37DF"/>
    <w:rsid w:val="006C37F6"/>
    <w:rsid w:val="006C3908"/>
    <w:rsid w:val="006C49C1"/>
    <w:rsid w:val="006C51EF"/>
    <w:rsid w:val="006C521F"/>
    <w:rsid w:val="006C5273"/>
    <w:rsid w:val="006C528E"/>
    <w:rsid w:val="006C5DB6"/>
    <w:rsid w:val="006C6602"/>
    <w:rsid w:val="006C66C8"/>
    <w:rsid w:val="006C78E0"/>
    <w:rsid w:val="006C7E86"/>
    <w:rsid w:val="006D063B"/>
    <w:rsid w:val="006D0E09"/>
    <w:rsid w:val="006D1387"/>
    <w:rsid w:val="006D201A"/>
    <w:rsid w:val="006D21A4"/>
    <w:rsid w:val="006D2B5F"/>
    <w:rsid w:val="006D2C42"/>
    <w:rsid w:val="006D357D"/>
    <w:rsid w:val="006D3930"/>
    <w:rsid w:val="006D3A59"/>
    <w:rsid w:val="006D46C0"/>
    <w:rsid w:val="006D498B"/>
    <w:rsid w:val="006D4C9B"/>
    <w:rsid w:val="006D4FA6"/>
    <w:rsid w:val="006D5EF4"/>
    <w:rsid w:val="006D658C"/>
    <w:rsid w:val="006D6BE4"/>
    <w:rsid w:val="006D718C"/>
    <w:rsid w:val="006E0B14"/>
    <w:rsid w:val="006E1EE1"/>
    <w:rsid w:val="006E22A4"/>
    <w:rsid w:val="006E23EA"/>
    <w:rsid w:val="006E292B"/>
    <w:rsid w:val="006E2CFD"/>
    <w:rsid w:val="006E3415"/>
    <w:rsid w:val="006E3D9C"/>
    <w:rsid w:val="006E529C"/>
    <w:rsid w:val="006E54BE"/>
    <w:rsid w:val="006E5B47"/>
    <w:rsid w:val="006E5BF6"/>
    <w:rsid w:val="006E5F9F"/>
    <w:rsid w:val="006E613A"/>
    <w:rsid w:val="006E6694"/>
    <w:rsid w:val="006E6C1A"/>
    <w:rsid w:val="006E702C"/>
    <w:rsid w:val="006E7073"/>
    <w:rsid w:val="006E749A"/>
    <w:rsid w:val="006E7F74"/>
    <w:rsid w:val="006F10BF"/>
    <w:rsid w:val="006F1413"/>
    <w:rsid w:val="006F1ED5"/>
    <w:rsid w:val="006F2041"/>
    <w:rsid w:val="006F22A9"/>
    <w:rsid w:val="006F4948"/>
    <w:rsid w:val="006F4C4E"/>
    <w:rsid w:val="006F4DD7"/>
    <w:rsid w:val="006F4EDD"/>
    <w:rsid w:val="006F5F25"/>
    <w:rsid w:val="006F6A42"/>
    <w:rsid w:val="006F6ABC"/>
    <w:rsid w:val="006F6DC5"/>
    <w:rsid w:val="006F712F"/>
    <w:rsid w:val="006F74DA"/>
    <w:rsid w:val="006F774C"/>
    <w:rsid w:val="0070005F"/>
    <w:rsid w:val="00700512"/>
    <w:rsid w:val="00700E08"/>
    <w:rsid w:val="00702235"/>
    <w:rsid w:val="00702D78"/>
    <w:rsid w:val="007038D3"/>
    <w:rsid w:val="00703AD5"/>
    <w:rsid w:val="00703BAE"/>
    <w:rsid w:val="00703E5F"/>
    <w:rsid w:val="00703EA2"/>
    <w:rsid w:val="00703FE5"/>
    <w:rsid w:val="007043B5"/>
    <w:rsid w:val="0070452E"/>
    <w:rsid w:val="007047DC"/>
    <w:rsid w:val="0070679F"/>
    <w:rsid w:val="0070687C"/>
    <w:rsid w:val="00707516"/>
    <w:rsid w:val="00707C31"/>
    <w:rsid w:val="00707F2C"/>
    <w:rsid w:val="00710033"/>
    <w:rsid w:val="007101D2"/>
    <w:rsid w:val="00710268"/>
    <w:rsid w:val="00710BD9"/>
    <w:rsid w:val="007117EB"/>
    <w:rsid w:val="00711EFC"/>
    <w:rsid w:val="007124F6"/>
    <w:rsid w:val="007126C1"/>
    <w:rsid w:val="007128D2"/>
    <w:rsid w:val="00713684"/>
    <w:rsid w:val="00713D22"/>
    <w:rsid w:val="00713D43"/>
    <w:rsid w:val="00714855"/>
    <w:rsid w:val="0071515C"/>
    <w:rsid w:val="007151BD"/>
    <w:rsid w:val="00715AB5"/>
    <w:rsid w:val="007161F4"/>
    <w:rsid w:val="00716F82"/>
    <w:rsid w:val="007172F7"/>
    <w:rsid w:val="00717505"/>
    <w:rsid w:val="0071759B"/>
    <w:rsid w:val="007203DE"/>
    <w:rsid w:val="00720468"/>
    <w:rsid w:val="007207BD"/>
    <w:rsid w:val="00720B77"/>
    <w:rsid w:val="00721E7D"/>
    <w:rsid w:val="00722C92"/>
    <w:rsid w:val="00722FF1"/>
    <w:rsid w:val="00723C38"/>
    <w:rsid w:val="00724249"/>
    <w:rsid w:val="00724B00"/>
    <w:rsid w:val="00724C83"/>
    <w:rsid w:val="00724FA3"/>
    <w:rsid w:val="0072538F"/>
    <w:rsid w:val="00725615"/>
    <w:rsid w:val="007263A2"/>
    <w:rsid w:val="007264A2"/>
    <w:rsid w:val="007268FD"/>
    <w:rsid w:val="00727540"/>
    <w:rsid w:val="00731B93"/>
    <w:rsid w:val="00731EF2"/>
    <w:rsid w:val="007320AF"/>
    <w:rsid w:val="0073245C"/>
    <w:rsid w:val="00732EEE"/>
    <w:rsid w:val="007333C2"/>
    <w:rsid w:val="00733A37"/>
    <w:rsid w:val="007344AD"/>
    <w:rsid w:val="007345A3"/>
    <w:rsid w:val="007358E3"/>
    <w:rsid w:val="007369CA"/>
    <w:rsid w:val="007370CD"/>
    <w:rsid w:val="00737DAC"/>
    <w:rsid w:val="00740705"/>
    <w:rsid w:val="007410A1"/>
    <w:rsid w:val="0074209D"/>
    <w:rsid w:val="00742349"/>
    <w:rsid w:val="007426F1"/>
    <w:rsid w:val="00742E86"/>
    <w:rsid w:val="00742F48"/>
    <w:rsid w:val="00743119"/>
    <w:rsid w:val="0074326D"/>
    <w:rsid w:val="0074336C"/>
    <w:rsid w:val="00743566"/>
    <w:rsid w:val="00743958"/>
    <w:rsid w:val="00744CB1"/>
    <w:rsid w:val="00744E06"/>
    <w:rsid w:val="00744E83"/>
    <w:rsid w:val="007453A0"/>
    <w:rsid w:val="007454CE"/>
    <w:rsid w:val="007458EA"/>
    <w:rsid w:val="00745D00"/>
    <w:rsid w:val="00746540"/>
    <w:rsid w:val="00746C9F"/>
    <w:rsid w:val="007475C3"/>
    <w:rsid w:val="007475CD"/>
    <w:rsid w:val="00747867"/>
    <w:rsid w:val="00750115"/>
    <w:rsid w:val="00750682"/>
    <w:rsid w:val="00750B0C"/>
    <w:rsid w:val="00750E2E"/>
    <w:rsid w:val="00751917"/>
    <w:rsid w:val="007524B6"/>
    <w:rsid w:val="0075288B"/>
    <w:rsid w:val="00752E5A"/>
    <w:rsid w:val="00754461"/>
    <w:rsid w:val="007548F4"/>
    <w:rsid w:val="00755270"/>
    <w:rsid w:val="00756072"/>
    <w:rsid w:val="007567C5"/>
    <w:rsid w:val="00756C68"/>
    <w:rsid w:val="00757760"/>
    <w:rsid w:val="0075780F"/>
    <w:rsid w:val="00757C82"/>
    <w:rsid w:val="007608B8"/>
    <w:rsid w:val="00760D0B"/>
    <w:rsid w:val="00760EA3"/>
    <w:rsid w:val="00762ABD"/>
    <w:rsid w:val="00762DA1"/>
    <w:rsid w:val="00763045"/>
    <w:rsid w:val="0076313C"/>
    <w:rsid w:val="007633AA"/>
    <w:rsid w:val="007637C7"/>
    <w:rsid w:val="00763CF7"/>
    <w:rsid w:val="00764B09"/>
    <w:rsid w:val="00764DB0"/>
    <w:rsid w:val="00764E4D"/>
    <w:rsid w:val="007659D2"/>
    <w:rsid w:val="00767B90"/>
    <w:rsid w:val="00770981"/>
    <w:rsid w:val="00770E52"/>
    <w:rsid w:val="00770E63"/>
    <w:rsid w:val="00772261"/>
    <w:rsid w:val="0077242C"/>
    <w:rsid w:val="0077330D"/>
    <w:rsid w:val="00773374"/>
    <w:rsid w:val="00773436"/>
    <w:rsid w:val="0077456D"/>
    <w:rsid w:val="0077461B"/>
    <w:rsid w:val="007748F7"/>
    <w:rsid w:val="00774ED8"/>
    <w:rsid w:val="00774FAA"/>
    <w:rsid w:val="00775990"/>
    <w:rsid w:val="007763DB"/>
    <w:rsid w:val="00776CA1"/>
    <w:rsid w:val="007771E7"/>
    <w:rsid w:val="00777F3E"/>
    <w:rsid w:val="007801BB"/>
    <w:rsid w:val="007801C7"/>
    <w:rsid w:val="007802E6"/>
    <w:rsid w:val="007813B2"/>
    <w:rsid w:val="0078175E"/>
    <w:rsid w:val="00782512"/>
    <w:rsid w:val="007828BE"/>
    <w:rsid w:val="00783BCC"/>
    <w:rsid w:val="00783EF3"/>
    <w:rsid w:val="00784397"/>
    <w:rsid w:val="00784410"/>
    <w:rsid w:val="00785571"/>
    <w:rsid w:val="00785626"/>
    <w:rsid w:val="007856A6"/>
    <w:rsid w:val="00785F50"/>
    <w:rsid w:val="00786BAD"/>
    <w:rsid w:val="00787748"/>
    <w:rsid w:val="00790190"/>
    <w:rsid w:val="00790D9F"/>
    <w:rsid w:val="00792310"/>
    <w:rsid w:val="00792387"/>
    <w:rsid w:val="0079277A"/>
    <w:rsid w:val="00793032"/>
    <w:rsid w:val="00793C73"/>
    <w:rsid w:val="00793D2D"/>
    <w:rsid w:val="0079456A"/>
    <w:rsid w:val="007946CB"/>
    <w:rsid w:val="00794E60"/>
    <w:rsid w:val="00795862"/>
    <w:rsid w:val="00795C2F"/>
    <w:rsid w:val="00796FED"/>
    <w:rsid w:val="0079702A"/>
    <w:rsid w:val="00797F95"/>
    <w:rsid w:val="007A07E2"/>
    <w:rsid w:val="007A0B52"/>
    <w:rsid w:val="007A0C47"/>
    <w:rsid w:val="007A153E"/>
    <w:rsid w:val="007A2450"/>
    <w:rsid w:val="007A3464"/>
    <w:rsid w:val="007A3D27"/>
    <w:rsid w:val="007A409C"/>
    <w:rsid w:val="007A413B"/>
    <w:rsid w:val="007A47B6"/>
    <w:rsid w:val="007A4FBF"/>
    <w:rsid w:val="007A50FD"/>
    <w:rsid w:val="007A5109"/>
    <w:rsid w:val="007A51DA"/>
    <w:rsid w:val="007A54EF"/>
    <w:rsid w:val="007A58E3"/>
    <w:rsid w:val="007A6E61"/>
    <w:rsid w:val="007A7917"/>
    <w:rsid w:val="007B08B1"/>
    <w:rsid w:val="007B08F7"/>
    <w:rsid w:val="007B0A76"/>
    <w:rsid w:val="007B20E5"/>
    <w:rsid w:val="007B222F"/>
    <w:rsid w:val="007B484E"/>
    <w:rsid w:val="007B4CEC"/>
    <w:rsid w:val="007B5197"/>
    <w:rsid w:val="007B5375"/>
    <w:rsid w:val="007B55BB"/>
    <w:rsid w:val="007B6563"/>
    <w:rsid w:val="007B71C0"/>
    <w:rsid w:val="007C0785"/>
    <w:rsid w:val="007C1153"/>
    <w:rsid w:val="007C1466"/>
    <w:rsid w:val="007C221E"/>
    <w:rsid w:val="007C23E8"/>
    <w:rsid w:val="007C2D24"/>
    <w:rsid w:val="007C31AD"/>
    <w:rsid w:val="007C351F"/>
    <w:rsid w:val="007C3A4C"/>
    <w:rsid w:val="007C3EEC"/>
    <w:rsid w:val="007C3F1D"/>
    <w:rsid w:val="007C4A09"/>
    <w:rsid w:val="007C527C"/>
    <w:rsid w:val="007C5301"/>
    <w:rsid w:val="007C5457"/>
    <w:rsid w:val="007C57FF"/>
    <w:rsid w:val="007C6E75"/>
    <w:rsid w:val="007C75DC"/>
    <w:rsid w:val="007D1186"/>
    <w:rsid w:val="007D1CB9"/>
    <w:rsid w:val="007D1E37"/>
    <w:rsid w:val="007D22BC"/>
    <w:rsid w:val="007D2488"/>
    <w:rsid w:val="007D34F2"/>
    <w:rsid w:val="007D4532"/>
    <w:rsid w:val="007D462E"/>
    <w:rsid w:val="007D4B99"/>
    <w:rsid w:val="007D4BB8"/>
    <w:rsid w:val="007D4DBF"/>
    <w:rsid w:val="007D4FDE"/>
    <w:rsid w:val="007D526A"/>
    <w:rsid w:val="007D569F"/>
    <w:rsid w:val="007D589D"/>
    <w:rsid w:val="007D604D"/>
    <w:rsid w:val="007D668F"/>
    <w:rsid w:val="007D6D9F"/>
    <w:rsid w:val="007D78EE"/>
    <w:rsid w:val="007E023D"/>
    <w:rsid w:val="007E0B63"/>
    <w:rsid w:val="007E143D"/>
    <w:rsid w:val="007E167A"/>
    <w:rsid w:val="007E230D"/>
    <w:rsid w:val="007E242D"/>
    <w:rsid w:val="007E2A6E"/>
    <w:rsid w:val="007E3BC2"/>
    <w:rsid w:val="007E4292"/>
    <w:rsid w:val="007E48B6"/>
    <w:rsid w:val="007E4AC0"/>
    <w:rsid w:val="007E579F"/>
    <w:rsid w:val="007E5D6A"/>
    <w:rsid w:val="007E6004"/>
    <w:rsid w:val="007E668F"/>
    <w:rsid w:val="007E66AA"/>
    <w:rsid w:val="007E75BF"/>
    <w:rsid w:val="007E787C"/>
    <w:rsid w:val="007E79A0"/>
    <w:rsid w:val="007E7CB5"/>
    <w:rsid w:val="007F00D2"/>
    <w:rsid w:val="007F0240"/>
    <w:rsid w:val="007F0C5A"/>
    <w:rsid w:val="007F12A6"/>
    <w:rsid w:val="007F12C6"/>
    <w:rsid w:val="007F215F"/>
    <w:rsid w:val="007F2324"/>
    <w:rsid w:val="007F25CD"/>
    <w:rsid w:val="007F3069"/>
    <w:rsid w:val="007F3079"/>
    <w:rsid w:val="007F3BF4"/>
    <w:rsid w:val="007F41EE"/>
    <w:rsid w:val="007F4296"/>
    <w:rsid w:val="007F4908"/>
    <w:rsid w:val="007F4DEE"/>
    <w:rsid w:val="007F4E71"/>
    <w:rsid w:val="007F61CD"/>
    <w:rsid w:val="007F64E9"/>
    <w:rsid w:val="007F6776"/>
    <w:rsid w:val="007F6AD9"/>
    <w:rsid w:val="007F6C03"/>
    <w:rsid w:val="007F6EBB"/>
    <w:rsid w:val="007F781E"/>
    <w:rsid w:val="007F791F"/>
    <w:rsid w:val="007F7E7F"/>
    <w:rsid w:val="008002A1"/>
    <w:rsid w:val="008004E9"/>
    <w:rsid w:val="00800F21"/>
    <w:rsid w:val="0080157C"/>
    <w:rsid w:val="008032CD"/>
    <w:rsid w:val="008036B2"/>
    <w:rsid w:val="00803A3D"/>
    <w:rsid w:val="00803A9E"/>
    <w:rsid w:val="00803B2D"/>
    <w:rsid w:val="00803C28"/>
    <w:rsid w:val="00804758"/>
    <w:rsid w:val="00804B85"/>
    <w:rsid w:val="008065A4"/>
    <w:rsid w:val="008067B2"/>
    <w:rsid w:val="008068EB"/>
    <w:rsid w:val="00806B9A"/>
    <w:rsid w:val="00806E88"/>
    <w:rsid w:val="00806E93"/>
    <w:rsid w:val="008105C5"/>
    <w:rsid w:val="00810AC8"/>
    <w:rsid w:val="0081151F"/>
    <w:rsid w:val="0081234C"/>
    <w:rsid w:val="008123DC"/>
    <w:rsid w:val="00812897"/>
    <w:rsid w:val="008133F1"/>
    <w:rsid w:val="0081425D"/>
    <w:rsid w:val="00814AAF"/>
    <w:rsid w:val="008158FD"/>
    <w:rsid w:val="0081606D"/>
    <w:rsid w:val="00816220"/>
    <w:rsid w:val="0081648F"/>
    <w:rsid w:val="008167E4"/>
    <w:rsid w:val="00816852"/>
    <w:rsid w:val="00816D31"/>
    <w:rsid w:val="008177C0"/>
    <w:rsid w:val="00820C02"/>
    <w:rsid w:val="00821388"/>
    <w:rsid w:val="008214B6"/>
    <w:rsid w:val="0082162B"/>
    <w:rsid w:val="00821AD2"/>
    <w:rsid w:val="0082212B"/>
    <w:rsid w:val="0082261C"/>
    <w:rsid w:val="008226E1"/>
    <w:rsid w:val="00823A90"/>
    <w:rsid w:val="00823BF4"/>
    <w:rsid w:val="00823DA4"/>
    <w:rsid w:val="0082450F"/>
    <w:rsid w:val="00824AA6"/>
    <w:rsid w:val="00824E64"/>
    <w:rsid w:val="00825CAB"/>
    <w:rsid w:val="00826716"/>
    <w:rsid w:val="00826959"/>
    <w:rsid w:val="008269A8"/>
    <w:rsid w:val="008269E9"/>
    <w:rsid w:val="00826D75"/>
    <w:rsid w:val="008270DC"/>
    <w:rsid w:val="008306D0"/>
    <w:rsid w:val="00833096"/>
    <w:rsid w:val="00833E87"/>
    <w:rsid w:val="00833F8E"/>
    <w:rsid w:val="008346F3"/>
    <w:rsid w:val="0083536B"/>
    <w:rsid w:val="0083565B"/>
    <w:rsid w:val="00836AFB"/>
    <w:rsid w:val="00837503"/>
    <w:rsid w:val="00837BCC"/>
    <w:rsid w:val="00837BFE"/>
    <w:rsid w:val="008400DD"/>
    <w:rsid w:val="00840940"/>
    <w:rsid w:val="00841050"/>
    <w:rsid w:val="0084218D"/>
    <w:rsid w:val="008429D9"/>
    <w:rsid w:val="00842CC6"/>
    <w:rsid w:val="00842E41"/>
    <w:rsid w:val="00843119"/>
    <w:rsid w:val="0084390A"/>
    <w:rsid w:val="00843C3E"/>
    <w:rsid w:val="00843F8C"/>
    <w:rsid w:val="00844177"/>
    <w:rsid w:val="00845A8E"/>
    <w:rsid w:val="00845A9A"/>
    <w:rsid w:val="008467AD"/>
    <w:rsid w:val="00846B0B"/>
    <w:rsid w:val="00846E76"/>
    <w:rsid w:val="00847360"/>
    <w:rsid w:val="00847F13"/>
    <w:rsid w:val="00850028"/>
    <w:rsid w:val="00850927"/>
    <w:rsid w:val="00850A29"/>
    <w:rsid w:val="00851216"/>
    <w:rsid w:val="00851703"/>
    <w:rsid w:val="008517F7"/>
    <w:rsid w:val="00851FE3"/>
    <w:rsid w:val="008522C4"/>
    <w:rsid w:val="00852441"/>
    <w:rsid w:val="00852ADE"/>
    <w:rsid w:val="00853D51"/>
    <w:rsid w:val="00854573"/>
    <w:rsid w:val="00855A4B"/>
    <w:rsid w:val="00855DA9"/>
    <w:rsid w:val="008561D2"/>
    <w:rsid w:val="00856239"/>
    <w:rsid w:val="008565D9"/>
    <w:rsid w:val="008566B4"/>
    <w:rsid w:val="0085694B"/>
    <w:rsid w:val="00856EB8"/>
    <w:rsid w:val="008576BF"/>
    <w:rsid w:val="00857BF7"/>
    <w:rsid w:val="008605A4"/>
    <w:rsid w:val="00860C83"/>
    <w:rsid w:val="008612A7"/>
    <w:rsid w:val="00861846"/>
    <w:rsid w:val="00861B25"/>
    <w:rsid w:val="00861DBD"/>
    <w:rsid w:val="00863041"/>
    <w:rsid w:val="00863648"/>
    <w:rsid w:val="00863F8A"/>
    <w:rsid w:val="0086477B"/>
    <w:rsid w:val="00865191"/>
    <w:rsid w:val="00865946"/>
    <w:rsid w:val="008660B3"/>
    <w:rsid w:val="00866355"/>
    <w:rsid w:val="00866E37"/>
    <w:rsid w:val="00867824"/>
    <w:rsid w:val="008679EF"/>
    <w:rsid w:val="0087008F"/>
    <w:rsid w:val="00870341"/>
    <w:rsid w:val="0087050E"/>
    <w:rsid w:val="008710EA"/>
    <w:rsid w:val="00871176"/>
    <w:rsid w:val="00871212"/>
    <w:rsid w:val="00871F6F"/>
    <w:rsid w:val="00872891"/>
    <w:rsid w:val="00873520"/>
    <w:rsid w:val="008736C1"/>
    <w:rsid w:val="00873A08"/>
    <w:rsid w:val="00873D55"/>
    <w:rsid w:val="00873F65"/>
    <w:rsid w:val="00874223"/>
    <w:rsid w:val="008754DC"/>
    <w:rsid w:val="00875B66"/>
    <w:rsid w:val="00876A24"/>
    <w:rsid w:val="00876D9E"/>
    <w:rsid w:val="00877D06"/>
    <w:rsid w:val="00877F0C"/>
    <w:rsid w:val="00880984"/>
    <w:rsid w:val="008809E5"/>
    <w:rsid w:val="00880D1A"/>
    <w:rsid w:val="008814A6"/>
    <w:rsid w:val="00881786"/>
    <w:rsid w:val="00882173"/>
    <w:rsid w:val="008821D5"/>
    <w:rsid w:val="0088326B"/>
    <w:rsid w:val="0088370E"/>
    <w:rsid w:val="00883A08"/>
    <w:rsid w:val="00884D5F"/>
    <w:rsid w:val="00884E89"/>
    <w:rsid w:val="0088570D"/>
    <w:rsid w:val="00885F29"/>
    <w:rsid w:val="00886072"/>
    <w:rsid w:val="008864EB"/>
    <w:rsid w:val="00886F9B"/>
    <w:rsid w:val="00887292"/>
    <w:rsid w:val="008873AC"/>
    <w:rsid w:val="0089014F"/>
    <w:rsid w:val="0089046E"/>
    <w:rsid w:val="0089065E"/>
    <w:rsid w:val="00890AD6"/>
    <w:rsid w:val="00890EAA"/>
    <w:rsid w:val="00891733"/>
    <w:rsid w:val="00891772"/>
    <w:rsid w:val="008917B6"/>
    <w:rsid w:val="008925AF"/>
    <w:rsid w:val="00892BF3"/>
    <w:rsid w:val="00893779"/>
    <w:rsid w:val="00893DBD"/>
    <w:rsid w:val="00894134"/>
    <w:rsid w:val="00894259"/>
    <w:rsid w:val="008953E5"/>
    <w:rsid w:val="0089542F"/>
    <w:rsid w:val="00895B13"/>
    <w:rsid w:val="008966DA"/>
    <w:rsid w:val="008967C8"/>
    <w:rsid w:val="00896961"/>
    <w:rsid w:val="0089773B"/>
    <w:rsid w:val="008A09A1"/>
    <w:rsid w:val="008A0B9F"/>
    <w:rsid w:val="008A173C"/>
    <w:rsid w:val="008A1D35"/>
    <w:rsid w:val="008A2D7F"/>
    <w:rsid w:val="008A35B7"/>
    <w:rsid w:val="008A3A22"/>
    <w:rsid w:val="008A51CE"/>
    <w:rsid w:val="008A5247"/>
    <w:rsid w:val="008A551B"/>
    <w:rsid w:val="008A7EFB"/>
    <w:rsid w:val="008B004A"/>
    <w:rsid w:val="008B0107"/>
    <w:rsid w:val="008B0B10"/>
    <w:rsid w:val="008B0B42"/>
    <w:rsid w:val="008B0BC1"/>
    <w:rsid w:val="008B0F8A"/>
    <w:rsid w:val="008B1A98"/>
    <w:rsid w:val="008B1C68"/>
    <w:rsid w:val="008B1ED1"/>
    <w:rsid w:val="008B2286"/>
    <w:rsid w:val="008B2A43"/>
    <w:rsid w:val="008B38D5"/>
    <w:rsid w:val="008B4AAC"/>
    <w:rsid w:val="008B5156"/>
    <w:rsid w:val="008B517E"/>
    <w:rsid w:val="008B5B0C"/>
    <w:rsid w:val="008B6B05"/>
    <w:rsid w:val="008B6D88"/>
    <w:rsid w:val="008B735B"/>
    <w:rsid w:val="008B7712"/>
    <w:rsid w:val="008B7B0E"/>
    <w:rsid w:val="008C0199"/>
    <w:rsid w:val="008C0AF3"/>
    <w:rsid w:val="008C0D60"/>
    <w:rsid w:val="008C0EF6"/>
    <w:rsid w:val="008C3D79"/>
    <w:rsid w:val="008C4113"/>
    <w:rsid w:val="008C41CC"/>
    <w:rsid w:val="008C4298"/>
    <w:rsid w:val="008C5092"/>
    <w:rsid w:val="008C5DAD"/>
    <w:rsid w:val="008C6760"/>
    <w:rsid w:val="008C7177"/>
    <w:rsid w:val="008D05B1"/>
    <w:rsid w:val="008D0C90"/>
    <w:rsid w:val="008D1407"/>
    <w:rsid w:val="008D172D"/>
    <w:rsid w:val="008D1B7A"/>
    <w:rsid w:val="008D1CF4"/>
    <w:rsid w:val="008D3341"/>
    <w:rsid w:val="008D396D"/>
    <w:rsid w:val="008D3AE8"/>
    <w:rsid w:val="008D3E43"/>
    <w:rsid w:val="008D3EF9"/>
    <w:rsid w:val="008D44EF"/>
    <w:rsid w:val="008D4989"/>
    <w:rsid w:val="008D5155"/>
    <w:rsid w:val="008D58E2"/>
    <w:rsid w:val="008D5C16"/>
    <w:rsid w:val="008D5F6E"/>
    <w:rsid w:val="008D61FF"/>
    <w:rsid w:val="008D7323"/>
    <w:rsid w:val="008D7ADC"/>
    <w:rsid w:val="008D7C20"/>
    <w:rsid w:val="008D7F49"/>
    <w:rsid w:val="008E004C"/>
    <w:rsid w:val="008E0237"/>
    <w:rsid w:val="008E0F50"/>
    <w:rsid w:val="008E1336"/>
    <w:rsid w:val="008E207C"/>
    <w:rsid w:val="008E2F00"/>
    <w:rsid w:val="008E320D"/>
    <w:rsid w:val="008E4160"/>
    <w:rsid w:val="008E437A"/>
    <w:rsid w:val="008E5116"/>
    <w:rsid w:val="008E5950"/>
    <w:rsid w:val="008E5FBB"/>
    <w:rsid w:val="008E62A3"/>
    <w:rsid w:val="008E64D2"/>
    <w:rsid w:val="008E667D"/>
    <w:rsid w:val="008E6FEF"/>
    <w:rsid w:val="008F0E69"/>
    <w:rsid w:val="008F2B33"/>
    <w:rsid w:val="008F4D0F"/>
    <w:rsid w:val="008F531A"/>
    <w:rsid w:val="008F7337"/>
    <w:rsid w:val="008F76BC"/>
    <w:rsid w:val="008F7896"/>
    <w:rsid w:val="008F78CE"/>
    <w:rsid w:val="0090013B"/>
    <w:rsid w:val="0090026B"/>
    <w:rsid w:val="00900303"/>
    <w:rsid w:val="009003AF"/>
    <w:rsid w:val="00901763"/>
    <w:rsid w:val="00901ED1"/>
    <w:rsid w:val="009027F4"/>
    <w:rsid w:val="00902CFC"/>
    <w:rsid w:val="009031DE"/>
    <w:rsid w:val="00903804"/>
    <w:rsid w:val="0090388D"/>
    <w:rsid w:val="009039B1"/>
    <w:rsid w:val="00903ED4"/>
    <w:rsid w:val="0090459E"/>
    <w:rsid w:val="00906879"/>
    <w:rsid w:val="00906D6E"/>
    <w:rsid w:val="009078BD"/>
    <w:rsid w:val="00910006"/>
    <w:rsid w:val="00910AD4"/>
    <w:rsid w:val="00910CAB"/>
    <w:rsid w:val="009126D7"/>
    <w:rsid w:val="00912FC0"/>
    <w:rsid w:val="00912FFE"/>
    <w:rsid w:val="009130AF"/>
    <w:rsid w:val="00913769"/>
    <w:rsid w:val="00913A09"/>
    <w:rsid w:val="00913E1D"/>
    <w:rsid w:val="00913F8F"/>
    <w:rsid w:val="00913FDB"/>
    <w:rsid w:val="009143DD"/>
    <w:rsid w:val="00915278"/>
    <w:rsid w:val="0091552C"/>
    <w:rsid w:val="00917996"/>
    <w:rsid w:val="0092021D"/>
    <w:rsid w:val="009202A5"/>
    <w:rsid w:val="009208E5"/>
    <w:rsid w:val="00920C97"/>
    <w:rsid w:val="00921013"/>
    <w:rsid w:val="00921AF6"/>
    <w:rsid w:val="00921DBE"/>
    <w:rsid w:val="00922F5C"/>
    <w:rsid w:val="009244FE"/>
    <w:rsid w:val="00924A29"/>
    <w:rsid w:val="009256E8"/>
    <w:rsid w:val="00925809"/>
    <w:rsid w:val="009258DD"/>
    <w:rsid w:val="009262DC"/>
    <w:rsid w:val="0092795F"/>
    <w:rsid w:val="00931864"/>
    <w:rsid w:val="00931D6C"/>
    <w:rsid w:val="00932097"/>
    <w:rsid w:val="00932471"/>
    <w:rsid w:val="009330CA"/>
    <w:rsid w:val="009332E8"/>
    <w:rsid w:val="009337A3"/>
    <w:rsid w:val="0093396D"/>
    <w:rsid w:val="009342CD"/>
    <w:rsid w:val="00935043"/>
    <w:rsid w:val="00935B81"/>
    <w:rsid w:val="00937159"/>
    <w:rsid w:val="00937DDC"/>
    <w:rsid w:val="00940A13"/>
    <w:rsid w:val="00940E2A"/>
    <w:rsid w:val="009435B7"/>
    <w:rsid w:val="00943BA2"/>
    <w:rsid w:val="00944143"/>
    <w:rsid w:val="00944BCE"/>
    <w:rsid w:val="00945AFE"/>
    <w:rsid w:val="00945CBF"/>
    <w:rsid w:val="009469A3"/>
    <w:rsid w:val="009469CA"/>
    <w:rsid w:val="00946DC5"/>
    <w:rsid w:val="009473BD"/>
    <w:rsid w:val="00947E67"/>
    <w:rsid w:val="00947E76"/>
    <w:rsid w:val="00950634"/>
    <w:rsid w:val="009506F9"/>
    <w:rsid w:val="00950C75"/>
    <w:rsid w:val="0095109B"/>
    <w:rsid w:val="00951732"/>
    <w:rsid w:val="00952452"/>
    <w:rsid w:val="00954675"/>
    <w:rsid w:val="00954B45"/>
    <w:rsid w:val="00954C25"/>
    <w:rsid w:val="00955614"/>
    <w:rsid w:val="00955AF1"/>
    <w:rsid w:val="00956628"/>
    <w:rsid w:val="00956A17"/>
    <w:rsid w:val="00956EFE"/>
    <w:rsid w:val="00957093"/>
    <w:rsid w:val="009571A2"/>
    <w:rsid w:val="0095C17B"/>
    <w:rsid w:val="009615A4"/>
    <w:rsid w:val="00961D54"/>
    <w:rsid w:val="00961D5D"/>
    <w:rsid w:val="00961D65"/>
    <w:rsid w:val="00962A27"/>
    <w:rsid w:val="00962C30"/>
    <w:rsid w:val="009630B6"/>
    <w:rsid w:val="00963C83"/>
    <w:rsid w:val="00963F5A"/>
    <w:rsid w:val="0096429C"/>
    <w:rsid w:val="009653BE"/>
    <w:rsid w:val="009706F8"/>
    <w:rsid w:val="00970A0C"/>
    <w:rsid w:val="009717B1"/>
    <w:rsid w:val="00971FE2"/>
    <w:rsid w:val="00972242"/>
    <w:rsid w:val="0097253F"/>
    <w:rsid w:val="009733FB"/>
    <w:rsid w:val="009737D9"/>
    <w:rsid w:val="009739D3"/>
    <w:rsid w:val="009744EB"/>
    <w:rsid w:val="00975044"/>
    <w:rsid w:val="009751BC"/>
    <w:rsid w:val="009756EA"/>
    <w:rsid w:val="0097635F"/>
    <w:rsid w:val="00976A37"/>
    <w:rsid w:val="00977628"/>
    <w:rsid w:val="009803A4"/>
    <w:rsid w:val="00982A00"/>
    <w:rsid w:val="00982A8A"/>
    <w:rsid w:val="00983239"/>
    <w:rsid w:val="00983658"/>
    <w:rsid w:val="009839F4"/>
    <w:rsid w:val="00983C93"/>
    <w:rsid w:val="009840A1"/>
    <w:rsid w:val="00984F05"/>
    <w:rsid w:val="0098549A"/>
    <w:rsid w:val="00985993"/>
    <w:rsid w:val="00985CD7"/>
    <w:rsid w:val="00985D03"/>
    <w:rsid w:val="00985DBF"/>
    <w:rsid w:val="00986C89"/>
    <w:rsid w:val="009877CD"/>
    <w:rsid w:val="00990385"/>
    <w:rsid w:val="009904BE"/>
    <w:rsid w:val="00990532"/>
    <w:rsid w:val="00990CF6"/>
    <w:rsid w:val="009914F1"/>
    <w:rsid w:val="00991A4D"/>
    <w:rsid w:val="00992520"/>
    <w:rsid w:val="009925C3"/>
    <w:rsid w:val="00992BBD"/>
    <w:rsid w:val="0099335F"/>
    <w:rsid w:val="00993471"/>
    <w:rsid w:val="00993584"/>
    <w:rsid w:val="00993799"/>
    <w:rsid w:val="00993F5E"/>
    <w:rsid w:val="00995F62"/>
    <w:rsid w:val="0099613B"/>
    <w:rsid w:val="009965BE"/>
    <w:rsid w:val="00996868"/>
    <w:rsid w:val="00996A7C"/>
    <w:rsid w:val="00997D94"/>
    <w:rsid w:val="00997F8C"/>
    <w:rsid w:val="009A0EC8"/>
    <w:rsid w:val="009A135E"/>
    <w:rsid w:val="009A1E84"/>
    <w:rsid w:val="009A23BD"/>
    <w:rsid w:val="009A3352"/>
    <w:rsid w:val="009A3783"/>
    <w:rsid w:val="009A4AE6"/>
    <w:rsid w:val="009A530C"/>
    <w:rsid w:val="009A5C29"/>
    <w:rsid w:val="009A65A4"/>
    <w:rsid w:val="009A77E7"/>
    <w:rsid w:val="009B157A"/>
    <w:rsid w:val="009B1604"/>
    <w:rsid w:val="009B206A"/>
    <w:rsid w:val="009B246D"/>
    <w:rsid w:val="009B27C5"/>
    <w:rsid w:val="009B3592"/>
    <w:rsid w:val="009B3881"/>
    <w:rsid w:val="009B38FD"/>
    <w:rsid w:val="009B452E"/>
    <w:rsid w:val="009B4B18"/>
    <w:rsid w:val="009B4CEE"/>
    <w:rsid w:val="009B4D43"/>
    <w:rsid w:val="009B4FCF"/>
    <w:rsid w:val="009B556E"/>
    <w:rsid w:val="009B744C"/>
    <w:rsid w:val="009B7DE0"/>
    <w:rsid w:val="009C0560"/>
    <w:rsid w:val="009C09DA"/>
    <w:rsid w:val="009C1930"/>
    <w:rsid w:val="009C2AEC"/>
    <w:rsid w:val="009C3643"/>
    <w:rsid w:val="009C4D22"/>
    <w:rsid w:val="009C52BE"/>
    <w:rsid w:val="009C59D6"/>
    <w:rsid w:val="009C5C3C"/>
    <w:rsid w:val="009C5E19"/>
    <w:rsid w:val="009C6BBC"/>
    <w:rsid w:val="009C7FF0"/>
    <w:rsid w:val="009D000E"/>
    <w:rsid w:val="009D01FE"/>
    <w:rsid w:val="009D0742"/>
    <w:rsid w:val="009D0E26"/>
    <w:rsid w:val="009D1B18"/>
    <w:rsid w:val="009D2842"/>
    <w:rsid w:val="009D37C5"/>
    <w:rsid w:val="009D3B28"/>
    <w:rsid w:val="009D3D1E"/>
    <w:rsid w:val="009D47B7"/>
    <w:rsid w:val="009D4A22"/>
    <w:rsid w:val="009D4E9F"/>
    <w:rsid w:val="009D55C2"/>
    <w:rsid w:val="009D5AEE"/>
    <w:rsid w:val="009D60DE"/>
    <w:rsid w:val="009D6CE5"/>
    <w:rsid w:val="009D7DFB"/>
    <w:rsid w:val="009E0161"/>
    <w:rsid w:val="009E04F1"/>
    <w:rsid w:val="009E0703"/>
    <w:rsid w:val="009E19E5"/>
    <w:rsid w:val="009E1B57"/>
    <w:rsid w:val="009E1F91"/>
    <w:rsid w:val="009E26D3"/>
    <w:rsid w:val="009E2B82"/>
    <w:rsid w:val="009E2F9A"/>
    <w:rsid w:val="009E318E"/>
    <w:rsid w:val="009E361A"/>
    <w:rsid w:val="009E374B"/>
    <w:rsid w:val="009E3EB2"/>
    <w:rsid w:val="009E3EE5"/>
    <w:rsid w:val="009E42CC"/>
    <w:rsid w:val="009E5B91"/>
    <w:rsid w:val="009E608A"/>
    <w:rsid w:val="009E644D"/>
    <w:rsid w:val="009E701D"/>
    <w:rsid w:val="009E7F56"/>
    <w:rsid w:val="009E7F68"/>
    <w:rsid w:val="009F09A2"/>
    <w:rsid w:val="009F0FCD"/>
    <w:rsid w:val="009F0FFF"/>
    <w:rsid w:val="009F144C"/>
    <w:rsid w:val="009F21D9"/>
    <w:rsid w:val="009F29C2"/>
    <w:rsid w:val="009F335C"/>
    <w:rsid w:val="009F37FD"/>
    <w:rsid w:val="009F3FDF"/>
    <w:rsid w:val="009F4E6E"/>
    <w:rsid w:val="009F59D1"/>
    <w:rsid w:val="009F6642"/>
    <w:rsid w:val="009F67FD"/>
    <w:rsid w:val="009F6E2A"/>
    <w:rsid w:val="00A00C95"/>
    <w:rsid w:val="00A010C6"/>
    <w:rsid w:val="00A029FD"/>
    <w:rsid w:val="00A02B2A"/>
    <w:rsid w:val="00A02BD4"/>
    <w:rsid w:val="00A02E7A"/>
    <w:rsid w:val="00A02F17"/>
    <w:rsid w:val="00A02FE3"/>
    <w:rsid w:val="00A0464A"/>
    <w:rsid w:val="00A05978"/>
    <w:rsid w:val="00A07F50"/>
    <w:rsid w:val="00A10263"/>
    <w:rsid w:val="00A10655"/>
    <w:rsid w:val="00A109AE"/>
    <w:rsid w:val="00A10A07"/>
    <w:rsid w:val="00A113E2"/>
    <w:rsid w:val="00A11745"/>
    <w:rsid w:val="00A11AB7"/>
    <w:rsid w:val="00A130E9"/>
    <w:rsid w:val="00A13D8B"/>
    <w:rsid w:val="00A13FC7"/>
    <w:rsid w:val="00A14608"/>
    <w:rsid w:val="00A15643"/>
    <w:rsid w:val="00A156EC"/>
    <w:rsid w:val="00A15AF1"/>
    <w:rsid w:val="00A164F2"/>
    <w:rsid w:val="00A16638"/>
    <w:rsid w:val="00A16D54"/>
    <w:rsid w:val="00A1763A"/>
    <w:rsid w:val="00A178A4"/>
    <w:rsid w:val="00A20060"/>
    <w:rsid w:val="00A203C7"/>
    <w:rsid w:val="00A20B0C"/>
    <w:rsid w:val="00A221EB"/>
    <w:rsid w:val="00A22451"/>
    <w:rsid w:val="00A22542"/>
    <w:rsid w:val="00A22825"/>
    <w:rsid w:val="00A22A69"/>
    <w:rsid w:val="00A24B8C"/>
    <w:rsid w:val="00A25181"/>
    <w:rsid w:val="00A254D0"/>
    <w:rsid w:val="00A25C43"/>
    <w:rsid w:val="00A2636B"/>
    <w:rsid w:val="00A26467"/>
    <w:rsid w:val="00A27101"/>
    <w:rsid w:val="00A2744A"/>
    <w:rsid w:val="00A279F9"/>
    <w:rsid w:val="00A27F8E"/>
    <w:rsid w:val="00A309A9"/>
    <w:rsid w:val="00A30E65"/>
    <w:rsid w:val="00A31B7B"/>
    <w:rsid w:val="00A32345"/>
    <w:rsid w:val="00A325BB"/>
    <w:rsid w:val="00A32D4A"/>
    <w:rsid w:val="00A33396"/>
    <w:rsid w:val="00A33913"/>
    <w:rsid w:val="00A33FFA"/>
    <w:rsid w:val="00A34FC5"/>
    <w:rsid w:val="00A356C1"/>
    <w:rsid w:val="00A3584C"/>
    <w:rsid w:val="00A35E11"/>
    <w:rsid w:val="00A36007"/>
    <w:rsid w:val="00A36763"/>
    <w:rsid w:val="00A367E6"/>
    <w:rsid w:val="00A37065"/>
    <w:rsid w:val="00A374F5"/>
    <w:rsid w:val="00A377F6"/>
    <w:rsid w:val="00A37E67"/>
    <w:rsid w:val="00A402F5"/>
    <w:rsid w:val="00A4077C"/>
    <w:rsid w:val="00A40C32"/>
    <w:rsid w:val="00A4262B"/>
    <w:rsid w:val="00A43012"/>
    <w:rsid w:val="00A43170"/>
    <w:rsid w:val="00A445DA"/>
    <w:rsid w:val="00A44D1D"/>
    <w:rsid w:val="00A44DAB"/>
    <w:rsid w:val="00A45200"/>
    <w:rsid w:val="00A45AA4"/>
    <w:rsid w:val="00A45DEC"/>
    <w:rsid w:val="00A45F83"/>
    <w:rsid w:val="00A45FF6"/>
    <w:rsid w:val="00A46A6C"/>
    <w:rsid w:val="00A46A79"/>
    <w:rsid w:val="00A4733B"/>
    <w:rsid w:val="00A47705"/>
    <w:rsid w:val="00A47708"/>
    <w:rsid w:val="00A478C3"/>
    <w:rsid w:val="00A47947"/>
    <w:rsid w:val="00A50C0A"/>
    <w:rsid w:val="00A50FAF"/>
    <w:rsid w:val="00A51989"/>
    <w:rsid w:val="00A5208F"/>
    <w:rsid w:val="00A52646"/>
    <w:rsid w:val="00A53596"/>
    <w:rsid w:val="00A5430D"/>
    <w:rsid w:val="00A54953"/>
    <w:rsid w:val="00A54E24"/>
    <w:rsid w:val="00A56370"/>
    <w:rsid w:val="00A56B65"/>
    <w:rsid w:val="00A57103"/>
    <w:rsid w:val="00A578BF"/>
    <w:rsid w:val="00A57BB3"/>
    <w:rsid w:val="00A57C92"/>
    <w:rsid w:val="00A6038D"/>
    <w:rsid w:val="00A60435"/>
    <w:rsid w:val="00A61283"/>
    <w:rsid w:val="00A6172F"/>
    <w:rsid w:val="00A620E3"/>
    <w:rsid w:val="00A624B8"/>
    <w:rsid w:val="00A62F95"/>
    <w:rsid w:val="00A6308B"/>
    <w:rsid w:val="00A63858"/>
    <w:rsid w:val="00A63F04"/>
    <w:rsid w:val="00A642DF"/>
    <w:rsid w:val="00A642E4"/>
    <w:rsid w:val="00A64C06"/>
    <w:rsid w:val="00A65C86"/>
    <w:rsid w:val="00A67263"/>
    <w:rsid w:val="00A6772F"/>
    <w:rsid w:val="00A67D0A"/>
    <w:rsid w:val="00A70408"/>
    <w:rsid w:val="00A708AA"/>
    <w:rsid w:val="00A708F2"/>
    <w:rsid w:val="00A709B8"/>
    <w:rsid w:val="00A714D0"/>
    <w:rsid w:val="00A71A58"/>
    <w:rsid w:val="00A71A96"/>
    <w:rsid w:val="00A7331D"/>
    <w:rsid w:val="00A7339B"/>
    <w:rsid w:val="00A735A5"/>
    <w:rsid w:val="00A73D4B"/>
    <w:rsid w:val="00A7404E"/>
    <w:rsid w:val="00A747D4"/>
    <w:rsid w:val="00A74E28"/>
    <w:rsid w:val="00A755BA"/>
    <w:rsid w:val="00A7573C"/>
    <w:rsid w:val="00A7593E"/>
    <w:rsid w:val="00A769C5"/>
    <w:rsid w:val="00A76B5B"/>
    <w:rsid w:val="00A76C49"/>
    <w:rsid w:val="00A77013"/>
    <w:rsid w:val="00A812B8"/>
    <w:rsid w:val="00A8194D"/>
    <w:rsid w:val="00A82375"/>
    <w:rsid w:val="00A829C2"/>
    <w:rsid w:val="00A82DBB"/>
    <w:rsid w:val="00A830DA"/>
    <w:rsid w:val="00A8324A"/>
    <w:rsid w:val="00A83459"/>
    <w:rsid w:val="00A8386C"/>
    <w:rsid w:val="00A83C09"/>
    <w:rsid w:val="00A8410B"/>
    <w:rsid w:val="00A84327"/>
    <w:rsid w:val="00A85924"/>
    <w:rsid w:val="00A85996"/>
    <w:rsid w:val="00A85F68"/>
    <w:rsid w:val="00A86A8E"/>
    <w:rsid w:val="00A87DFE"/>
    <w:rsid w:val="00A900D6"/>
    <w:rsid w:val="00A902E2"/>
    <w:rsid w:val="00A90CFD"/>
    <w:rsid w:val="00A90ECA"/>
    <w:rsid w:val="00A92042"/>
    <w:rsid w:val="00A94F4C"/>
    <w:rsid w:val="00A95063"/>
    <w:rsid w:val="00A95696"/>
    <w:rsid w:val="00A960BB"/>
    <w:rsid w:val="00A966DD"/>
    <w:rsid w:val="00A976B3"/>
    <w:rsid w:val="00A97B5D"/>
    <w:rsid w:val="00A97EF8"/>
    <w:rsid w:val="00AA038E"/>
    <w:rsid w:val="00AA1005"/>
    <w:rsid w:val="00AA125C"/>
    <w:rsid w:val="00AA1974"/>
    <w:rsid w:val="00AA19C0"/>
    <w:rsid w:val="00AA2256"/>
    <w:rsid w:val="00AA281A"/>
    <w:rsid w:val="00AA2D4E"/>
    <w:rsid w:val="00AA2F43"/>
    <w:rsid w:val="00AA3472"/>
    <w:rsid w:val="00AA3480"/>
    <w:rsid w:val="00AA3724"/>
    <w:rsid w:val="00AA4568"/>
    <w:rsid w:val="00AA48CC"/>
    <w:rsid w:val="00AA495C"/>
    <w:rsid w:val="00AA4C7D"/>
    <w:rsid w:val="00AA5247"/>
    <w:rsid w:val="00AA7189"/>
    <w:rsid w:val="00AA718A"/>
    <w:rsid w:val="00AA74C7"/>
    <w:rsid w:val="00AB0DDC"/>
    <w:rsid w:val="00AB0E0C"/>
    <w:rsid w:val="00AB104C"/>
    <w:rsid w:val="00AB1A0F"/>
    <w:rsid w:val="00AB1EFE"/>
    <w:rsid w:val="00AB2DC5"/>
    <w:rsid w:val="00AB33DD"/>
    <w:rsid w:val="00AB34A9"/>
    <w:rsid w:val="00AB429B"/>
    <w:rsid w:val="00AB4BCA"/>
    <w:rsid w:val="00AB5041"/>
    <w:rsid w:val="00AB66BD"/>
    <w:rsid w:val="00AB694E"/>
    <w:rsid w:val="00AB711F"/>
    <w:rsid w:val="00AB7305"/>
    <w:rsid w:val="00AB7C17"/>
    <w:rsid w:val="00AC0866"/>
    <w:rsid w:val="00AC135D"/>
    <w:rsid w:val="00AC1F21"/>
    <w:rsid w:val="00AC26C3"/>
    <w:rsid w:val="00AC30F2"/>
    <w:rsid w:val="00AC3817"/>
    <w:rsid w:val="00AC38CA"/>
    <w:rsid w:val="00AC3E00"/>
    <w:rsid w:val="00AC3E8D"/>
    <w:rsid w:val="00AC3E9B"/>
    <w:rsid w:val="00AC4E27"/>
    <w:rsid w:val="00AC5323"/>
    <w:rsid w:val="00AC5B15"/>
    <w:rsid w:val="00AC5EB5"/>
    <w:rsid w:val="00AC6A65"/>
    <w:rsid w:val="00AD1468"/>
    <w:rsid w:val="00AD18A5"/>
    <w:rsid w:val="00AD2159"/>
    <w:rsid w:val="00AD24C0"/>
    <w:rsid w:val="00AD2709"/>
    <w:rsid w:val="00AD393D"/>
    <w:rsid w:val="00AD4146"/>
    <w:rsid w:val="00AD4C56"/>
    <w:rsid w:val="00AD5649"/>
    <w:rsid w:val="00AD58AE"/>
    <w:rsid w:val="00AD5AF6"/>
    <w:rsid w:val="00AD619B"/>
    <w:rsid w:val="00AD6251"/>
    <w:rsid w:val="00AD6532"/>
    <w:rsid w:val="00AD65C5"/>
    <w:rsid w:val="00AD66B4"/>
    <w:rsid w:val="00AD6B0A"/>
    <w:rsid w:val="00AD6CAE"/>
    <w:rsid w:val="00AE018D"/>
    <w:rsid w:val="00AE064D"/>
    <w:rsid w:val="00AE069B"/>
    <w:rsid w:val="00AE0A97"/>
    <w:rsid w:val="00AE0CC2"/>
    <w:rsid w:val="00AE0E9F"/>
    <w:rsid w:val="00AE1472"/>
    <w:rsid w:val="00AE1D29"/>
    <w:rsid w:val="00AE2E35"/>
    <w:rsid w:val="00AE37DC"/>
    <w:rsid w:val="00AE3BEC"/>
    <w:rsid w:val="00AE42D4"/>
    <w:rsid w:val="00AE505A"/>
    <w:rsid w:val="00AE52AC"/>
    <w:rsid w:val="00AE54E6"/>
    <w:rsid w:val="00AE5C8F"/>
    <w:rsid w:val="00AE64C0"/>
    <w:rsid w:val="00AE64F3"/>
    <w:rsid w:val="00AE683D"/>
    <w:rsid w:val="00AE6C36"/>
    <w:rsid w:val="00AE6F10"/>
    <w:rsid w:val="00AE6FC5"/>
    <w:rsid w:val="00AE7C46"/>
    <w:rsid w:val="00AE7F27"/>
    <w:rsid w:val="00AF003C"/>
    <w:rsid w:val="00AF00A7"/>
    <w:rsid w:val="00AF00BF"/>
    <w:rsid w:val="00AF0652"/>
    <w:rsid w:val="00AF073A"/>
    <w:rsid w:val="00AF0CEA"/>
    <w:rsid w:val="00AF16E0"/>
    <w:rsid w:val="00AF1A0A"/>
    <w:rsid w:val="00AF1CFB"/>
    <w:rsid w:val="00AF1E15"/>
    <w:rsid w:val="00AF2A13"/>
    <w:rsid w:val="00AF2E34"/>
    <w:rsid w:val="00AF2FC4"/>
    <w:rsid w:val="00AF45D7"/>
    <w:rsid w:val="00AF4C01"/>
    <w:rsid w:val="00AF4D60"/>
    <w:rsid w:val="00AF668F"/>
    <w:rsid w:val="00AF682E"/>
    <w:rsid w:val="00AF6B73"/>
    <w:rsid w:val="00AF6E18"/>
    <w:rsid w:val="00AF746B"/>
    <w:rsid w:val="00AF78FB"/>
    <w:rsid w:val="00AFD9A5"/>
    <w:rsid w:val="00B0008D"/>
    <w:rsid w:val="00B00340"/>
    <w:rsid w:val="00B012E2"/>
    <w:rsid w:val="00B027FF"/>
    <w:rsid w:val="00B02E81"/>
    <w:rsid w:val="00B03230"/>
    <w:rsid w:val="00B03DCB"/>
    <w:rsid w:val="00B048DF"/>
    <w:rsid w:val="00B04CBE"/>
    <w:rsid w:val="00B06448"/>
    <w:rsid w:val="00B07864"/>
    <w:rsid w:val="00B1003F"/>
    <w:rsid w:val="00B1010B"/>
    <w:rsid w:val="00B1050C"/>
    <w:rsid w:val="00B10AFE"/>
    <w:rsid w:val="00B11C70"/>
    <w:rsid w:val="00B13578"/>
    <w:rsid w:val="00B136EC"/>
    <w:rsid w:val="00B13CDC"/>
    <w:rsid w:val="00B13F59"/>
    <w:rsid w:val="00B13FBF"/>
    <w:rsid w:val="00B140A6"/>
    <w:rsid w:val="00B14945"/>
    <w:rsid w:val="00B151E0"/>
    <w:rsid w:val="00B152FC"/>
    <w:rsid w:val="00B156DC"/>
    <w:rsid w:val="00B16425"/>
    <w:rsid w:val="00B16DED"/>
    <w:rsid w:val="00B1748A"/>
    <w:rsid w:val="00B17642"/>
    <w:rsid w:val="00B17A5A"/>
    <w:rsid w:val="00B203DD"/>
    <w:rsid w:val="00B216D3"/>
    <w:rsid w:val="00B21844"/>
    <w:rsid w:val="00B21A13"/>
    <w:rsid w:val="00B22E48"/>
    <w:rsid w:val="00B2362B"/>
    <w:rsid w:val="00B25400"/>
    <w:rsid w:val="00B25B31"/>
    <w:rsid w:val="00B25B61"/>
    <w:rsid w:val="00B27512"/>
    <w:rsid w:val="00B2A4AD"/>
    <w:rsid w:val="00B305DB"/>
    <w:rsid w:val="00B307EE"/>
    <w:rsid w:val="00B30FC6"/>
    <w:rsid w:val="00B31526"/>
    <w:rsid w:val="00B31C4A"/>
    <w:rsid w:val="00B31C75"/>
    <w:rsid w:val="00B31DE6"/>
    <w:rsid w:val="00B3215C"/>
    <w:rsid w:val="00B324ED"/>
    <w:rsid w:val="00B32F55"/>
    <w:rsid w:val="00B339C7"/>
    <w:rsid w:val="00B34C20"/>
    <w:rsid w:val="00B35272"/>
    <w:rsid w:val="00B35556"/>
    <w:rsid w:val="00B35796"/>
    <w:rsid w:val="00B364F8"/>
    <w:rsid w:val="00B36600"/>
    <w:rsid w:val="00B36CFD"/>
    <w:rsid w:val="00B37C11"/>
    <w:rsid w:val="00B4059E"/>
    <w:rsid w:val="00B405C4"/>
    <w:rsid w:val="00B409E4"/>
    <w:rsid w:val="00B40CBF"/>
    <w:rsid w:val="00B414F2"/>
    <w:rsid w:val="00B42925"/>
    <w:rsid w:val="00B42D88"/>
    <w:rsid w:val="00B42E2D"/>
    <w:rsid w:val="00B42F12"/>
    <w:rsid w:val="00B43893"/>
    <w:rsid w:val="00B43B48"/>
    <w:rsid w:val="00B4415D"/>
    <w:rsid w:val="00B44823"/>
    <w:rsid w:val="00B4482D"/>
    <w:rsid w:val="00B4573C"/>
    <w:rsid w:val="00B46F86"/>
    <w:rsid w:val="00B47F7F"/>
    <w:rsid w:val="00B51C73"/>
    <w:rsid w:val="00B51DA0"/>
    <w:rsid w:val="00B5294A"/>
    <w:rsid w:val="00B541D8"/>
    <w:rsid w:val="00B54D15"/>
    <w:rsid w:val="00B55D92"/>
    <w:rsid w:val="00B5613B"/>
    <w:rsid w:val="00B56BF3"/>
    <w:rsid w:val="00B56F93"/>
    <w:rsid w:val="00B57D86"/>
    <w:rsid w:val="00B57EC9"/>
    <w:rsid w:val="00B6012A"/>
    <w:rsid w:val="00B61E21"/>
    <w:rsid w:val="00B62688"/>
    <w:rsid w:val="00B62962"/>
    <w:rsid w:val="00B63A10"/>
    <w:rsid w:val="00B63B0E"/>
    <w:rsid w:val="00B63E41"/>
    <w:rsid w:val="00B6497D"/>
    <w:rsid w:val="00B64CAF"/>
    <w:rsid w:val="00B6588F"/>
    <w:rsid w:val="00B66D81"/>
    <w:rsid w:val="00B66DC5"/>
    <w:rsid w:val="00B678CE"/>
    <w:rsid w:val="00B70092"/>
    <w:rsid w:val="00B70CF1"/>
    <w:rsid w:val="00B7144B"/>
    <w:rsid w:val="00B725CF"/>
    <w:rsid w:val="00B72BA4"/>
    <w:rsid w:val="00B7371F"/>
    <w:rsid w:val="00B73D9E"/>
    <w:rsid w:val="00B73E0C"/>
    <w:rsid w:val="00B7418E"/>
    <w:rsid w:val="00B7418F"/>
    <w:rsid w:val="00B7496A"/>
    <w:rsid w:val="00B75016"/>
    <w:rsid w:val="00B7651B"/>
    <w:rsid w:val="00B7725B"/>
    <w:rsid w:val="00B77316"/>
    <w:rsid w:val="00B77D8F"/>
    <w:rsid w:val="00B77E21"/>
    <w:rsid w:val="00B77E4A"/>
    <w:rsid w:val="00B80B0B"/>
    <w:rsid w:val="00B80B9A"/>
    <w:rsid w:val="00B81D0D"/>
    <w:rsid w:val="00B832CF"/>
    <w:rsid w:val="00B832E0"/>
    <w:rsid w:val="00B8332A"/>
    <w:rsid w:val="00B836E5"/>
    <w:rsid w:val="00B83B2F"/>
    <w:rsid w:val="00B84974"/>
    <w:rsid w:val="00B84D59"/>
    <w:rsid w:val="00B854DF"/>
    <w:rsid w:val="00B8648A"/>
    <w:rsid w:val="00B8654B"/>
    <w:rsid w:val="00B86922"/>
    <w:rsid w:val="00B86CA2"/>
    <w:rsid w:val="00B86EA5"/>
    <w:rsid w:val="00B87D59"/>
    <w:rsid w:val="00B90605"/>
    <w:rsid w:val="00B9077A"/>
    <w:rsid w:val="00B91C6B"/>
    <w:rsid w:val="00B91DEA"/>
    <w:rsid w:val="00B91F7E"/>
    <w:rsid w:val="00B92FC3"/>
    <w:rsid w:val="00B9373E"/>
    <w:rsid w:val="00B93B1E"/>
    <w:rsid w:val="00B93DA3"/>
    <w:rsid w:val="00B93E8F"/>
    <w:rsid w:val="00B947A2"/>
    <w:rsid w:val="00B951B4"/>
    <w:rsid w:val="00B9585B"/>
    <w:rsid w:val="00B959C9"/>
    <w:rsid w:val="00B95DCF"/>
    <w:rsid w:val="00B977B6"/>
    <w:rsid w:val="00B97C99"/>
    <w:rsid w:val="00B97F62"/>
    <w:rsid w:val="00BA00AF"/>
    <w:rsid w:val="00BA0BBF"/>
    <w:rsid w:val="00BA1133"/>
    <w:rsid w:val="00BA13C1"/>
    <w:rsid w:val="00BA16B6"/>
    <w:rsid w:val="00BA2467"/>
    <w:rsid w:val="00BA3D2F"/>
    <w:rsid w:val="00BA4E59"/>
    <w:rsid w:val="00BA5DB3"/>
    <w:rsid w:val="00BA5F90"/>
    <w:rsid w:val="00BA5FE4"/>
    <w:rsid w:val="00BA6078"/>
    <w:rsid w:val="00BA60CE"/>
    <w:rsid w:val="00BA64B6"/>
    <w:rsid w:val="00BA6C8A"/>
    <w:rsid w:val="00BA7CA3"/>
    <w:rsid w:val="00BAF7CD"/>
    <w:rsid w:val="00BB0D21"/>
    <w:rsid w:val="00BB0F8D"/>
    <w:rsid w:val="00BB0FC7"/>
    <w:rsid w:val="00BB1AE0"/>
    <w:rsid w:val="00BB217B"/>
    <w:rsid w:val="00BB3090"/>
    <w:rsid w:val="00BB37DB"/>
    <w:rsid w:val="00BB4FFA"/>
    <w:rsid w:val="00BB52CC"/>
    <w:rsid w:val="00BB6922"/>
    <w:rsid w:val="00BB7316"/>
    <w:rsid w:val="00BC0457"/>
    <w:rsid w:val="00BC0905"/>
    <w:rsid w:val="00BC10F3"/>
    <w:rsid w:val="00BC13E0"/>
    <w:rsid w:val="00BC1AE7"/>
    <w:rsid w:val="00BC1CC0"/>
    <w:rsid w:val="00BC23F0"/>
    <w:rsid w:val="00BC27CB"/>
    <w:rsid w:val="00BC280F"/>
    <w:rsid w:val="00BC2976"/>
    <w:rsid w:val="00BC2E99"/>
    <w:rsid w:val="00BC4CCF"/>
    <w:rsid w:val="00BC50CB"/>
    <w:rsid w:val="00BC6368"/>
    <w:rsid w:val="00BC66FA"/>
    <w:rsid w:val="00BC6A16"/>
    <w:rsid w:val="00BD02B0"/>
    <w:rsid w:val="00BD06C4"/>
    <w:rsid w:val="00BD0E7E"/>
    <w:rsid w:val="00BD2937"/>
    <w:rsid w:val="00BD2B83"/>
    <w:rsid w:val="00BD3D8D"/>
    <w:rsid w:val="00BD451E"/>
    <w:rsid w:val="00BD4576"/>
    <w:rsid w:val="00BD4A4C"/>
    <w:rsid w:val="00BD4E2F"/>
    <w:rsid w:val="00BD5103"/>
    <w:rsid w:val="00BD57BE"/>
    <w:rsid w:val="00BD6946"/>
    <w:rsid w:val="00BD71AF"/>
    <w:rsid w:val="00BD7E52"/>
    <w:rsid w:val="00BE0125"/>
    <w:rsid w:val="00BE02B5"/>
    <w:rsid w:val="00BE08D4"/>
    <w:rsid w:val="00BE0D8A"/>
    <w:rsid w:val="00BE1EFA"/>
    <w:rsid w:val="00BE30FC"/>
    <w:rsid w:val="00BE34A1"/>
    <w:rsid w:val="00BE39EB"/>
    <w:rsid w:val="00BE3D9C"/>
    <w:rsid w:val="00BE434D"/>
    <w:rsid w:val="00BE496D"/>
    <w:rsid w:val="00BE4F44"/>
    <w:rsid w:val="00BE55CE"/>
    <w:rsid w:val="00BE56F6"/>
    <w:rsid w:val="00BE5AF6"/>
    <w:rsid w:val="00BE6025"/>
    <w:rsid w:val="00BE7D25"/>
    <w:rsid w:val="00BF0326"/>
    <w:rsid w:val="00BF03A2"/>
    <w:rsid w:val="00BF0549"/>
    <w:rsid w:val="00BF0D51"/>
    <w:rsid w:val="00BF1C42"/>
    <w:rsid w:val="00BF1F75"/>
    <w:rsid w:val="00BF24C3"/>
    <w:rsid w:val="00BF3538"/>
    <w:rsid w:val="00BF37D1"/>
    <w:rsid w:val="00BF4BFF"/>
    <w:rsid w:val="00BF5483"/>
    <w:rsid w:val="00BF6315"/>
    <w:rsid w:val="00BF69E3"/>
    <w:rsid w:val="00BF6EB0"/>
    <w:rsid w:val="00BF7A70"/>
    <w:rsid w:val="00BF7AB4"/>
    <w:rsid w:val="00C001DD"/>
    <w:rsid w:val="00C01174"/>
    <w:rsid w:val="00C012CA"/>
    <w:rsid w:val="00C01CD6"/>
    <w:rsid w:val="00C023C7"/>
    <w:rsid w:val="00C0242C"/>
    <w:rsid w:val="00C0247C"/>
    <w:rsid w:val="00C03C50"/>
    <w:rsid w:val="00C03D78"/>
    <w:rsid w:val="00C04718"/>
    <w:rsid w:val="00C04DD9"/>
    <w:rsid w:val="00C05FD6"/>
    <w:rsid w:val="00C0645E"/>
    <w:rsid w:val="00C064E0"/>
    <w:rsid w:val="00C07A7F"/>
    <w:rsid w:val="00C10402"/>
    <w:rsid w:val="00C10D75"/>
    <w:rsid w:val="00C11D24"/>
    <w:rsid w:val="00C122EE"/>
    <w:rsid w:val="00C1243E"/>
    <w:rsid w:val="00C13143"/>
    <w:rsid w:val="00C136E2"/>
    <w:rsid w:val="00C138B4"/>
    <w:rsid w:val="00C13FB1"/>
    <w:rsid w:val="00C1400E"/>
    <w:rsid w:val="00C15354"/>
    <w:rsid w:val="00C15DCB"/>
    <w:rsid w:val="00C15E00"/>
    <w:rsid w:val="00C15E74"/>
    <w:rsid w:val="00C16322"/>
    <w:rsid w:val="00C16594"/>
    <w:rsid w:val="00C16636"/>
    <w:rsid w:val="00C166FD"/>
    <w:rsid w:val="00C178B3"/>
    <w:rsid w:val="00C178CF"/>
    <w:rsid w:val="00C17DC8"/>
    <w:rsid w:val="00C20492"/>
    <w:rsid w:val="00C20B3F"/>
    <w:rsid w:val="00C20FE7"/>
    <w:rsid w:val="00C2109E"/>
    <w:rsid w:val="00C21CE0"/>
    <w:rsid w:val="00C22039"/>
    <w:rsid w:val="00C22EF8"/>
    <w:rsid w:val="00C232DE"/>
    <w:rsid w:val="00C23B90"/>
    <w:rsid w:val="00C23F81"/>
    <w:rsid w:val="00C2427B"/>
    <w:rsid w:val="00C2443E"/>
    <w:rsid w:val="00C24C08"/>
    <w:rsid w:val="00C256F6"/>
    <w:rsid w:val="00C2616A"/>
    <w:rsid w:val="00C26ECA"/>
    <w:rsid w:val="00C26F27"/>
    <w:rsid w:val="00C2771C"/>
    <w:rsid w:val="00C3064C"/>
    <w:rsid w:val="00C31010"/>
    <w:rsid w:val="00C31531"/>
    <w:rsid w:val="00C320BC"/>
    <w:rsid w:val="00C32ACE"/>
    <w:rsid w:val="00C33349"/>
    <w:rsid w:val="00C334D7"/>
    <w:rsid w:val="00C33941"/>
    <w:rsid w:val="00C33F43"/>
    <w:rsid w:val="00C341A5"/>
    <w:rsid w:val="00C3442A"/>
    <w:rsid w:val="00C345C4"/>
    <w:rsid w:val="00C3486F"/>
    <w:rsid w:val="00C35401"/>
    <w:rsid w:val="00C358EE"/>
    <w:rsid w:val="00C360BF"/>
    <w:rsid w:val="00C36557"/>
    <w:rsid w:val="00C36F63"/>
    <w:rsid w:val="00C37015"/>
    <w:rsid w:val="00C410E3"/>
    <w:rsid w:val="00C42720"/>
    <w:rsid w:val="00C42A19"/>
    <w:rsid w:val="00C433C1"/>
    <w:rsid w:val="00C43B7F"/>
    <w:rsid w:val="00C44447"/>
    <w:rsid w:val="00C44D69"/>
    <w:rsid w:val="00C44FB5"/>
    <w:rsid w:val="00C457A8"/>
    <w:rsid w:val="00C45B3F"/>
    <w:rsid w:val="00C45BF7"/>
    <w:rsid w:val="00C46377"/>
    <w:rsid w:val="00C46395"/>
    <w:rsid w:val="00C47123"/>
    <w:rsid w:val="00C4759D"/>
    <w:rsid w:val="00C47885"/>
    <w:rsid w:val="00C47BB8"/>
    <w:rsid w:val="00C505A1"/>
    <w:rsid w:val="00C50BF5"/>
    <w:rsid w:val="00C50BF8"/>
    <w:rsid w:val="00C51524"/>
    <w:rsid w:val="00C51C72"/>
    <w:rsid w:val="00C52F7C"/>
    <w:rsid w:val="00C53985"/>
    <w:rsid w:val="00C53B48"/>
    <w:rsid w:val="00C53DD3"/>
    <w:rsid w:val="00C54903"/>
    <w:rsid w:val="00C54BE6"/>
    <w:rsid w:val="00C54E04"/>
    <w:rsid w:val="00C557FA"/>
    <w:rsid w:val="00C5603B"/>
    <w:rsid w:val="00C56507"/>
    <w:rsid w:val="00C57209"/>
    <w:rsid w:val="00C574B3"/>
    <w:rsid w:val="00C57542"/>
    <w:rsid w:val="00C57B68"/>
    <w:rsid w:val="00C60F0D"/>
    <w:rsid w:val="00C61084"/>
    <w:rsid w:val="00C612F0"/>
    <w:rsid w:val="00C620BB"/>
    <w:rsid w:val="00C62801"/>
    <w:rsid w:val="00C63BB8"/>
    <w:rsid w:val="00C64850"/>
    <w:rsid w:val="00C64CDB"/>
    <w:rsid w:val="00C64CE6"/>
    <w:rsid w:val="00C64FA1"/>
    <w:rsid w:val="00C654E1"/>
    <w:rsid w:val="00C6552E"/>
    <w:rsid w:val="00C66DEA"/>
    <w:rsid w:val="00C67F88"/>
    <w:rsid w:val="00C72127"/>
    <w:rsid w:val="00C72381"/>
    <w:rsid w:val="00C72B0E"/>
    <w:rsid w:val="00C731EF"/>
    <w:rsid w:val="00C73BCE"/>
    <w:rsid w:val="00C74080"/>
    <w:rsid w:val="00C7429C"/>
    <w:rsid w:val="00C7482C"/>
    <w:rsid w:val="00C755DD"/>
    <w:rsid w:val="00C75E7D"/>
    <w:rsid w:val="00C76811"/>
    <w:rsid w:val="00C76B2A"/>
    <w:rsid w:val="00C8044C"/>
    <w:rsid w:val="00C8100A"/>
    <w:rsid w:val="00C811B3"/>
    <w:rsid w:val="00C811E5"/>
    <w:rsid w:val="00C81287"/>
    <w:rsid w:val="00C82E2D"/>
    <w:rsid w:val="00C83656"/>
    <w:rsid w:val="00C83C43"/>
    <w:rsid w:val="00C84905"/>
    <w:rsid w:val="00C84E08"/>
    <w:rsid w:val="00C85810"/>
    <w:rsid w:val="00C85BCC"/>
    <w:rsid w:val="00C873D1"/>
    <w:rsid w:val="00C876BA"/>
    <w:rsid w:val="00C87750"/>
    <w:rsid w:val="00C915C9"/>
    <w:rsid w:val="00C916C8"/>
    <w:rsid w:val="00C91800"/>
    <w:rsid w:val="00C93046"/>
    <w:rsid w:val="00C93A0B"/>
    <w:rsid w:val="00C93B54"/>
    <w:rsid w:val="00C94D33"/>
    <w:rsid w:val="00C94E1E"/>
    <w:rsid w:val="00C950D8"/>
    <w:rsid w:val="00C95625"/>
    <w:rsid w:val="00C95A53"/>
    <w:rsid w:val="00C96D57"/>
    <w:rsid w:val="00C973B4"/>
    <w:rsid w:val="00C97DC2"/>
    <w:rsid w:val="00C97DD2"/>
    <w:rsid w:val="00CA0563"/>
    <w:rsid w:val="00CA0757"/>
    <w:rsid w:val="00CA0E27"/>
    <w:rsid w:val="00CA15C0"/>
    <w:rsid w:val="00CA18FC"/>
    <w:rsid w:val="00CA1CFB"/>
    <w:rsid w:val="00CA29D7"/>
    <w:rsid w:val="00CA31A0"/>
    <w:rsid w:val="00CA3B17"/>
    <w:rsid w:val="00CA3C5E"/>
    <w:rsid w:val="00CA4B41"/>
    <w:rsid w:val="00CA567E"/>
    <w:rsid w:val="00CA6398"/>
    <w:rsid w:val="00CA6646"/>
    <w:rsid w:val="00CA6CD9"/>
    <w:rsid w:val="00CA71FB"/>
    <w:rsid w:val="00CA7365"/>
    <w:rsid w:val="00CB022C"/>
    <w:rsid w:val="00CB0689"/>
    <w:rsid w:val="00CB08D8"/>
    <w:rsid w:val="00CB1F08"/>
    <w:rsid w:val="00CB25A7"/>
    <w:rsid w:val="00CB38C5"/>
    <w:rsid w:val="00CB3B99"/>
    <w:rsid w:val="00CB4A28"/>
    <w:rsid w:val="00CB4A2F"/>
    <w:rsid w:val="00CB4B6C"/>
    <w:rsid w:val="00CB5482"/>
    <w:rsid w:val="00CB551B"/>
    <w:rsid w:val="00CB5849"/>
    <w:rsid w:val="00CB5974"/>
    <w:rsid w:val="00CB639F"/>
    <w:rsid w:val="00CB6B24"/>
    <w:rsid w:val="00CB7387"/>
    <w:rsid w:val="00CC059D"/>
    <w:rsid w:val="00CC0657"/>
    <w:rsid w:val="00CC0E85"/>
    <w:rsid w:val="00CC0EFE"/>
    <w:rsid w:val="00CC12F4"/>
    <w:rsid w:val="00CC1D56"/>
    <w:rsid w:val="00CC1F7F"/>
    <w:rsid w:val="00CC35A9"/>
    <w:rsid w:val="00CC496B"/>
    <w:rsid w:val="00CC5CA6"/>
    <w:rsid w:val="00CC62AA"/>
    <w:rsid w:val="00CC69FC"/>
    <w:rsid w:val="00CC71BF"/>
    <w:rsid w:val="00CC7367"/>
    <w:rsid w:val="00CC7D27"/>
    <w:rsid w:val="00CD01D3"/>
    <w:rsid w:val="00CD01DB"/>
    <w:rsid w:val="00CD06DE"/>
    <w:rsid w:val="00CD096B"/>
    <w:rsid w:val="00CD1465"/>
    <w:rsid w:val="00CD1F0B"/>
    <w:rsid w:val="00CD32DA"/>
    <w:rsid w:val="00CD3CE2"/>
    <w:rsid w:val="00CD462D"/>
    <w:rsid w:val="00CD4EB6"/>
    <w:rsid w:val="00CD5FD0"/>
    <w:rsid w:val="00CD7521"/>
    <w:rsid w:val="00CD7B2E"/>
    <w:rsid w:val="00CD7C7F"/>
    <w:rsid w:val="00CE0F4A"/>
    <w:rsid w:val="00CE1921"/>
    <w:rsid w:val="00CE1A25"/>
    <w:rsid w:val="00CE1A86"/>
    <w:rsid w:val="00CE24F8"/>
    <w:rsid w:val="00CE4321"/>
    <w:rsid w:val="00CE4D45"/>
    <w:rsid w:val="00CE531D"/>
    <w:rsid w:val="00CE59D8"/>
    <w:rsid w:val="00CE5AB5"/>
    <w:rsid w:val="00CE6085"/>
    <w:rsid w:val="00CE619F"/>
    <w:rsid w:val="00CE6473"/>
    <w:rsid w:val="00CE6CDD"/>
    <w:rsid w:val="00CE7E1F"/>
    <w:rsid w:val="00CF01C0"/>
    <w:rsid w:val="00CF03E4"/>
    <w:rsid w:val="00CF0460"/>
    <w:rsid w:val="00CF067E"/>
    <w:rsid w:val="00CF0B49"/>
    <w:rsid w:val="00CF11BB"/>
    <w:rsid w:val="00CF1531"/>
    <w:rsid w:val="00CF197D"/>
    <w:rsid w:val="00CF29BC"/>
    <w:rsid w:val="00CF3108"/>
    <w:rsid w:val="00CF3244"/>
    <w:rsid w:val="00CF391C"/>
    <w:rsid w:val="00CF3D56"/>
    <w:rsid w:val="00CF3DF4"/>
    <w:rsid w:val="00CF3E3E"/>
    <w:rsid w:val="00CF400F"/>
    <w:rsid w:val="00CF456E"/>
    <w:rsid w:val="00CF56E3"/>
    <w:rsid w:val="00CF6FCB"/>
    <w:rsid w:val="00CF7791"/>
    <w:rsid w:val="00CF790A"/>
    <w:rsid w:val="00CF7CE6"/>
    <w:rsid w:val="00CF7D60"/>
    <w:rsid w:val="00D008B5"/>
    <w:rsid w:val="00D01EE8"/>
    <w:rsid w:val="00D0269A"/>
    <w:rsid w:val="00D029D3"/>
    <w:rsid w:val="00D034D5"/>
    <w:rsid w:val="00D03712"/>
    <w:rsid w:val="00D04110"/>
    <w:rsid w:val="00D0431F"/>
    <w:rsid w:val="00D04B33"/>
    <w:rsid w:val="00D0509D"/>
    <w:rsid w:val="00D05914"/>
    <w:rsid w:val="00D05A6A"/>
    <w:rsid w:val="00D06049"/>
    <w:rsid w:val="00D0657B"/>
    <w:rsid w:val="00D0793F"/>
    <w:rsid w:val="00D11A8D"/>
    <w:rsid w:val="00D11D91"/>
    <w:rsid w:val="00D12B1B"/>
    <w:rsid w:val="00D12DA3"/>
    <w:rsid w:val="00D12E4B"/>
    <w:rsid w:val="00D13378"/>
    <w:rsid w:val="00D13662"/>
    <w:rsid w:val="00D13985"/>
    <w:rsid w:val="00D1530C"/>
    <w:rsid w:val="00D15B31"/>
    <w:rsid w:val="00D15DB7"/>
    <w:rsid w:val="00D16191"/>
    <w:rsid w:val="00D1636A"/>
    <w:rsid w:val="00D164CE"/>
    <w:rsid w:val="00D16DDE"/>
    <w:rsid w:val="00D171A5"/>
    <w:rsid w:val="00D17926"/>
    <w:rsid w:val="00D200F4"/>
    <w:rsid w:val="00D202F6"/>
    <w:rsid w:val="00D21267"/>
    <w:rsid w:val="00D212F9"/>
    <w:rsid w:val="00D217F9"/>
    <w:rsid w:val="00D23219"/>
    <w:rsid w:val="00D23EE4"/>
    <w:rsid w:val="00D2435D"/>
    <w:rsid w:val="00D24509"/>
    <w:rsid w:val="00D257CC"/>
    <w:rsid w:val="00D26B7B"/>
    <w:rsid w:val="00D26DF4"/>
    <w:rsid w:val="00D2708C"/>
    <w:rsid w:val="00D27486"/>
    <w:rsid w:val="00D27515"/>
    <w:rsid w:val="00D3129F"/>
    <w:rsid w:val="00D3218A"/>
    <w:rsid w:val="00D32999"/>
    <w:rsid w:val="00D32F71"/>
    <w:rsid w:val="00D33FA6"/>
    <w:rsid w:val="00D34063"/>
    <w:rsid w:val="00D34D98"/>
    <w:rsid w:val="00D35B2A"/>
    <w:rsid w:val="00D35DF4"/>
    <w:rsid w:val="00D368A3"/>
    <w:rsid w:val="00D36979"/>
    <w:rsid w:val="00D36A5B"/>
    <w:rsid w:val="00D36B78"/>
    <w:rsid w:val="00D36E46"/>
    <w:rsid w:val="00D36FDE"/>
    <w:rsid w:val="00D3724F"/>
    <w:rsid w:val="00D378FA"/>
    <w:rsid w:val="00D37B3E"/>
    <w:rsid w:val="00D37BCE"/>
    <w:rsid w:val="00D37DD0"/>
    <w:rsid w:val="00D40EB1"/>
    <w:rsid w:val="00D416A8"/>
    <w:rsid w:val="00D41D28"/>
    <w:rsid w:val="00D4272F"/>
    <w:rsid w:val="00D4286B"/>
    <w:rsid w:val="00D42923"/>
    <w:rsid w:val="00D42A7B"/>
    <w:rsid w:val="00D42EAD"/>
    <w:rsid w:val="00D43043"/>
    <w:rsid w:val="00D43A86"/>
    <w:rsid w:val="00D43F59"/>
    <w:rsid w:val="00D44543"/>
    <w:rsid w:val="00D45C43"/>
    <w:rsid w:val="00D50AB0"/>
    <w:rsid w:val="00D525BE"/>
    <w:rsid w:val="00D52878"/>
    <w:rsid w:val="00D5297E"/>
    <w:rsid w:val="00D52A0A"/>
    <w:rsid w:val="00D52B82"/>
    <w:rsid w:val="00D53714"/>
    <w:rsid w:val="00D53F40"/>
    <w:rsid w:val="00D542CE"/>
    <w:rsid w:val="00D5435E"/>
    <w:rsid w:val="00D545EC"/>
    <w:rsid w:val="00D54E7B"/>
    <w:rsid w:val="00D55970"/>
    <w:rsid w:val="00D563EB"/>
    <w:rsid w:val="00D5662A"/>
    <w:rsid w:val="00D56ADD"/>
    <w:rsid w:val="00D56FBD"/>
    <w:rsid w:val="00D601CA"/>
    <w:rsid w:val="00D611AE"/>
    <w:rsid w:val="00D613C2"/>
    <w:rsid w:val="00D61ABF"/>
    <w:rsid w:val="00D6301A"/>
    <w:rsid w:val="00D637E6"/>
    <w:rsid w:val="00D6385F"/>
    <w:rsid w:val="00D63A7B"/>
    <w:rsid w:val="00D63F87"/>
    <w:rsid w:val="00D648B3"/>
    <w:rsid w:val="00D64F84"/>
    <w:rsid w:val="00D6531B"/>
    <w:rsid w:val="00D66402"/>
    <w:rsid w:val="00D67C37"/>
    <w:rsid w:val="00D70465"/>
    <w:rsid w:val="00D7051C"/>
    <w:rsid w:val="00D711CE"/>
    <w:rsid w:val="00D71EC1"/>
    <w:rsid w:val="00D72146"/>
    <w:rsid w:val="00D73658"/>
    <w:rsid w:val="00D7365A"/>
    <w:rsid w:val="00D739EA"/>
    <w:rsid w:val="00D74129"/>
    <w:rsid w:val="00D7450C"/>
    <w:rsid w:val="00D7467B"/>
    <w:rsid w:val="00D756FD"/>
    <w:rsid w:val="00D7624D"/>
    <w:rsid w:val="00D7665D"/>
    <w:rsid w:val="00D7706F"/>
    <w:rsid w:val="00D77EE4"/>
    <w:rsid w:val="00D77FC5"/>
    <w:rsid w:val="00D801EB"/>
    <w:rsid w:val="00D8020E"/>
    <w:rsid w:val="00D80306"/>
    <w:rsid w:val="00D804A3"/>
    <w:rsid w:val="00D80E6F"/>
    <w:rsid w:val="00D81BAA"/>
    <w:rsid w:val="00D822BC"/>
    <w:rsid w:val="00D8384B"/>
    <w:rsid w:val="00D83A1C"/>
    <w:rsid w:val="00D84075"/>
    <w:rsid w:val="00D84393"/>
    <w:rsid w:val="00D8468C"/>
    <w:rsid w:val="00D84A0F"/>
    <w:rsid w:val="00D84A3B"/>
    <w:rsid w:val="00D84B33"/>
    <w:rsid w:val="00D84E98"/>
    <w:rsid w:val="00D85109"/>
    <w:rsid w:val="00D8559F"/>
    <w:rsid w:val="00D856E7"/>
    <w:rsid w:val="00D85A63"/>
    <w:rsid w:val="00D86B0F"/>
    <w:rsid w:val="00D86B6E"/>
    <w:rsid w:val="00D86BEC"/>
    <w:rsid w:val="00D8790D"/>
    <w:rsid w:val="00D90FE1"/>
    <w:rsid w:val="00D91277"/>
    <w:rsid w:val="00D9249F"/>
    <w:rsid w:val="00D92A6B"/>
    <w:rsid w:val="00D9328D"/>
    <w:rsid w:val="00D93638"/>
    <w:rsid w:val="00D9370B"/>
    <w:rsid w:val="00D9494E"/>
    <w:rsid w:val="00D951C9"/>
    <w:rsid w:val="00D9588F"/>
    <w:rsid w:val="00D95935"/>
    <w:rsid w:val="00D95B7D"/>
    <w:rsid w:val="00D9660A"/>
    <w:rsid w:val="00D9697C"/>
    <w:rsid w:val="00D97F81"/>
    <w:rsid w:val="00DA07CB"/>
    <w:rsid w:val="00DA0E41"/>
    <w:rsid w:val="00DA1572"/>
    <w:rsid w:val="00DA18C8"/>
    <w:rsid w:val="00DA2F4B"/>
    <w:rsid w:val="00DA3275"/>
    <w:rsid w:val="00DA3C53"/>
    <w:rsid w:val="00DA3FDD"/>
    <w:rsid w:val="00DA476E"/>
    <w:rsid w:val="00DA4A51"/>
    <w:rsid w:val="00DA5C9F"/>
    <w:rsid w:val="00DA6BAE"/>
    <w:rsid w:val="00DA6C7F"/>
    <w:rsid w:val="00DA6D4F"/>
    <w:rsid w:val="00DA6EDA"/>
    <w:rsid w:val="00DA71BD"/>
    <w:rsid w:val="00DA71C8"/>
    <w:rsid w:val="00DA7BC9"/>
    <w:rsid w:val="00DA7C02"/>
    <w:rsid w:val="00DA7EE2"/>
    <w:rsid w:val="00DB1822"/>
    <w:rsid w:val="00DB1C3F"/>
    <w:rsid w:val="00DB2253"/>
    <w:rsid w:val="00DB2DCA"/>
    <w:rsid w:val="00DB3AD3"/>
    <w:rsid w:val="00DB40BB"/>
    <w:rsid w:val="00DB450A"/>
    <w:rsid w:val="00DB4DB1"/>
    <w:rsid w:val="00DB51F2"/>
    <w:rsid w:val="00DB521E"/>
    <w:rsid w:val="00DB5D6F"/>
    <w:rsid w:val="00DB6B79"/>
    <w:rsid w:val="00DB72C1"/>
    <w:rsid w:val="00DB7BFB"/>
    <w:rsid w:val="00DC01EA"/>
    <w:rsid w:val="00DC0221"/>
    <w:rsid w:val="00DC0643"/>
    <w:rsid w:val="00DC1329"/>
    <w:rsid w:val="00DC1D51"/>
    <w:rsid w:val="00DC25FC"/>
    <w:rsid w:val="00DC274E"/>
    <w:rsid w:val="00DC3ABD"/>
    <w:rsid w:val="00DC4259"/>
    <w:rsid w:val="00DC5920"/>
    <w:rsid w:val="00DC5B6B"/>
    <w:rsid w:val="00DC5DFA"/>
    <w:rsid w:val="00DC60F0"/>
    <w:rsid w:val="00DC6279"/>
    <w:rsid w:val="00DC672A"/>
    <w:rsid w:val="00DC7B22"/>
    <w:rsid w:val="00DC7E39"/>
    <w:rsid w:val="00DC7EAB"/>
    <w:rsid w:val="00DD03BD"/>
    <w:rsid w:val="00DD0844"/>
    <w:rsid w:val="00DD0888"/>
    <w:rsid w:val="00DD13FD"/>
    <w:rsid w:val="00DD2561"/>
    <w:rsid w:val="00DD267F"/>
    <w:rsid w:val="00DD2A11"/>
    <w:rsid w:val="00DD2E8F"/>
    <w:rsid w:val="00DD3FD9"/>
    <w:rsid w:val="00DD4536"/>
    <w:rsid w:val="00DD48A6"/>
    <w:rsid w:val="00DD51A3"/>
    <w:rsid w:val="00DD52FA"/>
    <w:rsid w:val="00DD5509"/>
    <w:rsid w:val="00DD614A"/>
    <w:rsid w:val="00DD62DD"/>
    <w:rsid w:val="00DD6CD1"/>
    <w:rsid w:val="00DD6E59"/>
    <w:rsid w:val="00DD6F35"/>
    <w:rsid w:val="00DD71AF"/>
    <w:rsid w:val="00DD7DB3"/>
    <w:rsid w:val="00DD7E3B"/>
    <w:rsid w:val="00DE08D2"/>
    <w:rsid w:val="00DE1C20"/>
    <w:rsid w:val="00DE1D13"/>
    <w:rsid w:val="00DE1D6F"/>
    <w:rsid w:val="00DE26E3"/>
    <w:rsid w:val="00DE410A"/>
    <w:rsid w:val="00DE588C"/>
    <w:rsid w:val="00DE5B6E"/>
    <w:rsid w:val="00DE602D"/>
    <w:rsid w:val="00DE65C5"/>
    <w:rsid w:val="00DE675F"/>
    <w:rsid w:val="00DE7158"/>
    <w:rsid w:val="00DE7364"/>
    <w:rsid w:val="00DE73DE"/>
    <w:rsid w:val="00DF004F"/>
    <w:rsid w:val="00DF006E"/>
    <w:rsid w:val="00DF0A9F"/>
    <w:rsid w:val="00DF0B4F"/>
    <w:rsid w:val="00DF1078"/>
    <w:rsid w:val="00DF2EB5"/>
    <w:rsid w:val="00DF43D6"/>
    <w:rsid w:val="00DF4950"/>
    <w:rsid w:val="00DF4D7B"/>
    <w:rsid w:val="00DF5331"/>
    <w:rsid w:val="00DF6F67"/>
    <w:rsid w:val="00DF71B6"/>
    <w:rsid w:val="00DF737E"/>
    <w:rsid w:val="00DF739B"/>
    <w:rsid w:val="00DF79A6"/>
    <w:rsid w:val="00DF7E51"/>
    <w:rsid w:val="00E002B9"/>
    <w:rsid w:val="00E00934"/>
    <w:rsid w:val="00E012A8"/>
    <w:rsid w:val="00E01769"/>
    <w:rsid w:val="00E01F52"/>
    <w:rsid w:val="00E03113"/>
    <w:rsid w:val="00E0373D"/>
    <w:rsid w:val="00E05384"/>
    <w:rsid w:val="00E05460"/>
    <w:rsid w:val="00E05969"/>
    <w:rsid w:val="00E059B0"/>
    <w:rsid w:val="00E05EC6"/>
    <w:rsid w:val="00E060AF"/>
    <w:rsid w:val="00E069BA"/>
    <w:rsid w:val="00E07B9B"/>
    <w:rsid w:val="00E07D55"/>
    <w:rsid w:val="00E10837"/>
    <w:rsid w:val="00E109F0"/>
    <w:rsid w:val="00E112C6"/>
    <w:rsid w:val="00E116DD"/>
    <w:rsid w:val="00E11E85"/>
    <w:rsid w:val="00E123E5"/>
    <w:rsid w:val="00E12660"/>
    <w:rsid w:val="00E131A5"/>
    <w:rsid w:val="00E131BF"/>
    <w:rsid w:val="00E136C5"/>
    <w:rsid w:val="00E137C6"/>
    <w:rsid w:val="00E139F4"/>
    <w:rsid w:val="00E13EBD"/>
    <w:rsid w:val="00E13EE2"/>
    <w:rsid w:val="00E14A78"/>
    <w:rsid w:val="00E15605"/>
    <w:rsid w:val="00E15D9B"/>
    <w:rsid w:val="00E17684"/>
    <w:rsid w:val="00E177D2"/>
    <w:rsid w:val="00E17D80"/>
    <w:rsid w:val="00E2013B"/>
    <w:rsid w:val="00E20446"/>
    <w:rsid w:val="00E20705"/>
    <w:rsid w:val="00E21367"/>
    <w:rsid w:val="00E21825"/>
    <w:rsid w:val="00E23376"/>
    <w:rsid w:val="00E23682"/>
    <w:rsid w:val="00E2390F"/>
    <w:rsid w:val="00E23A7A"/>
    <w:rsid w:val="00E24507"/>
    <w:rsid w:val="00E24D13"/>
    <w:rsid w:val="00E253CF"/>
    <w:rsid w:val="00E25488"/>
    <w:rsid w:val="00E264C0"/>
    <w:rsid w:val="00E2681C"/>
    <w:rsid w:val="00E26BFF"/>
    <w:rsid w:val="00E27118"/>
    <w:rsid w:val="00E278AD"/>
    <w:rsid w:val="00E3081C"/>
    <w:rsid w:val="00E3091E"/>
    <w:rsid w:val="00E30E86"/>
    <w:rsid w:val="00E31D64"/>
    <w:rsid w:val="00E31E9C"/>
    <w:rsid w:val="00E32347"/>
    <w:rsid w:val="00E3255B"/>
    <w:rsid w:val="00E32A8D"/>
    <w:rsid w:val="00E33009"/>
    <w:rsid w:val="00E3320F"/>
    <w:rsid w:val="00E3368C"/>
    <w:rsid w:val="00E34502"/>
    <w:rsid w:val="00E347EB"/>
    <w:rsid w:val="00E34CE8"/>
    <w:rsid w:val="00E358B6"/>
    <w:rsid w:val="00E363B6"/>
    <w:rsid w:val="00E36EBB"/>
    <w:rsid w:val="00E37337"/>
    <w:rsid w:val="00E406CD"/>
    <w:rsid w:val="00E408B3"/>
    <w:rsid w:val="00E4152E"/>
    <w:rsid w:val="00E4162F"/>
    <w:rsid w:val="00E42011"/>
    <w:rsid w:val="00E4230F"/>
    <w:rsid w:val="00E42569"/>
    <w:rsid w:val="00E43557"/>
    <w:rsid w:val="00E43618"/>
    <w:rsid w:val="00E43686"/>
    <w:rsid w:val="00E4378D"/>
    <w:rsid w:val="00E43EE3"/>
    <w:rsid w:val="00E449E8"/>
    <w:rsid w:val="00E44CA1"/>
    <w:rsid w:val="00E45605"/>
    <w:rsid w:val="00E45FE6"/>
    <w:rsid w:val="00E46D30"/>
    <w:rsid w:val="00E47222"/>
    <w:rsid w:val="00E4799E"/>
    <w:rsid w:val="00E47E2E"/>
    <w:rsid w:val="00E47F76"/>
    <w:rsid w:val="00E532D3"/>
    <w:rsid w:val="00E53C70"/>
    <w:rsid w:val="00E540C8"/>
    <w:rsid w:val="00E54473"/>
    <w:rsid w:val="00E54585"/>
    <w:rsid w:val="00E54AD7"/>
    <w:rsid w:val="00E5543B"/>
    <w:rsid w:val="00E558DE"/>
    <w:rsid w:val="00E56464"/>
    <w:rsid w:val="00E57834"/>
    <w:rsid w:val="00E57857"/>
    <w:rsid w:val="00E579D3"/>
    <w:rsid w:val="00E57A20"/>
    <w:rsid w:val="00E57D1D"/>
    <w:rsid w:val="00E611F7"/>
    <w:rsid w:val="00E61869"/>
    <w:rsid w:val="00E61F3F"/>
    <w:rsid w:val="00E62503"/>
    <w:rsid w:val="00E6262B"/>
    <w:rsid w:val="00E62B2C"/>
    <w:rsid w:val="00E62C50"/>
    <w:rsid w:val="00E6348F"/>
    <w:rsid w:val="00E64055"/>
    <w:rsid w:val="00E6436B"/>
    <w:rsid w:val="00E6448F"/>
    <w:rsid w:val="00E6704D"/>
    <w:rsid w:val="00E705AA"/>
    <w:rsid w:val="00E70F7C"/>
    <w:rsid w:val="00E71053"/>
    <w:rsid w:val="00E713A8"/>
    <w:rsid w:val="00E72169"/>
    <w:rsid w:val="00E74436"/>
    <w:rsid w:val="00E7458C"/>
    <w:rsid w:val="00E75853"/>
    <w:rsid w:val="00E76782"/>
    <w:rsid w:val="00E76BD7"/>
    <w:rsid w:val="00E76E5A"/>
    <w:rsid w:val="00E801E9"/>
    <w:rsid w:val="00E80ACF"/>
    <w:rsid w:val="00E8114A"/>
    <w:rsid w:val="00E8169F"/>
    <w:rsid w:val="00E8231C"/>
    <w:rsid w:val="00E8260E"/>
    <w:rsid w:val="00E82E21"/>
    <w:rsid w:val="00E8314D"/>
    <w:rsid w:val="00E831A3"/>
    <w:rsid w:val="00E83326"/>
    <w:rsid w:val="00E83551"/>
    <w:rsid w:val="00E83767"/>
    <w:rsid w:val="00E83C71"/>
    <w:rsid w:val="00E844B4"/>
    <w:rsid w:val="00E845F5"/>
    <w:rsid w:val="00E848C4"/>
    <w:rsid w:val="00E84C51"/>
    <w:rsid w:val="00E853EF"/>
    <w:rsid w:val="00E86740"/>
    <w:rsid w:val="00E8683D"/>
    <w:rsid w:val="00E86AB3"/>
    <w:rsid w:val="00E86B07"/>
    <w:rsid w:val="00E87839"/>
    <w:rsid w:val="00E901E2"/>
    <w:rsid w:val="00E90A30"/>
    <w:rsid w:val="00E90BC1"/>
    <w:rsid w:val="00E91112"/>
    <w:rsid w:val="00E91781"/>
    <w:rsid w:val="00E91C49"/>
    <w:rsid w:val="00E91DB1"/>
    <w:rsid w:val="00E9232F"/>
    <w:rsid w:val="00E923CD"/>
    <w:rsid w:val="00E929C3"/>
    <w:rsid w:val="00E92A28"/>
    <w:rsid w:val="00E92FF2"/>
    <w:rsid w:val="00E95187"/>
    <w:rsid w:val="00E95F39"/>
    <w:rsid w:val="00E965E8"/>
    <w:rsid w:val="00E97298"/>
    <w:rsid w:val="00E9797D"/>
    <w:rsid w:val="00EA05CF"/>
    <w:rsid w:val="00EA06D0"/>
    <w:rsid w:val="00EA0F96"/>
    <w:rsid w:val="00EA11A7"/>
    <w:rsid w:val="00EA122F"/>
    <w:rsid w:val="00EA133C"/>
    <w:rsid w:val="00EA18E8"/>
    <w:rsid w:val="00EA1A5E"/>
    <w:rsid w:val="00EA1EE3"/>
    <w:rsid w:val="00EA2DCB"/>
    <w:rsid w:val="00EA305B"/>
    <w:rsid w:val="00EA38E7"/>
    <w:rsid w:val="00EA40C5"/>
    <w:rsid w:val="00EA42D0"/>
    <w:rsid w:val="00EA4A37"/>
    <w:rsid w:val="00EA5BBF"/>
    <w:rsid w:val="00EA605F"/>
    <w:rsid w:val="00EA6402"/>
    <w:rsid w:val="00EA70CD"/>
    <w:rsid w:val="00EA70CF"/>
    <w:rsid w:val="00EA71C7"/>
    <w:rsid w:val="00EA769B"/>
    <w:rsid w:val="00EA7F2B"/>
    <w:rsid w:val="00EB0730"/>
    <w:rsid w:val="00EB0E27"/>
    <w:rsid w:val="00EB175C"/>
    <w:rsid w:val="00EB1976"/>
    <w:rsid w:val="00EB1B99"/>
    <w:rsid w:val="00EB309B"/>
    <w:rsid w:val="00EB3403"/>
    <w:rsid w:val="00EB3A5A"/>
    <w:rsid w:val="00EB5110"/>
    <w:rsid w:val="00EB6047"/>
    <w:rsid w:val="00EB628B"/>
    <w:rsid w:val="00EB628E"/>
    <w:rsid w:val="00EB62C6"/>
    <w:rsid w:val="00EB63CA"/>
    <w:rsid w:val="00EB69C2"/>
    <w:rsid w:val="00EB6F63"/>
    <w:rsid w:val="00EB7099"/>
    <w:rsid w:val="00EB7486"/>
    <w:rsid w:val="00EC022E"/>
    <w:rsid w:val="00EC03A3"/>
    <w:rsid w:val="00EC03BF"/>
    <w:rsid w:val="00EC0CBA"/>
    <w:rsid w:val="00EC0CC3"/>
    <w:rsid w:val="00EC1377"/>
    <w:rsid w:val="00EC1D76"/>
    <w:rsid w:val="00EC1EDA"/>
    <w:rsid w:val="00EC3733"/>
    <w:rsid w:val="00EC387A"/>
    <w:rsid w:val="00EC4450"/>
    <w:rsid w:val="00EC4981"/>
    <w:rsid w:val="00EC4A98"/>
    <w:rsid w:val="00EC4AA4"/>
    <w:rsid w:val="00EC4B08"/>
    <w:rsid w:val="00EC4F78"/>
    <w:rsid w:val="00EC55DA"/>
    <w:rsid w:val="00EC5E20"/>
    <w:rsid w:val="00EC6E57"/>
    <w:rsid w:val="00EC7529"/>
    <w:rsid w:val="00ED032C"/>
    <w:rsid w:val="00ED0CD8"/>
    <w:rsid w:val="00ED271D"/>
    <w:rsid w:val="00ED2994"/>
    <w:rsid w:val="00ED2ABE"/>
    <w:rsid w:val="00ED2ACD"/>
    <w:rsid w:val="00ED2BCF"/>
    <w:rsid w:val="00ED2BF1"/>
    <w:rsid w:val="00ED2D03"/>
    <w:rsid w:val="00ED2F34"/>
    <w:rsid w:val="00ED402A"/>
    <w:rsid w:val="00ED550C"/>
    <w:rsid w:val="00ED59AA"/>
    <w:rsid w:val="00ED72C1"/>
    <w:rsid w:val="00EE0D5F"/>
    <w:rsid w:val="00EE1673"/>
    <w:rsid w:val="00EE17BC"/>
    <w:rsid w:val="00EE1AD8"/>
    <w:rsid w:val="00EE2439"/>
    <w:rsid w:val="00EE3301"/>
    <w:rsid w:val="00EE41FF"/>
    <w:rsid w:val="00EE43FF"/>
    <w:rsid w:val="00EE4477"/>
    <w:rsid w:val="00EE4597"/>
    <w:rsid w:val="00EE473B"/>
    <w:rsid w:val="00EE47ED"/>
    <w:rsid w:val="00EE4CEE"/>
    <w:rsid w:val="00EE4EE4"/>
    <w:rsid w:val="00EE530E"/>
    <w:rsid w:val="00EE6364"/>
    <w:rsid w:val="00EE6658"/>
    <w:rsid w:val="00EE6DFA"/>
    <w:rsid w:val="00EE7E36"/>
    <w:rsid w:val="00EF0D53"/>
    <w:rsid w:val="00EF186C"/>
    <w:rsid w:val="00EF295C"/>
    <w:rsid w:val="00EF2B82"/>
    <w:rsid w:val="00EF359F"/>
    <w:rsid w:val="00EF35CB"/>
    <w:rsid w:val="00EF4231"/>
    <w:rsid w:val="00EF5005"/>
    <w:rsid w:val="00EF50AE"/>
    <w:rsid w:val="00EF61F2"/>
    <w:rsid w:val="00EF6431"/>
    <w:rsid w:val="00EF64AA"/>
    <w:rsid w:val="00EF668E"/>
    <w:rsid w:val="00EF68BD"/>
    <w:rsid w:val="00EF7B57"/>
    <w:rsid w:val="00F0018F"/>
    <w:rsid w:val="00F00331"/>
    <w:rsid w:val="00F00413"/>
    <w:rsid w:val="00F00FF1"/>
    <w:rsid w:val="00F0108E"/>
    <w:rsid w:val="00F015D2"/>
    <w:rsid w:val="00F01A5D"/>
    <w:rsid w:val="00F01B97"/>
    <w:rsid w:val="00F0257D"/>
    <w:rsid w:val="00F026AD"/>
    <w:rsid w:val="00F02C05"/>
    <w:rsid w:val="00F039AD"/>
    <w:rsid w:val="00F03FB8"/>
    <w:rsid w:val="00F0481E"/>
    <w:rsid w:val="00F04978"/>
    <w:rsid w:val="00F04D2B"/>
    <w:rsid w:val="00F05DA6"/>
    <w:rsid w:val="00F070E2"/>
    <w:rsid w:val="00F0718D"/>
    <w:rsid w:val="00F07B28"/>
    <w:rsid w:val="00F101E3"/>
    <w:rsid w:val="00F1030B"/>
    <w:rsid w:val="00F10761"/>
    <w:rsid w:val="00F108BF"/>
    <w:rsid w:val="00F10EA5"/>
    <w:rsid w:val="00F11AB5"/>
    <w:rsid w:val="00F12492"/>
    <w:rsid w:val="00F1297E"/>
    <w:rsid w:val="00F129FD"/>
    <w:rsid w:val="00F12ADB"/>
    <w:rsid w:val="00F12C87"/>
    <w:rsid w:val="00F139AE"/>
    <w:rsid w:val="00F143F0"/>
    <w:rsid w:val="00F146DB"/>
    <w:rsid w:val="00F14719"/>
    <w:rsid w:val="00F14A88"/>
    <w:rsid w:val="00F1585A"/>
    <w:rsid w:val="00F15D39"/>
    <w:rsid w:val="00F15FBA"/>
    <w:rsid w:val="00F16413"/>
    <w:rsid w:val="00F1768F"/>
    <w:rsid w:val="00F179EF"/>
    <w:rsid w:val="00F20825"/>
    <w:rsid w:val="00F217EF"/>
    <w:rsid w:val="00F2219A"/>
    <w:rsid w:val="00F22770"/>
    <w:rsid w:val="00F24185"/>
    <w:rsid w:val="00F257F0"/>
    <w:rsid w:val="00F25BAE"/>
    <w:rsid w:val="00F25CDE"/>
    <w:rsid w:val="00F264AB"/>
    <w:rsid w:val="00F268E3"/>
    <w:rsid w:val="00F26CC0"/>
    <w:rsid w:val="00F27551"/>
    <w:rsid w:val="00F302EE"/>
    <w:rsid w:val="00F30485"/>
    <w:rsid w:val="00F30512"/>
    <w:rsid w:val="00F30BD5"/>
    <w:rsid w:val="00F30C33"/>
    <w:rsid w:val="00F315E9"/>
    <w:rsid w:val="00F31975"/>
    <w:rsid w:val="00F334D1"/>
    <w:rsid w:val="00F33779"/>
    <w:rsid w:val="00F33D56"/>
    <w:rsid w:val="00F33EBC"/>
    <w:rsid w:val="00F3407C"/>
    <w:rsid w:val="00F346D8"/>
    <w:rsid w:val="00F34AD6"/>
    <w:rsid w:val="00F34AEF"/>
    <w:rsid w:val="00F353B0"/>
    <w:rsid w:val="00F35BD5"/>
    <w:rsid w:val="00F35ECA"/>
    <w:rsid w:val="00F35EED"/>
    <w:rsid w:val="00F3656C"/>
    <w:rsid w:val="00F36C38"/>
    <w:rsid w:val="00F36FEF"/>
    <w:rsid w:val="00F3709D"/>
    <w:rsid w:val="00F3775C"/>
    <w:rsid w:val="00F37EFA"/>
    <w:rsid w:val="00F4031F"/>
    <w:rsid w:val="00F40C21"/>
    <w:rsid w:val="00F414FD"/>
    <w:rsid w:val="00F416D3"/>
    <w:rsid w:val="00F420AD"/>
    <w:rsid w:val="00F42918"/>
    <w:rsid w:val="00F42CD8"/>
    <w:rsid w:val="00F42E09"/>
    <w:rsid w:val="00F43660"/>
    <w:rsid w:val="00F43AE6"/>
    <w:rsid w:val="00F43C50"/>
    <w:rsid w:val="00F43FB2"/>
    <w:rsid w:val="00F44B2A"/>
    <w:rsid w:val="00F44BF6"/>
    <w:rsid w:val="00F44C4A"/>
    <w:rsid w:val="00F462A4"/>
    <w:rsid w:val="00F464DB"/>
    <w:rsid w:val="00F465C5"/>
    <w:rsid w:val="00F46A54"/>
    <w:rsid w:val="00F46B73"/>
    <w:rsid w:val="00F46C71"/>
    <w:rsid w:val="00F509B5"/>
    <w:rsid w:val="00F51256"/>
    <w:rsid w:val="00F5169B"/>
    <w:rsid w:val="00F51E51"/>
    <w:rsid w:val="00F531FA"/>
    <w:rsid w:val="00F55214"/>
    <w:rsid w:val="00F55617"/>
    <w:rsid w:val="00F55828"/>
    <w:rsid w:val="00F55A08"/>
    <w:rsid w:val="00F55F18"/>
    <w:rsid w:val="00F56197"/>
    <w:rsid w:val="00F561D0"/>
    <w:rsid w:val="00F56450"/>
    <w:rsid w:val="00F5708E"/>
    <w:rsid w:val="00F6006C"/>
    <w:rsid w:val="00F6024C"/>
    <w:rsid w:val="00F602BF"/>
    <w:rsid w:val="00F60490"/>
    <w:rsid w:val="00F61102"/>
    <w:rsid w:val="00F61565"/>
    <w:rsid w:val="00F61774"/>
    <w:rsid w:val="00F61BDA"/>
    <w:rsid w:val="00F62641"/>
    <w:rsid w:val="00F62829"/>
    <w:rsid w:val="00F62917"/>
    <w:rsid w:val="00F63447"/>
    <w:rsid w:val="00F639CE"/>
    <w:rsid w:val="00F63FD4"/>
    <w:rsid w:val="00F6480D"/>
    <w:rsid w:val="00F6489A"/>
    <w:rsid w:val="00F66033"/>
    <w:rsid w:val="00F662D0"/>
    <w:rsid w:val="00F66313"/>
    <w:rsid w:val="00F6634B"/>
    <w:rsid w:val="00F66AA5"/>
    <w:rsid w:val="00F67427"/>
    <w:rsid w:val="00F676E4"/>
    <w:rsid w:val="00F7136B"/>
    <w:rsid w:val="00F7142E"/>
    <w:rsid w:val="00F71AEC"/>
    <w:rsid w:val="00F71E9E"/>
    <w:rsid w:val="00F7240F"/>
    <w:rsid w:val="00F72BEF"/>
    <w:rsid w:val="00F72D3A"/>
    <w:rsid w:val="00F73BBB"/>
    <w:rsid w:val="00F746FE"/>
    <w:rsid w:val="00F74931"/>
    <w:rsid w:val="00F74A95"/>
    <w:rsid w:val="00F74F62"/>
    <w:rsid w:val="00F763FE"/>
    <w:rsid w:val="00F76BF0"/>
    <w:rsid w:val="00F774BE"/>
    <w:rsid w:val="00F778C4"/>
    <w:rsid w:val="00F779DC"/>
    <w:rsid w:val="00F80D60"/>
    <w:rsid w:val="00F80FF4"/>
    <w:rsid w:val="00F81DDA"/>
    <w:rsid w:val="00F820A6"/>
    <w:rsid w:val="00F82428"/>
    <w:rsid w:val="00F8256D"/>
    <w:rsid w:val="00F82B82"/>
    <w:rsid w:val="00F82DBE"/>
    <w:rsid w:val="00F83260"/>
    <w:rsid w:val="00F8495D"/>
    <w:rsid w:val="00F849DC"/>
    <w:rsid w:val="00F84B09"/>
    <w:rsid w:val="00F858D7"/>
    <w:rsid w:val="00F85E4C"/>
    <w:rsid w:val="00F85E77"/>
    <w:rsid w:val="00F90372"/>
    <w:rsid w:val="00F914EE"/>
    <w:rsid w:val="00F91653"/>
    <w:rsid w:val="00F91843"/>
    <w:rsid w:val="00F9217E"/>
    <w:rsid w:val="00F92853"/>
    <w:rsid w:val="00F92F86"/>
    <w:rsid w:val="00F92FEB"/>
    <w:rsid w:val="00F93BD8"/>
    <w:rsid w:val="00F93C05"/>
    <w:rsid w:val="00F93C4B"/>
    <w:rsid w:val="00F93EEC"/>
    <w:rsid w:val="00F94782"/>
    <w:rsid w:val="00F959B1"/>
    <w:rsid w:val="00F95AA8"/>
    <w:rsid w:val="00F9604C"/>
    <w:rsid w:val="00F97701"/>
    <w:rsid w:val="00FA021E"/>
    <w:rsid w:val="00FA02EA"/>
    <w:rsid w:val="00FA1008"/>
    <w:rsid w:val="00FA2030"/>
    <w:rsid w:val="00FA211B"/>
    <w:rsid w:val="00FA26DF"/>
    <w:rsid w:val="00FA2EEC"/>
    <w:rsid w:val="00FA44F4"/>
    <w:rsid w:val="00FA451D"/>
    <w:rsid w:val="00FA46E9"/>
    <w:rsid w:val="00FA495A"/>
    <w:rsid w:val="00FA4D13"/>
    <w:rsid w:val="00FA4E89"/>
    <w:rsid w:val="00FA55C0"/>
    <w:rsid w:val="00FA5E45"/>
    <w:rsid w:val="00FA6FD3"/>
    <w:rsid w:val="00FA72C6"/>
    <w:rsid w:val="00FA789B"/>
    <w:rsid w:val="00FB0A53"/>
    <w:rsid w:val="00FB13EA"/>
    <w:rsid w:val="00FB18E2"/>
    <w:rsid w:val="00FB19CD"/>
    <w:rsid w:val="00FB3560"/>
    <w:rsid w:val="00FB4A16"/>
    <w:rsid w:val="00FB5725"/>
    <w:rsid w:val="00FB5DAA"/>
    <w:rsid w:val="00FB61EE"/>
    <w:rsid w:val="00FB629C"/>
    <w:rsid w:val="00FB6620"/>
    <w:rsid w:val="00FB6870"/>
    <w:rsid w:val="00FB7175"/>
    <w:rsid w:val="00FC08A7"/>
    <w:rsid w:val="00FC0BD0"/>
    <w:rsid w:val="00FC0C83"/>
    <w:rsid w:val="00FC1A4C"/>
    <w:rsid w:val="00FC1E1C"/>
    <w:rsid w:val="00FC236C"/>
    <w:rsid w:val="00FC328A"/>
    <w:rsid w:val="00FC3447"/>
    <w:rsid w:val="00FC4F81"/>
    <w:rsid w:val="00FC561E"/>
    <w:rsid w:val="00FC61AD"/>
    <w:rsid w:val="00FC7BB4"/>
    <w:rsid w:val="00FC7E94"/>
    <w:rsid w:val="00FC7FF6"/>
    <w:rsid w:val="00FD07AD"/>
    <w:rsid w:val="00FD1EBF"/>
    <w:rsid w:val="00FD1F36"/>
    <w:rsid w:val="00FD20F7"/>
    <w:rsid w:val="00FD25A4"/>
    <w:rsid w:val="00FD330A"/>
    <w:rsid w:val="00FD34C8"/>
    <w:rsid w:val="00FD3C92"/>
    <w:rsid w:val="00FD411F"/>
    <w:rsid w:val="00FD4E07"/>
    <w:rsid w:val="00FD6083"/>
    <w:rsid w:val="00FD6117"/>
    <w:rsid w:val="00FD645B"/>
    <w:rsid w:val="00FD6AD1"/>
    <w:rsid w:val="00FD75C7"/>
    <w:rsid w:val="00FE038F"/>
    <w:rsid w:val="00FE0AAD"/>
    <w:rsid w:val="00FE0F05"/>
    <w:rsid w:val="00FE1025"/>
    <w:rsid w:val="00FE12CD"/>
    <w:rsid w:val="00FE1752"/>
    <w:rsid w:val="00FE1A41"/>
    <w:rsid w:val="00FE2DEB"/>
    <w:rsid w:val="00FE2F63"/>
    <w:rsid w:val="00FE32D5"/>
    <w:rsid w:val="00FE3C12"/>
    <w:rsid w:val="00FE3D79"/>
    <w:rsid w:val="00FE410A"/>
    <w:rsid w:val="00FE4D95"/>
    <w:rsid w:val="00FE54EC"/>
    <w:rsid w:val="00FE572A"/>
    <w:rsid w:val="00FE601E"/>
    <w:rsid w:val="00FE67C5"/>
    <w:rsid w:val="00FE7194"/>
    <w:rsid w:val="00FE7207"/>
    <w:rsid w:val="00FF0764"/>
    <w:rsid w:val="00FF076D"/>
    <w:rsid w:val="00FF0C69"/>
    <w:rsid w:val="00FF352E"/>
    <w:rsid w:val="00FF3FDA"/>
    <w:rsid w:val="00FF496D"/>
    <w:rsid w:val="00FF5145"/>
    <w:rsid w:val="00FF5177"/>
    <w:rsid w:val="00FF54A9"/>
    <w:rsid w:val="00FF5532"/>
    <w:rsid w:val="00FF5570"/>
    <w:rsid w:val="00FF5A87"/>
    <w:rsid w:val="00FF5CC0"/>
    <w:rsid w:val="00FF5E66"/>
    <w:rsid w:val="00FF66D5"/>
    <w:rsid w:val="00FF67C4"/>
    <w:rsid w:val="00FF6923"/>
    <w:rsid w:val="00FF6A10"/>
    <w:rsid w:val="00FF6A7A"/>
    <w:rsid w:val="00FF7D5F"/>
    <w:rsid w:val="012B188E"/>
    <w:rsid w:val="017BD389"/>
    <w:rsid w:val="0187FC1E"/>
    <w:rsid w:val="01EDE675"/>
    <w:rsid w:val="0205BA25"/>
    <w:rsid w:val="02234A7A"/>
    <w:rsid w:val="0238605F"/>
    <w:rsid w:val="023A46CD"/>
    <w:rsid w:val="023D6D96"/>
    <w:rsid w:val="025963E7"/>
    <w:rsid w:val="02BB406E"/>
    <w:rsid w:val="02C7C149"/>
    <w:rsid w:val="02D21D69"/>
    <w:rsid w:val="03220425"/>
    <w:rsid w:val="032C3C23"/>
    <w:rsid w:val="034A8089"/>
    <w:rsid w:val="0350D97D"/>
    <w:rsid w:val="036AFDF9"/>
    <w:rsid w:val="036DA3DA"/>
    <w:rsid w:val="0399D03F"/>
    <w:rsid w:val="03A2C0B8"/>
    <w:rsid w:val="03A7E024"/>
    <w:rsid w:val="04093E87"/>
    <w:rsid w:val="040D09C8"/>
    <w:rsid w:val="0427B56D"/>
    <w:rsid w:val="04313EE4"/>
    <w:rsid w:val="0443D227"/>
    <w:rsid w:val="045D7556"/>
    <w:rsid w:val="04835A2A"/>
    <w:rsid w:val="049A9E65"/>
    <w:rsid w:val="04DAA42E"/>
    <w:rsid w:val="04F2EE12"/>
    <w:rsid w:val="0505AA02"/>
    <w:rsid w:val="05134E6C"/>
    <w:rsid w:val="058BCEA2"/>
    <w:rsid w:val="05D63825"/>
    <w:rsid w:val="05E5D43E"/>
    <w:rsid w:val="05FAF584"/>
    <w:rsid w:val="0629F22D"/>
    <w:rsid w:val="062C4994"/>
    <w:rsid w:val="063369F2"/>
    <w:rsid w:val="066FB0AA"/>
    <w:rsid w:val="06892D0C"/>
    <w:rsid w:val="06BC682D"/>
    <w:rsid w:val="06C455B3"/>
    <w:rsid w:val="0709A25B"/>
    <w:rsid w:val="071AF6B8"/>
    <w:rsid w:val="0740324F"/>
    <w:rsid w:val="078F3419"/>
    <w:rsid w:val="07A05CA2"/>
    <w:rsid w:val="07A58E8C"/>
    <w:rsid w:val="07B7C1C9"/>
    <w:rsid w:val="08289056"/>
    <w:rsid w:val="0857EAB6"/>
    <w:rsid w:val="0858310A"/>
    <w:rsid w:val="0863EF52"/>
    <w:rsid w:val="08968F56"/>
    <w:rsid w:val="08E429E1"/>
    <w:rsid w:val="0918BEF7"/>
    <w:rsid w:val="09245AD4"/>
    <w:rsid w:val="09327BC1"/>
    <w:rsid w:val="09415EED"/>
    <w:rsid w:val="0967DEC8"/>
    <w:rsid w:val="099D40AC"/>
    <w:rsid w:val="09C6DCDE"/>
    <w:rsid w:val="0A133BC4"/>
    <w:rsid w:val="0A786674"/>
    <w:rsid w:val="0A885763"/>
    <w:rsid w:val="0A8A1CD0"/>
    <w:rsid w:val="0AA0706F"/>
    <w:rsid w:val="0AA0C00F"/>
    <w:rsid w:val="0AA4E35C"/>
    <w:rsid w:val="0ABAE48B"/>
    <w:rsid w:val="0AC4977E"/>
    <w:rsid w:val="0AD0A756"/>
    <w:rsid w:val="0AF6E7AD"/>
    <w:rsid w:val="0B05B99C"/>
    <w:rsid w:val="0B356A98"/>
    <w:rsid w:val="0B51AADC"/>
    <w:rsid w:val="0B77E0DE"/>
    <w:rsid w:val="0B81CD70"/>
    <w:rsid w:val="0B8D31B0"/>
    <w:rsid w:val="0B948302"/>
    <w:rsid w:val="0BAE738B"/>
    <w:rsid w:val="0BCB4D0A"/>
    <w:rsid w:val="0BE187DE"/>
    <w:rsid w:val="0BE21A9A"/>
    <w:rsid w:val="0BE91A5A"/>
    <w:rsid w:val="0C0597FA"/>
    <w:rsid w:val="0C3C85D8"/>
    <w:rsid w:val="0C3F3CCC"/>
    <w:rsid w:val="0C9EA038"/>
    <w:rsid w:val="0CA35065"/>
    <w:rsid w:val="0CAACEC3"/>
    <w:rsid w:val="0CE4F70E"/>
    <w:rsid w:val="0CF0A7DA"/>
    <w:rsid w:val="0D178515"/>
    <w:rsid w:val="0D185AFF"/>
    <w:rsid w:val="0D2BC3D6"/>
    <w:rsid w:val="0D489CB7"/>
    <w:rsid w:val="0D9B724B"/>
    <w:rsid w:val="0DBBF60F"/>
    <w:rsid w:val="0DC9FBAE"/>
    <w:rsid w:val="0DDFAE74"/>
    <w:rsid w:val="0DEFE372"/>
    <w:rsid w:val="0E15F71A"/>
    <w:rsid w:val="0E1D7466"/>
    <w:rsid w:val="0E41FD39"/>
    <w:rsid w:val="0E4ADA62"/>
    <w:rsid w:val="0E91B573"/>
    <w:rsid w:val="0EE46D18"/>
    <w:rsid w:val="0EEB5C19"/>
    <w:rsid w:val="0F0E0E90"/>
    <w:rsid w:val="0F3CD31A"/>
    <w:rsid w:val="0FA77E2B"/>
    <w:rsid w:val="0FAC1553"/>
    <w:rsid w:val="0FFBB6B8"/>
    <w:rsid w:val="10199D1A"/>
    <w:rsid w:val="1049CDF0"/>
    <w:rsid w:val="104DB051"/>
    <w:rsid w:val="105C1BEA"/>
    <w:rsid w:val="1063C545"/>
    <w:rsid w:val="106842A1"/>
    <w:rsid w:val="10803D79"/>
    <w:rsid w:val="10E8CC89"/>
    <w:rsid w:val="11276D78"/>
    <w:rsid w:val="11334875"/>
    <w:rsid w:val="113A6C04"/>
    <w:rsid w:val="11724B1F"/>
    <w:rsid w:val="11775900"/>
    <w:rsid w:val="117F8BDB"/>
    <w:rsid w:val="11847B22"/>
    <w:rsid w:val="119A3F0C"/>
    <w:rsid w:val="119E3B51"/>
    <w:rsid w:val="11C0E27B"/>
    <w:rsid w:val="11C2A8E3"/>
    <w:rsid w:val="11F134A8"/>
    <w:rsid w:val="1228C9EA"/>
    <w:rsid w:val="126F49D8"/>
    <w:rsid w:val="1287B284"/>
    <w:rsid w:val="1287E555"/>
    <w:rsid w:val="129289CF"/>
    <w:rsid w:val="12A6A055"/>
    <w:rsid w:val="12DE0395"/>
    <w:rsid w:val="130161AA"/>
    <w:rsid w:val="13421F9D"/>
    <w:rsid w:val="1358EFA9"/>
    <w:rsid w:val="13667C6A"/>
    <w:rsid w:val="13680F91"/>
    <w:rsid w:val="137543C1"/>
    <w:rsid w:val="13A5E343"/>
    <w:rsid w:val="13A995D3"/>
    <w:rsid w:val="13C231D3"/>
    <w:rsid w:val="13E73832"/>
    <w:rsid w:val="13EA147A"/>
    <w:rsid w:val="13FECA61"/>
    <w:rsid w:val="1420CBD2"/>
    <w:rsid w:val="14443DBE"/>
    <w:rsid w:val="14473316"/>
    <w:rsid w:val="1449E3A6"/>
    <w:rsid w:val="145C045A"/>
    <w:rsid w:val="145EC6E1"/>
    <w:rsid w:val="14D901EC"/>
    <w:rsid w:val="14E5A8A3"/>
    <w:rsid w:val="14F1C182"/>
    <w:rsid w:val="1551072A"/>
    <w:rsid w:val="1566C85C"/>
    <w:rsid w:val="1574D844"/>
    <w:rsid w:val="15A4657C"/>
    <w:rsid w:val="15AEFE63"/>
    <w:rsid w:val="15FCD4CF"/>
    <w:rsid w:val="160F2C18"/>
    <w:rsid w:val="161032CF"/>
    <w:rsid w:val="16240AD3"/>
    <w:rsid w:val="165265BF"/>
    <w:rsid w:val="16627989"/>
    <w:rsid w:val="16BCBE94"/>
    <w:rsid w:val="16F365B6"/>
    <w:rsid w:val="174A05E1"/>
    <w:rsid w:val="17669A2B"/>
    <w:rsid w:val="176836C4"/>
    <w:rsid w:val="1792E26C"/>
    <w:rsid w:val="179431FC"/>
    <w:rsid w:val="179A0FC7"/>
    <w:rsid w:val="17C852BB"/>
    <w:rsid w:val="18120F07"/>
    <w:rsid w:val="182AF051"/>
    <w:rsid w:val="18574D90"/>
    <w:rsid w:val="1859DDAD"/>
    <w:rsid w:val="186C08C3"/>
    <w:rsid w:val="1871CC82"/>
    <w:rsid w:val="18964CEC"/>
    <w:rsid w:val="18B1D5DB"/>
    <w:rsid w:val="18C862EF"/>
    <w:rsid w:val="18DCF7C5"/>
    <w:rsid w:val="18E099C5"/>
    <w:rsid w:val="192CDB2F"/>
    <w:rsid w:val="19539AFB"/>
    <w:rsid w:val="198DA9E3"/>
    <w:rsid w:val="1996D1F4"/>
    <w:rsid w:val="19C6C0B2"/>
    <w:rsid w:val="19C8A5F4"/>
    <w:rsid w:val="19EC0D29"/>
    <w:rsid w:val="19FF1900"/>
    <w:rsid w:val="1A0D2CA9"/>
    <w:rsid w:val="1A364447"/>
    <w:rsid w:val="1A3E8F9D"/>
    <w:rsid w:val="1A509001"/>
    <w:rsid w:val="1A6F26E3"/>
    <w:rsid w:val="1A7872D3"/>
    <w:rsid w:val="1AC4EDBD"/>
    <w:rsid w:val="1AECB4D5"/>
    <w:rsid w:val="1B2CDC73"/>
    <w:rsid w:val="1B3BFECC"/>
    <w:rsid w:val="1B6BFE39"/>
    <w:rsid w:val="1B7E65D9"/>
    <w:rsid w:val="1BE73A5B"/>
    <w:rsid w:val="1C05E9CF"/>
    <w:rsid w:val="1C569A1E"/>
    <w:rsid w:val="1C896E2B"/>
    <w:rsid w:val="1CA0F51F"/>
    <w:rsid w:val="1CCBFDCC"/>
    <w:rsid w:val="1CE40D56"/>
    <w:rsid w:val="1CF5C97A"/>
    <w:rsid w:val="1D0B82A8"/>
    <w:rsid w:val="1D0C5791"/>
    <w:rsid w:val="1D2E692B"/>
    <w:rsid w:val="1D73619B"/>
    <w:rsid w:val="1D8E6279"/>
    <w:rsid w:val="1DD9431D"/>
    <w:rsid w:val="1DE44C3E"/>
    <w:rsid w:val="1DE7AF14"/>
    <w:rsid w:val="1DF32794"/>
    <w:rsid w:val="1E089D84"/>
    <w:rsid w:val="1E15A640"/>
    <w:rsid w:val="1E25FF59"/>
    <w:rsid w:val="1E3D8782"/>
    <w:rsid w:val="1E4AAAAE"/>
    <w:rsid w:val="1E4B8B54"/>
    <w:rsid w:val="1E6AF793"/>
    <w:rsid w:val="1EC3D7AF"/>
    <w:rsid w:val="1F17A850"/>
    <w:rsid w:val="1F709F42"/>
    <w:rsid w:val="1F8A8EB8"/>
    <w:rsid w:val="1F903419"/>
    <w:rsid w:val="1F9BA1E1"/>
    <w:rsid w:val="1FB5E720"/>
    <w:rsid w:val="1FDDE0E1"/>
    <w:rsid w:val="1FEE1501"/>
    <w:rsid w:val="200C4ABC"/>
    <w:rsid w:val="20154B1A"/>
    <w:rsid w:val="201D5E55"/>
    <w:rsid w:val="2026ACA1"/>
    <w:rsid w:val="2076EA1A"/>
    <w:rsid w:val="2084F230"/>
    <w:rsid w:val="209D5BD7"/>
    <w:rsid w:val="20B3DD58"/>
    <w:rsid w:val="20F0666F"/>
    <w:rsid w:val="20F5D526"/>
    <w:rsid w:val="2169E2C4"/>
    <w:rsid w:val="21775EF5"/>
    <w:rsid w:val="21DBD735"/>
    <w:rsid w:val="21E617EE"/>
    <w:rsid w:val="2200BFF3"/>
    <w:rsid w:val="222715A0"/>
    <w:rsid w:val="2227BE90"/>
    <w:rsid w:val="226306B9"/>
    <w:rsid w:val="22778CA1"/>
    <w:rsid w:val="22911537"/>
    <w:rsid w:val="22A95C66"/>
    <w:rsid w:val="22B9F308"/>
    <w:rsid w:val="22C9FEEF"/>
    <w:rsid w:val="230259A5"/>
    <w:rsid w:val="234187C2"/>
    <w:rsid w:val="2353912E"/>
    <w:rsid w:val="236C8324"/>
    <w:rsid w:val="237E0959"/>
    <w:rsid w:val="23CEE071"/>
    <w:rsid w:val="23DB2F0E"/>
    <w:rsid w:val="2410AD05"/>
    <w:rsid w:val="2473FFF6"/>
    <w:rsid w:val="24882FC0"/>
    <w:rsid w:val="24916200"/>
    <w:rsid w:val="25361F10"/>
    <w:rsid w:val="25446407"/>
    <w:rsid w:val="254D46EB"/>
    <w:rsid w:val="2553394F"/>
    <w:rsid w:val="256FD0DB"/>
    <w:rsid w:val="257044D6"/>
    <w:rsid w:val="25BC7BEB"/>
    <w:rsid w:val="261682AC"/>
    <w:rsid w:val="263C5DD2"/>
    <w:rsid w:val="265926DD"/>
    <w:rsid w:val="2673CE7C"/>
    <w:rsid w:val="2696433A"/>
    <w:rsid w:val="26A444B9"/>
    <w:rsid w:val="26D78B15"/>
    <w:rsid w:val="2718EA9C"/>
    <w:rsid w:val="274DF267"/>
    <w:rsid w:val="2750A84C"/>
    <w:rsid w:val="2760E17B"/>
    <w:rsid w:val="2770C29F"/>
    <w:rsid w:val="279CB19C"/>
    <w:rsid w:val="279E131D"/>
    <w:rsid w:val="27AA74FC"/>
    <w:rsid w:val="27C36AD1"/>
    <w:rsid w:val="27E9E153"/>
    <w:rsid w:val="281CAF23"/>
    <w:rsid w:val="282F2ED0"/>
    <w:rsid w:val="2892C91A"/>
    <w:rsid w:val="28A1C24C"/>
    <w:rsid w:val="28E9D7DB"/>
    <w:rsid w:val="290F5C7A"/>
    <w:rsid w:val="2914C70D"/>
    <w:rsid w:val="2917623D"/>
    <w:rsid w:val="294AA261"/>
    <w:rsid w:val="2951CAF6"/>
    <w:rsid w:val="298B1BD5"/>
    <w:rsid w:val="299AEB94"/>
    <w:rsid w:val="29B4B51F"/>
    <w:rsid w:val="29BDDC14"/>
    <w:rsid w:val="29F92BA3"/>
    <w:rsid w:val="29FF63D4"/>
    <w:rsid w:val="2A0C4AEE"/>
    <w:rsid w:val="2A1A34F8"/>
    <w:rsid w:val="2A53B0DE"/>
    <w:rsid w:val="2A6884CB"/>
    <w:rsid w:val="2B7C5DB2"/>
    <w:rsid w:val="2BC23256"/>
    <w:rsid w:val="2BDA2CAF"/>
    <w:rsid w:val="2BE5B221"/>
    <w:rsid w:val="2C3179EC"/>
    <w:rsid w:val="2C3DAE77"/>
    <w:rsid w:val="2C41F60D"/>
    <w:rsid w:val="2C76D106"/>
    <w:rsid w:val="2C8497C7"/>
    <w:rsid w:val="2C9A3CBF"/>
    <w:rsid w:val="2CA63C77"/>
    <w:rsid w:val="2CAF51F4"/>
    <w:rsid w:val="2CB340A8"/>
    <w:rsid w:val="2CC8F793"/>
    <w:rsid w:val="2CD4A557"/>
    <w:rsid w:val="2CE516E0"/>
    <w:rsid w:val="2D38DF0A"/>
    <w:rsid w:val="2D533680"/>
    <w:rsid w:val="2D6C91AE"/>
    <w:rsid w:val="2D9518C0"/>
    <w:rsid w:val="2DE76FC5"/>
    <w:rsid w:val="2E2E0F7A"/>
    <w:rsid w:val="2E3136A8"/>
    <w:rsid w:val="2E3FF940"/>
    <w:rsid w:val="2E4265EC"/>
    <w:rsid w:val="2E4DC2A1"/>
    <w:rsid w:val="2E7AB58B"/>
    <w:rsid w:val="2E7DA9E8"/>
    <w:rsid w:val="2EA1AB7F"/>
    <w:rsid w:val="2EBA14D4"/>
    <w:rsid w:val="2EBDE8B5"/>
    <w:rsid w:val="2EC3C49E"/>
    <w:rsid w:val="2ED35CDC"/>
    <w:rsid w:val="2ED77316"/>
    <w:rsid w:val="2EE4BDC6"/>
    <w:rsid w:val="2EFA0986"/>
    <w:rsid w:val="2F010203"/>
    <w:rsid w:val="2F09A037"/>
    <w:rsid w:val="2F375BCD"/>
    <w:rsid w:val="2F455B69"/>
    <w:rsid w:val="2F46E930"/>
    <w:rsid w:val="2F6F1F4A"/>
    <w:rsid w:val="30047634"/>
    <w:rsid w:val="303D8489"/>
    <w:rsid w:val="3049E865"/>
    <w:rsid w:val="306CD1D6"/>
    <w:rsid w:val="30885191"/>
    <w:rsid w:val="30D2F010"/>
    <w:rsid w:val="30E63407"/>
    <w:rsid w:val="30F2B6D1"/>
    <w:rsid w:val="30FAA560"/>
    <w:rsid w:val="310B8267"/>
    <w:rsid w:val="312D2334"/>
    <w:rsid w:val="3132B2DA"/>
    <w:rsid w:val="3136916F"/>
    <w:rsid w:val="314FE0B5"/>
    <w:rsid w:val="315B09AE"/>
    <w:rsid w:val="31A11454"/>
    <w:rsid w:val="31F0FC2E"/>
    <w:rsid w:val="31F8A44F"/>
    <w:rsid w:val="31FB25CE"/>
    <w:rsid w:val="32053200"/>
    <w:rsid w:val="3207CC70"/>
    <w:rsid w:val="323681B4"/>
    <w:rsid w:val="326E2643"/>
    <w:rsid w:val="32B444DB"/>
    <w:rsid w:val="3308D5B0"/>
    <w:rsid w:val="330E8F38"/>
    <w:rsid w:val="33167848"/>
    <w:rsid w:val="3321DEE9"/>
    <w:rsid w:val="332B258B"/>
    <w:rsid w:val="334670B5"/>
    <w:rsid w:val="334B0244"/>
    <w:rsid w:val="33513154"/>
    <w:rsid w:val="33904765"/>
    <w:rsid w:val="33BAA1A4"/>
    <w:rsid w:val="33CD0AAF"/>
    <w:rsid w:val="33D6E59C"/>
    <w:rsid w:val="3463FBE5"/>
    <w:rsid w:val="346C37D1"/>
    <w:rsid w:val="34A993A7"/>
    <w:rsid w:val="34C6ED5D"/>
    <w:rsid w:val="3501639C"/>
    <w:rsid w:val="351035FB"/>
    <w:rsid w:val="35113DAD"/>
    <w:rsid w:val="35168FEA"/>
    <w:rsid w:val="353DF32E"/>
    <w:rsid w:val="353F7BA2"/>
    <w:rsid w:val="3544F252"/>
    <w:rsid w:val="35718894"/>
    <w:rsid w:val="35CD7043"/>
    <w:rsid w:val="35DA8E1F"/>
    <w:rsid w:val="36BD9F73"/>
    <w:rsid w:val="36D5332F"/>
    <w:rsid w:val="3728BB67"/>
    <w:rsid w:val="3757C7D8"/>
    <w:rsid w:val="3771CFAE"/>
    <w:rsid w:val="38007851"/>
    <w:rsid w:val="38060A95"/>
    <w:rsid w:val="38277584"/>
    <w:rsid w:val="3845C1EF"/>
    <w:rsid w:val="384A0D5F"/>
    <w:rsid w:val="3898C249"/>
    <w:rsid w:val="38AF2474"/>
    <w:rsid w:val="38B709A2"/>
    <w:rsid w:val="38B9DAAA"/>
    <w:rsid w:val="38D143BE"/>
    <w:rsid w:val="38E6A172"/>
    <w:rsid w:val="39100887"/>
    <w:rsid w:val="39117EFD"/>
    <w:rsid w:val="391DABF6"/>
    <w:rsid w:val="391E80D7"/>
    <w:rsid w:val="392AFB6E"/>
    <w:rsid w:val="3A029C8A"/>
    <w:rsid w:val="3A10BACB"/>
    <w:rsid w:val="3A4D4F19"/>
    <w:rsid w:val="3A61D095"/>
    <w:rsid w:val="3A866C41"/>
    <w:rsid w:val="3A949E31"/>
    <w:rsid w:val="3AAA41CB"/>
    <w:rsid w:val="3AAD2E80"/>
    <w:rsid w:val="3AC1D514"/>
    <w:rsid w:val="3AFD448A"/>
    <w:rsid w:val="3B1CD13A"/>
    <w:rsid w:val="3B23F756"/>
    <w:rsid w:val="3B42EBDD"/>
    <w:rsid w:val="3B5EFA0F"/>
    <w:rsid w:val="3BDD02ED"/>
    <w:rsid w:val="3BF56962"/>
    <w:rsid w:val="3C039BA9"/>
    <w:rsid w:val="3C278DFD"/>
    <w:rsid w:val="3C2BB43A"/>
    <w:rsid w:val="3C99A5BD"/>
    <w:rsid w:val="3CE11688"/>
    <w:rsid w:val="3D119658"/>
    <w:rsid w:val="3D7A3A8F"/>
    <w:rsid w:val="3D96EADE"/>
    <w:rsid w:val="3D9EDD41"/>
    <w:rsid w:val="3DEEC394"/>
    <w:rsid w:val="3DF57DCF"/>
    <w:rsid w:val="3E0DB4A5"/>
    <w:rsid w:val="3F17F2B8"/>
    <w:rsid w:val="3F49584C"/>
    <w:rsid w:val="3F76BA75"/>
    <w:rsid w:val="3FCE537C"/>
    <w:rsid w:val="3FDE3D3D"/>
    <w:rsid w:val="4005D560"/>
    <w:rsid w:val="400BA912"/>
    <w:rsid w:val="4020AD13"/>
    <w:rsid w:val="402E63DD"/>
    <w:rsid w:val="402F76D5"/>
    <w:rsid w:val="405B878C"/>
    <w:rsid w:val="40693C14"/>
    <w:rsid w:val="4074EFDF"/>
    <w:rsid w:val="4085143D"/>
    <w:rsid w:val="40B2869B"/>
    <w:rsid w:val="40C2E4D5"/>
    <w:rsid w:val="41109298"/>
    <w:rsid w:val="41279A7E"/>
    <w:rsid w:val="41588977"/>
    <w:rsid w:val="41D549A0"/>
    <w:rsid w:val="4228CF7A"/>
    <w:rsid w:val="423D6B5B"/>
    <w:rsid w:val="427C0B78"/>
    <w:rsid w:val="4334356E"/>
    <w:rsid w:val="4348271E"/>
    <w:rsid w:val="4353955D"/>
    <w:rsid w:val="4382AC53"/>
    <w:rsid w:val="43E62392"/>
    <w:rsid w:val="43F40C50"/>
    <w:rsid w:val="43F4CEB3"/>
    <w:rsid w:val="43F8C02A"/>
    <w:rsid w:val="44502B78"/>
    <w:rsid w:val="447B674E"/>
    <w:rsid w:val="44B2086F"/>
    <w:rsid w:val="44CD58F2"/>
    <w:rsid w:val="4505DC55"/>
    <w:rsid w:val="451DB340"/>
    <w:rsid w:val="453C976E"/>
    <w:rsid w:val="453D73BA"/>
    <w:rsid w:val="456B0936"/>
    <w:rsid w:val="45780E2F"/>
    <w:rsid w:val="45BAEC1D"/>
    <w:rsid w:val="46106B30"/>
    <w:rsid w:val="461737AF"/>
    <w:rsid w:val="46188921"/>
    <w:rsid w:val="4621317E"/>
    <w:rsid w:val="46865BAC"/>
    <w:rsid w:val="469011F4"/>
    <w:rsid w:val="46A9309E"/>
    <w:rsid w:val="46D60ADE"/>
    <w:rsid w:val="46F11F65"/>
    <w:rsid w:val="47240818"/>
    <w:rsid w:val="474B4F26"/>
    <w:rsid w:val="475358A3"/>
    <w:rsid w:val="475CC6F6"/>
    <w:rsid w:val="47AC3B91"/>
    <w:rsid w:val="47B30810"/>
    <w:rsid w:val="48128366"/>
    <w:rsid w:val="4830B830"/>
    <w:rsid w:val="483A0585"/>
    <w:rsid w:val="486FE301"/>
    <w:rsid w:val="489714DF"/>
    <w:rsid w:val="48B06EA2"/>
    <w:rsid w:val="48D8EA3F"/>
    <w:rsid w:val="4944836E"/>
    <w:rsid w:val="49530830"/>
    <w:rsid w:val="49551391"/>
    <w:rsid w:val="499C76E0"/>
    <w:rsid w:val="49C066FF"/>
    <w:rsid w:val="49CCB0C0"/>
    <w:rsid w:val="4A2C9C26"/>
    <w:rsid w:val="4A3492B7"/>
    <w:rsid w:val="4AB10239"/>
    <w:rsid w:val="4AB65181"/>
    <w:rsid w:val="4ABE0FB4"/>
    <w:rsid w:val="4ABF98F6"/>
    <w:rsid w:val="4B3D3F6F"/>
    <w:rsid w:val="4B5D4F69"/>
    <w:rsid w:val="4B982BFA"/>
    <w:rsid w:val="4BE5404F"/>
    <w:rsid w:val="4BFB4279"/>
    <w:rsid w:val="4C15A81F"/>
    <w:rsid w:val="4C3E565A"/>
    <w:rsid w:val="4C835F57"/>
    <w:rsid w:val="4C9F3732"/>
    <w:rsid w:val="4CDB8BD9"/>
    <w:rsid w:val="4D2C5A54"/>
    <w:rsid w:val="4D338118"/>
    <w:rsid w:val="4D4B9ABE"/>
    <w:rsid w:val="4D7822E6"/>
    <w:rsid w:val="4DA5BDFB"/>
    <w:rsid w:val="4E0A9B52"/>
    <w:rsid w:val="4E2C5C72"/>
    <w:rsid w:val="4E52424A"/>
    <w:rsid w:val="4EC02481"/>
    <w:rsid w:val="4EDCEEDE"/>
    <w:rsid w:val="4F0AE207"/>
    <w:rsid w:val="4F136321"/>
    <w:rsid w:val="4F3FBFB4"/>
    <w:rsid w:val="4FBEA219"/>
    <w:rsid w:val="4FFDE129"/>
    <w:rsid w:val="5003CADE"/>
    <w:rsid w:val="5030FB31"/>
    <w:rsid w:val="505A941C"/>
    <w:rsid w:val="506A0986"/>
    <w:rsid w:val="507670E3"/>
    <w:rsid w:val="5076EE3F"/>
    <w:rsid w:val="50869D92"/>
    <w:rsid w:val="509C4EA0"/>
    <w:rsid w:val="50CD0874"/>
    <w:rsid w:val="50EF8F2E"/>
    <w:rsid w:val="51288586"/>
    <w:rsid w:val="517CBA5A"/>
    <w:rsid w:val="519B36A7"/>
    <w:rsid w:val="51B57435"/>
    <w:rsid w:val="51E85CD7"/>
    <w:rsid w:val="51F802AC"/>
    <w:rsid w:val="521FCC02"/>
    <w:rsid w:val="5239DE00"/>
    <w:rsid w:val="524B5293"/>
    <w:rsid w:val="526BFA0B"/>
    <w:rsid w:val="5285E74A"/>
    <w:rsid w:val="5289A0A7"/>
    <w:rsid w:val="528B98E5"/>
    <w:rsid w:val="52B5EA0B"/>
    <w:rsid w:val="52D42641"/>
    <w:rsid w:val="52D68EB9"/>
    <w:rsid w:val="530DF30D"/>
    <w:rsid w:val="5312A796"/>
    <w:rsid w:val="53476761"/>
    <w:rsid w:val="5347AB7A"/>
    <w:rsid w:val="538E8281"/>
    <w:rsid w:val="5445003D"/>
    <w:rsid w:val="544D52DF"/>
    <w:rsid w:val="547FF908"/>
    <w:rsid w:val="548414C3"/>
    <w:rsid w:val="54B31C91"/>
    <w:rsid w:val="54C9AA12"/>
    <w:rsid w:val="54E64C9F"/>
    <w:rsid w:val="55772A13"/>
    <w:rsid w:val="55AFD3C1"/>
    <w:rsid w:val="55AFF541"/>
    <w:rsid w:val="55B6F160"/>
    <w:rsid w:val="55E70D5F"/>
    <w:rsid w:val="56036925"/>
    <w:rsid w:val="56082CB3"/>
    <w:rsid w:val="56295016"/>
    <w:rsid w:val="56308336"/>
    <w:rsid w:val="56312166"/>
    <w:rsid w:val="5649A648"/>
    <w:rsid w:val="56827C49"/>
    <w:rsid w:val="568B05CF"/>
    <w:rsid w:val="56A7722D"/>
    <w:rsid w:val="57317A0B"/>
    <w:rsid w:val="57474E04"/>
    <w:rsid w:val="574BE1FB"/>
    <w:rsid w:val="57AF2ED0"/>
    <w:rsid w:val="57EC6715"/>
    <w:rsid w:val="581AED96"/>
    <w:rsid w:val="582220B5"/>
    <w:rsid w:val="58328F14"/>
    <w:rsid w:val="587D7DF2"/>
    <w:rsid w:val="58855A23"/>
    <w:rsid w:val="5894D026"/>
    <w:rsid w:val="58B8AFC2"/>
    <w:rsid w:val="58F0574F"/>
    <w:rsid w:val="594FECD6"/>
    <w:rsid w:val="5964556F"/>
    <w:rsid w:val="5967C0B5"/>
    <w:rsid w:val="5971BE07"/>
    <w:rsid w:val="598E212B"/>
    <w:rsid w:val="599C50D7"/>
    <w:rsid w:val="59CA6BDE"/>
    <w:rsid w:val="59E0E3FD"/>
    <w:rsid w:val="5A10836E"/>
    <w:rsid w:val="5A12A410"/>
    <w:rsid w:val="5A2EEEB6"/>
    <w:rsid w:val="5A338325"/>
    <w:rsid w:val="5A557F02"/>
    <w:rsid w:val="5A849808"/>
    <w:rsid w:val="5AC0B3EF"/>
    <w:rsid w:val="5B52DBD3"/>
    <w:rsid w:val="5B533068"/>
    <w:rsid w:val="5B949B82"/>
    <w:rsid w:val="5B9EBDB4"/>
    <w:rsid w:val="5BA68CEC"/>
    <w:rsid w:val="5BAAD1F1"/>
    <w:rsid w:val="5BB05756"/>
    <w:rsid w:val="5BD90C7C"/>
    <w:rsid w:val="5BEB6881"/>
    <w:rsid w:val="5C156CEA"/>
    <w:rsid w:val="5C2ABF0E"/>
    <w:rsid w:val="5C5BE29B"/>
    <w:rsid w:val="5C781EC2"/>
    <w:rsid w:val="5C83654C"/>
    <w:rsid w:val="5CB7AE44"/>
    <w:rsid w:val="5CBA532A"/>
    <w:rsid w:val="5CD8E8A0"/>
    <w:rsid w:val="5D21E800"/>
    <w:rsid w:val="5D358B4F"/>
    <w:rsid w:val="5D7262E2"/>
    <w:rsid w:val="5D7E7E4D"/>
    <w:rsid w:val="5DAB7BCF"/>
    <w:rsid w:val="5DB342E9"/>
    <w:rsid w:val="5DE4EECB"/>
    <w:rsid w:val="5DF5C751"/>
    <w:rsid w:val="5E0BB897"/>
    <w:rsid w:val="5E0C46D4"/>
    <w:rsid w:val="5E15C534"/>
    <w:rsid w:val="5E36D50B"/>
    <w:rsid w:val="5E3F110D"/>
    <w:rsid w:val="5E8EC1A6"/>
    <w:rsid w:val="5EA1910F"/>
    <w:rsid w:val="5ED353EE"/>
    <w:rsid w:val="5EDCFA47"/>
    <w:rsid w:val="5F10AD3E"/>
    <w:rsid w:val="5F32129E"/>
    <w:rsid w:val="5F3F161D"/>
    <w:rsid w:val="5F6B8F39"/>
    <w:rsid w:val="5FA730E9"/>
    <w:rsid w:val="5FA9C09F"/>
    <w:rsid w:val="5FB9A548"/>
    <w:rsid w:val="5FCBDC3E"/>
    <w:rsid w:val="5FD7AFA8"/>
    <w:rsid w:val="5FE2D40C"/>
    <w:rsid w:val="5FEF4F06"/>
    <w:rsid w:val="605361A4"/>
    <w:rsid w:val="60C95224"/>
    <w:rsid w:val="60E7E1EE"/>
    <w:rsid w:val="60FAE301"/>
    <w:rsid w:val="61147AC9"/>
    <w:rsid w:val="611530D0"/>
    <w:rsid w:val="61361B96"/>
    <w:rsid w:val="6144DF32"/>
    <w:rsid w:val="614DAB47"/>
    <w:rsid w:val="6159CF64"/>
    <w:rsid w:val="618B840E"/>
    <w:rsid w:val="61A38F78"/>
    <w:rsid w:val="61D802E1"/>
    <w:rsid w:val="620E91A3"/>
    <w:rsid w:val="62318B16"/>
    <w:rsid w:val="62370567"/>
    <w:rsid w:val="6237FACD"/>
    <w:rsid w:val="6279CC8B"/>
    <w:rsid w:val="6296DACC"/>
    <w:rsid w:val="62B5604E"/>
    <w:rsid w:val="62B85FEE"/>
    <w:rsid w:val="633F473A"/>
    <w:rsid w:val="635BB11F"/>
    <w:rsid w:val="63967600"/>
    <w:rsid w:val="63AEBD2F"/>
    <w:rsid w:val="63C3C144"/>
    <w:rsid w:val="63C9B591"/>
    <w:rsid w:val="63FB4344"/>
    <w:rsid w:val="641B9234"/>
    <w:rsid w:val="6433B336"/>
    <w:rsid w:val="6439D427"/>
    <w:rsid w:val="644701E3"/>
    <w:rsid w:val="6452DA21"/>
    <w:rsid w:val="6452E10C"/>
    <w:rsid w:val="6475A9DE"/>
    <w:rsid w:val="6479731C"/>
    <w:rsid w:val="6482C4FA"/>
    <w:rsid w:val="64D2D6A8"/>
    <w:rsid w:val="64F5D2BB"/>
    <w:rsid w:val="64FFD8E6"/>
    <w:rsid w:val="650AF832"/>
    <w:rsid w:val="6531DC5D"/>
    <w:rsid w:val="6593AC88"/>
    <w:rsid w:val="65A5B9C4"/>
    <w:rsid w:val="65E6CB8F"/>
    <w:rsid w:val="6620A143"/>
    <w:rsid w:val="6627EF69"/>
    <w:rsid w:val="664C8B6A"/>
    <w:rsid w:val="665E5DB9"/>
    <w:rsid w:val="668E741A"/>
    <w:rsid w:val="669872C5"/>
    <w:rsid w:val="669E026B"/>
    <w:rsid w:val="66CCA6DE"/>
    <w:rsid w:val="66D5AEFF"/>
    <w:rsid w:val="672F54B0"/>
    <w:rsid w:val="672F7CE9"/>
    <w:rsid w:val="673B7BFD"/>
    <w:rsid w:val="676391EA"/>
    <w:rsid w:val="67726C59"/>
    <w:rsid w:val="6774089D"/>
    <w:rsid w:val="6780624E"/>
    <w:rsid w:val="678F6DF2"/>
    <w:rsid w:val="67A304F1"/>
    <w:rsid w:val="67B441AB"/>
    <w:rsid w:val="67B7FD9D"/>
    <w:rsid w:val="6803F738"/>
    <w:rsid w:val="680D1B66"/>
    <w:rsid w:val="683A7CC2"/>
    <w:rsid w:val="68426CF8"/>
    <w:rsid w:val="684C96A2"/>
    <w:rsid w:val="68796F1F"/>
    <w:rsid w:val="68ADBF7B"/>
    <w:rsid w:val="68B2B7A9"/>
    <w:rsid w:val="68D9240C"/>
    <w:rsid w:val="6916D5DA"/>
    <w:rsid w:val="691DE795"/>
    <w:rsid w:val="69220998"/>
    <w:rsid w:val="69245B3A"/>
    <w:rsid w:val="69524BD9"/>
    <w:rsid w:val="696EF546"/>
    <w:rsid w:val="6999DDE4"/>
    <w:rsid w:val="69A048E6"/>
    <w:rsid w:val="6A3D716A"/>
    <w:rsid w:val="6A521F72"/>
    <w:rsid w:val="6A64C6A2"/>
    <w:rsid w:val="6AAB2E5D"/>
    <w:rsid w:val="6AB996A7"/>
    <w:rsid w:val="6ACF279C"/>
    <w:rsid w:val="6AE2201E"/>
    <w:rsid w:val="6AEE6FC5"/>
    <w:rsid w:val="6B10C48C"/>
    <w:rsid w:val="6B4E5717"/>
    <w:rsid w:val="6BE8D067"/>
    <w:rsid w:val="6C166561"/>
    <w:rsid w:val="6C36CB9C"/>
    <w:rsid w:val="6C767614"/>
    <w:rsid w:val="6C8E1477"/>
    <w:rsid w:val="6CA4DB33"/>
    <w:rsid w:val="6CAC698B"/>
    <w:rsid w:val="6CAD09E3"/>
    <w:rsid w:val="6CBFFF72"/>
    <w:rsid w:val="6CF218BC"/>
    <w:rsid w:val="6D16F6E2"/>
    <w:rsid w:val="6D5B2388"/>
    <w:rsid w:val="6D91EA28"/>
    <w:rsid w:val="6DA324FF"/>
    <w:rsid w:val="6DF785C5"/>
    <w:rsid w:val="6E16A5F9"/>
    <w:rsid w:val="6E521841"/>
    <w:rsid w:val="6E5A11DE"/>
    <w:rsid w:val="6E5E417F"/>
    <w:rsid w:val="6E6BCEE9"/>
    <w:rsid w:val="6E70E06D"/>
    <w:rsid w:val="6E7D5797"/>
    <w:rsid w:val="6EA22E8A"/>
    <w:rsid w:val="6EA3CCAB"/>
    <w:rsid w:val="6EEEAD4F"/>
    <w:rsid w:val="6EFD1B07"/>
    <w:rsid w:val="6F98377D"/>
    <w:rsid w:val="6FBC8A6A"/>
    <w:rsid w:val="70038D60"/>
    <w:rsid w:val="700B1FAD"/>
    <w:rsid w:val="705ABDA7"/>
    <w:rsid w:val="705F846F"/>
    <w:rsid w:val="70EBC32F"/>
    <w:rsid w:val="70ECE019"/>
    <w:rsid w:val="7129A274"/>
    <w:rsid w:val="712EBBAF"/>
    <w:rsid w:val="713AA50A"/>
    <w:rsid w:val="7180A12A"/>
    <w:rsid w:val="720B6047"/>
    <w:rsid w:val="721C9447"/>
    <w:rsid w:val="7275EDBB"/>
    <w:rsid w:val="7276BDBA"/>
    <w:rsid w:val="728E5B12"/>
    <w:rsid w:val="72914683"/>
    <w:rsid w:val="72A6F2D6"/>
    <w:rsid w:val="72BD5E3A"/>
    <w:rsid w:val="72CFBE75"/>
    <w:rsid w:val="72DA1285"/>
    <w:rsid w:val="72EC0BF8"/>
    <w:rsid w:val="734DC189"/>
    <w:rsid w:val="734F82D9"/>
    <w:rsid w:val="73AB76B2"/>
    <w:rsid w:val="73ADBC6D"/>
    <w:rsid w:val="73B864A8"/>
    <w:rsid w:val="73E9F1F0"/>
    <w:rsid w:val="7415D926"/>
    <w:rsid w:val="742A872E"/>
    <w:rsid w:val="742B3A9F"/>
    <w:rsid w:val="746AEA96"/>
    <w:rsid w:val="74904E77"/>
    <w:rsid w:val="74A344CD"/>
    <w:rsid w:val="74AF7CDE"/>
    <w:rsid w:val="753CA0FF"/>
    <w:rsid w:val="754E4793"/>
    <w:rsid w:val="7567DC69"/>
    <w:rsid w:val="7571F009"/>
    <w:rsid w:val="757A754A"/>
    <w:rsid w:val="759E0012"/>
    <w:rsid w:val="75A7A087"/>
    <w:rsid w:val="75C142B6"/>
    <w:rsid w:val="75E721BC"/>
    <w:rsid w:val="75FBDA0F"/>
    <w:rsid w:val="76014FF5"/>
    <w:rsid w:val="7605D8B5"/>
    <w:rsid w:val="764FE312"/>
    <w:rsid w:val="767605F8"/>
    <w:rsid w:val="768972AA"/>
    <w:rsid w:val="76B6FE59"/>
    <w:rsid w:val="76DAC459"/>
    <w:rsid w:val="76F607C0"/>
    <w:rsid w:val="76F6B660"/>
    <w:rsid w:val="771940F5"/>
    <w:rsid w:val="771EEC67"/>
    <w:rsid w:val="773B9AD6"/>
    <w:rsid w:val="775FD7B0"/>
    <w:rsid w:val="779E0364"/>
    <w:rsid w:val="77A226B1"/>
    <w:rsid w:val="77A69B35"/>
    <w:rsid w:val="77E23B9D"/>
    <w:rsid w:val="77E76EDF"/>
    <w:rsid w:val="77F9D885"/>
    <w:rsid w:val="78200F4F"/>
    <w:rsid w:val="78578912"/>
    <w:rsid w:val="78858014"/>
    <w:rsid w:val="78970C91"/>
    <w:rsid w:val="78C4583B"/>
    <w:rsid w:val="79153308"/>
    <w:rsid w:val="791EC27E"/>
    <w:rsid w:val="792613D1"/>
    <w:rsid w:val="793E674C"/>
    <w:rsid w:val="79663D29"/>
    <w:rsid w:val="799DE4B6"/>
    <w:rsid w:val="79BD9091"/>
    <w:rsid w:val="7A6AC85A"/>
    <w:rsid w:val="7A6DE290"/>
    <w:rsid w:val="7A780519"/>
    <w:rsid w:val="7A889D17"/>
    <w:rsid w:val="7AC1695F"/>
    <w:rsid w:val="7AF55848"/>
    <w:rsid w:val="7B23B9DB"/>
    <w:rsid w:val="7B2E11AD"/>
    <w:rsid w:val="7B58721E"/>
    <w:rsid w:val="7B9A65C6"/>
    <w:rsid w:val="7BAF69DB"/>
    <w:rsid w:val="7BDCA5C1"/>
    <w:rsid w:val="7BDCD364"/>
    <w:rsid w:val="7C0334C1"/>
    <w:rsid w:val="7C1CA050"/>
    <w:rsid w:val="7C31E2A4"/>
    <w:rsid w:val="7C566340"/>
    <w:rsid w:val="7C717F1F"/>
    <w:rsid w:val="7C7ACD6B"/>
    <w:rsid w:val="7C7CB227"/>
    <w:rsid w:val="7C88CBE4"/>
    <w:rsid w:val="7CC27B4E"/>
    <w:rsid w:val="7CE9EDAB"/>
    <w:rsid w:val="7D2A8B66"/>
    <w:rsid w:val="7D3F51A2"/>
    <w:rsid w:val="7D673474"/>
    <w:rsid w:val="7D93BE6B"/>
    <w:rsid w:val="7DC1037E"/>
    <w:rsid w:val="7DCA1461"/>
    <w:rsid w:val="7E0B1E95"/>
    <w:rsid w:val="7E5508F6"/>
    <w:rsid w:val="7E85924D"/>
    <w:rsid w:val="7EA25212"/>
    <w:rsid w:val="7EB975A3"/>
    <w:rsid w:val="7EC65BC7"/>
    <w:rsid w:val="7EE1EB31"/>
    <w:rsid w:val="7F1F247F"/>
    <w:rsid w:val="7F2F8ECC"/>
    <w:rsid w:val="7F421992"/>
    <w:rsid w:val="7F55E373"/>
    <w:rsid w:val="7F587329"/>
    <w:rsid w:val="7F7039C5"/>
    <w:rsid w:val="7F7AF46A"/>
    <w:rsid w:val="7FB62378"/>
    <w:rsid w:val="7FCB47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22E80"/>
  <w15:chartTrackingRefBased/>
  <w15:docId w15:val="{64A867D9-3207-4312-A7CB-4D9BA667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D21"/>
    <w:pPr>
      <w:spacing w:after="120"/>
    </w:pPr>
    <w:rPr>
      <w:sz w:val="20"/>
    </w:rPr>
  </w:style>
  <w:style w:type="paragraph" w:styleId="Heading1">
    <w:name w:val="heading 1"/>
    <w:basedOn w:val="Normal"/>
    <w:next w:val="Normal"/>
    <w:link w:val="Heading1Char"/>
    <w:uiPriority w:val="9"/>
    <w:qFormat/>
    <w:rsid w:val="00BB37DB"/>
    <w:pPr>
      <w:keepNext/>
      <w:keepLines/>
      <w:spacing w:before="160" w:after="40"/>
      <w:jc w:val="center"/>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41FF"/>
    <w:pPr>
      <w:keepNext/>
      <w:keepLines/>
      <w:spacing w:before="40" w:after="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0D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FE3D7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7D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E41F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B0D21"/>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E41FF"/>
    <w:pPr>
      <w:spacing w:after="0"/>
      <w:ind w:left="720"/>
      <w:contextualSpacing/>
    </w:pPr>
  </w:style>
  <w:style w:type="paragraph" w:customStyle="1" w:styleId="ReferenceList">
    <w:name w:val="Reference List"/>
    <w:basedOn w:val="Normal"/>
    <w:qFormat/>
    <w:rsid w:val="00EE41FF"/>
    <w:pPr>
      <w:ind w:left="720" w:hanging="720"/>
    </w:pPr>
    <w:rPr>
      <w:szCs w:val="20"/>
      <w:lang w:val="en-US"/>
    </w:rPr>
  </w:style>
  <w:style w:type="character" w:styleId="Hyperlink">
    <w:name w:val="Hyperlink"/>
    <w:basedOn w:val="DefaultParagraphFont"/>
    <w:uiPriority w:val="99"/>
    <w:unhideWhenUsed/>
    <w:rsid w:val="00BB0D21"/>
    <w:rPr>
      <w:color w:val="0563C1" w:themeColor="hyperlink"/>
      <w:u w:val="single"/>
    </w:rPr>
  </w:style>
  <w:style w:type="paragraph" w:styleId="Caption">
    <w:name w:val="caption"/>
    <w:basedOn w:val="Normal"/>
    <w:next w:val="Normal"/>
    <w:uiPriority w:val="35"/>
    <w:unhideWhenUsed/>
    <w:qFormat/>
    <w:rsid w:val="00BB0D21"/>
    <w:pPr>
      <w:spacing w:after="200" w:line="240" w:lineRule="auto"/>
    </w:pPr>
    <w:rPr>
      <w:rFonts w:ascii="Calibri" w:eastAsiaTheme="minorEastAsia" w:hAnsi="Calibri"/>
      <w:i/>
      <w:iCs/>
      <w:color w:val="44546A" w:themeColor="text2"/>
      <w:sz w:val="18"/>
      <w:szCs w:val="18"/>
      <w:lang w:val="en-US" w:eastAsia="ja-JP"/>
    </w:rPr>
  </w:style>
  <w:style w:type="table" w:styleId="GridTable4-Accent5">
    <w:name w:val="Grid Table 4 Accent 5"/>
    <w:basedOn w:val="TableNormal"/>
    <w:uiPriority w:val="49"/>
    <w:rsid w:val="00BB0D2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f01">
    <w:name w:val="cf01"/>
    <w:basedOn w:val="DefaultParagraphFont"/>
    <w:rsid w:val="00BB0D21"/>
    <w:rPr>
      <w:rFonts w:ascii="Segoe UI" w:hAnsi="Segoe UI" w:cs="Segoe UI" w:hint="default"/>
      <w:sz w:val="18"/>
      <w:szCs w:val="18"/>
    </w:rPr>
  </w:style>
  <w:style w:type="table" w:styleId="GridTable5Dark-Accent5">
    <w:name w:val="Grid Table 5 Dark Accent 5"/>
    <w:basedOn w:val="TableNormal"/>
    <w:uiPriority w:val="50"/>
    <w:rsid w:val="00BB0D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Grid">
    <w:name w:val="Table Grid"/>
    <w:basedOn w:val="TableNormal"/>
    <w:uiPriority w:val="39"/>
    <w:rsid w:val="00BB0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0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D21"/>
    <w:rPr>
      <w:rFonts w:ascii="Segoe UI" w:hAnsi="Segoe UI" w:cs="Segoe UI"/>
      <w:sz w:val="18"/>
      <w:szCs w:val="18"/>
    </w:rPr>
  </w:style>
  <w:style w:type="character" w:styleId="CommentReference">
    <w:name w:val="annotation reference"/>
    <w:basedOn w:val="DefaultParagraphFont"/>
    <w:uiPriority w:val="99"/>
    <w:semiHidden/>
    <w:unhideWhenUsed/>
    <w:rsid w:val="00BB0D21"/>
    <w:rPr>
      <w:sz w:val="16"/>
      <w:szCs w:val="16"/>
    </w:rPr>
  </w:style>
  <w:style w:type="paragraph" w:styleId="CommentText">
    <w:name w:val="annotation text"/>
    <w:basedOn w:val="Normal"/>
    <w:link w:val="CommentTextChar"/>
    <w:uiPriority w:val="99"/>
    <w:unhideWhenUsed/>
    <w:rsid w:val="00BB0D21"/>
    <w:pPr>
      <w:spacing w:line="240" w:lineRule="auto"/>
    </w:pPr>
    <w:rPr>
      <w:szCs w:val="20"/>
    </w:rPr>
  </w:style>
  <w:style w:type="character" w:customStyle="1" w:styleId="CommentTextChar">
    <w:name w:val="Comment Text Char"/>
    <w:basedOn w:val="DefaultParagraphFont"/>
    <w:link w:val="CommentText"/>
    <w:uiPriority w:val="99"/>
    <w:rsid w:val="00BB0D21"/>
    <w:rPr>
      <w:sz w:val="20"/>
      <w:szCs w:val="20"/>
    </w:rPr>
  </w:style>
  <w:style w:type="character" w:customStyle="1" w:styleId="CommentSubjectChar">
    <w:name w:val="Comment Subject Char"/>
    <w:basedOn w:val="CommentTextChar"/>
    <w:link w:val="CommentSubject"/>
    <w:uiPriority w:val="99"/>
    <w:semiHidden/>
    <w:rsid w:val="00BB0D21"/>
    <w:rPr>
      <w:b/>
      <w:bCs/>
      <w:sz w:val="20"/>
      <w:szCs w:val="20"/>
    </w:rPr>
  </w:style>
  <w:style w:type="paragraph" w:styleId="CommentSubject">
    <w:name w:val="annotation subject"/>
    <w:basedOn w:val="CommentText"/>
    <w:next w:val="CommentText"/>
    <w:link w:val="CommentSubjectChar"/>
    <w:uiPriority w:val="99"/>
    <w:semiHidden/>
    <w:unhideWhenUsed/>
    <w:rsid w:val="00BB0D21"/>
    <w:rPr>
      <w:b/>
      <w:bCs/>
    </w:rPr>
  </w:style>
  <w:style w:type="paragraph" w:styleId="Header">
    <w:name w:val="header"/>
    <w:basedOn w:val="Normal"/>
    <w:link w:val="HeaderChar"/>
    <w:uiPriority w:val="99"/>
    <w:unhideWhenUsed/>
    <w:rsid w:val="00BB0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D21"/>
    <w:rPr>
      <w:sz w:val="20"/>
    </w:rPr>
  </w:style>
  <w:style w:type="paragraph" w:styleId="Footer">
    <w:name w:val="footer"/>
    <w:basedOn w:val="Normal"/>
    <w:link w:val="FooterChar"/>
    <w:uiPriority w:val="99"/>
    <w:unhideWhenUsed/>
    <w:rsid w:val="00BB0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D21"/>
    <w:rPr>
      <w:sz w:val="20"/>
    </w:rPr>
  </w:style>
  <w:style w:type="paragraph" w:styleId="TOCHeading">
    <w:name w:val="TOC Heading"/>
    <w:basedOn w:val="Heading1"/>
    <w:next w:val="Normal"/>
    <w:uiPriority w:val="39"/>
    <w:unhideWhenUsed/>
    <w:qFormat/>
    <w:rsid w:val="00BB0D21"/>
    <w:pPr>
      <w:spacing w:before="240" w:after="0"/>
      <w:jc w:val="left"/>
      <w:outlineLvl w:val="9"/>
    </w:pPr>
    <w:rPr>
      <w:lang w:val="en-US"/>
    </w:rPr>
  </w:style>
  <w:style w:type="paragraph" w:styleId="TOC1">
    <w:name w:val="toc 1"/>
    <w:basedOn w:val="Normal"/>
    <w:next w:val="Normal"/>
    <w:autoRedefine/>
    <w:uiPriority w:val="39"/>
    <w:unhideWhenUsed/>
    <w:rsid w:val="001F43E8"/>
    <w:pPr>
      <w:tabs>
        <w:tab w:val="right" w:leader="dot" w:pos="9016"/>
      </w:tabs>
      <w:spacing w:after="100"/>
    </w:pPr>
  </w:style>
  <w:style w:type="paragraph" w:styleId="TOC2">
    <w:name w:val="toc 2"/>
    <w:basedOn w:val="Normal"/>
    <w:next w:val="Normal"/>
    <w:autoRedefine/>
    <w:uiPriority w:val="39"/>
    <w:unhideWhenUsed/>
    <w:rsid w:val="00BB0D21"/>
    <w:pPr>
      <w:spacing w:after="100"/>
      <w:ind w:left="200"/>
    </w:pPr>
  </w:style>
  <w:style w:type="paragraph" w:styleId="TOC3">
    <w:name w:val="toc 3"/>
    <w:basedOn w:val="Normal"/>
    <w:next w:val="Normal"/>
    <w:autoRedefine/>
    <w:uiPriority w:val="39"/>
    <w:unhideWhenUsed/>
    <w:rsid w:val="00BB0D21"/>
    <w:pPr>
      <w:spacing w:after="100"/>
      <w:ind w:left="400"/>
    </w:pPr>
  </w:style>
  <w:style w:type="paragraph" w:styleId="TOC4">
    <w:name w:val="toc 4"/>
    <w:basedOn w:val="Normal"/>
    <w:next w:val="Normal"/>
    <w:autoRedefine/>
    <w:uiPriority w:val="39"/>
    <w:unhideWhenUsed/>
    <w:rsid w:val="00BB0D21"/>
    <w:pPr>
      <w:spacing w:after="100"/>
      <w:ind w:left="660"/>
    </w:pPr>
    <w:rPr>
      <w:rFonts w:eastAsiaTheme="minorEastAsia"/>
      <w:sz w:val="22"/>
      <w:lang w:eastAsia="en-AU"/>
    </w:rPr>
  </w:style>
  <w:style w:type="paragraph" w:styleId="TOC5">
    <w:name w:val="toc 5"/>
    <w:basedOn w:val="Normal"/>
    <w:next w:val="Normal"/>
    <w:autoRedefine/>
    <w:uiPriority w:val="39"/>
    <w:unhideWhenUsed/>
    <w:rsid w:val="00BB0D21"/>
    <w:pPr>
      <w:spacing w:after="100"/>
      <w:ind w:left="880"/>
    </w:pPr>
    <w:rPr>
      <w:rFonts w:eastAsiaTheme="minorEastAsia"/>
      <w:sz w:val="22"/>
      <w:lang w:eastAsia="en-AU"/>
    </w:rPr>
  </w:style>
  <w:style w:type="paragraph" w:styleId="TOC6">
    <w:name w:val="toc 6"/>
    <w:basedOn w:val="Normal"/>
    <w:next w:val="Normal"/>
    <w:autoRedefine/>
    <w:uiPriority w:val="39"/>
    <w:unhideWhenUsed/>
    <w:rsid w:val="00BB0D21"/>
    <w:pPr>
      <w:spacing w:after="100"/>
      <w:ind w:left="1100"/>
    </w:pPr>
    <w:rPr>
      <w:rFonts w:eastAsiaTheme="minorEastAsia"/>
      <w:sz w:val="22"/>
      <w:lang w:eastAsia="en-AU"/>
    </w:rPr>
  </w:style>
  <w:style w:type="paragraph" w:styleId="TOC7">
    <w:name w:val="toc 7"/>
    <w:basedOn w:val="Normal"/>
    <w:next w:val="Normal"/>
    <w:autoRedefine/>
    <w:uiPriority w:val="39"/>
    <w:unhideWhenUsed/>
    <w:rsid w:val="00BB0D21"/>
    <w:pPr>
      <w:spacing w:after="100"/>
      <w:ind w:left="1320"/>
    </w:pPr>
    <w:rPr>
      <w:rFonts w:eastAsiaTheme="minorEastAsia"/>
      <w:sz w:val="22"/>
      <w:lang w:eastAsia="en-AU"/>
    </w:rPr>
  </w:style>
  <w:style w:type="paragraph" w:styleId="TOC8">
    <w:name w:val="toc 8"/>
    <w:basedOn w:val="Normal"/>
    <w:next w:val="Normal"/>
    <w:autoRedefine/>
    <w:uiPriority w:val="39"/>
    <w:unhideWhenUsed/>
    <w:rsid w:val="00BB0D21"/>
    <w:pPr>
      <w:spacing w:after="100"/>
      <w:ind w:left="1540"/>
    </w:pPr>
    <w:rPr>
      <w:rFonts w:eastAsiaTheme="minorEastAsia"/>
      <w:sz w:val="22"/>
      <w:lang w:eastAsia="en-AU"/>
    </w:rPr>
  </w:style>
  <w:style w:type="paragraph" w:styleId="TOC9">
    <w:name w:val="toc 9"/>
    <w:basedOn w:val="Normal"/>
    <w:next w:val="Normal"/>
    <w:autoRedefine/>
    <w:uiPriority w:val="39"/>
    <w:unhideWhenUsed/>
    <w:rsid w:val="00BB0D21"/>
    <w:pPr>
      <w:spacing w:after="100"/>
      <w:ind w:left="1760"/>
    </w:pPr>
    <w:rPr>
      <w:rFonts w:eastAsiaTheme="minorEastAsia"/>
      <w:sz w:val="22"/>
      <w:lang w:eastAsia="en-AU"/>
    </w:rPr>
  </w:style>
  <w:style w:type="table" w:customStyle="1" w:styleId="GridTable4-Accent51">
    <w:name w:val="Grid Table 4 - Accent 51"/>
    <w:basedOn w:val="TableNormal"/>
    <w:next w:val="GridTable4-Accent5"/>
    <w:uiPriority w:val="49"/>
    <w:rsid w:val="004034D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1">
    <w:name w:val="Grid Table 4 - Accent 511"/>
    <w:basedOn w:val="TableNormal"/>
    <w:next w:val="GridTable4-Accent5"/>
    <w:uiPriority w:val="49"/>
    <w:rsid w:val="004034D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2">
    <w:name w:val="Grid Table 4 - Accent 512"/>
    <w:basedOn w:val="TableNormal"/>
    <w:next w:val="GridTable4-Accent5"/>
    <w:uiPriority w:val="49"/>
    <w:rsid w:val="005A48D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nresolvedMention1">
    <w:name w:val="Unresolved Mention1"/>
    <w:basedOn w:val="DefaultParagraphFont"/>
    <w:uiPriority w:val="99"/>
    <w:semiHidden/>
    <w:unhideWhenUsed/>
    <w:rsid w:val="00685144"/>
    <w:rPr>
      <w:color w:val="605E5C"/>
      <w:shd w:val="clear" w:color="auto" w:fill="E1DFDD"/>
    </w:rPr>
  </w:style>
  <w:style w:type="character" w:customStyle="1" w:styleId="Heading5Char">
    <w:name w:val="Heading 5 Char"/>
    <w:basedOn w:val="DefaultParagraphFont"/>
    <w:link w:val="Heading5"/>
    <w:uiPriority w:val="9"/>
    <w:rsid w:val="00FE3D79"/>
    <w:rPr>
      <w:rFonts w:asciiTheme="majorHAnsi" w:eastAsiaTheme="majorEastAsia" w:hAnsiTheme="majorHAnsi" w:cstheme="majorBidi"/>
      <w:color w:val="2E74B5" w:themeColor="accent1" w:themeShade="BF"/>
      <w:sz w:val="20"/>
    </w:rPr>
  </w:style>
  <w:style w:type="character" w:customStyle="1" w:styleId="UnresolvedMention2">
    <w:name w:val="Unresolved Mention2"/>
    <w:basedOn w:val="DefaultParagraphFont"/>
    <w:uiPriority w:val="99"/>
    <w:semiHidden/>
    <w:unhideWhenUsed/>
    <w:rsid w:val="008E4160"/>
    <w:rPr>
      <w:color w:val="605E5C"/>
      <w:shd w:val="clear" w:color="auto" w:fill="E1DFDD"/>
    </w:rPr>
  </w:style>
  <w:style w:type="paragraph" w:styleId="TableofFigures">
    <w:name w:val="table of figures"/>
    <w:basedOn w:val="Normal"/>
    <w:next w:val="Normal"/>
    <w:uiPriority w:val="99"/>
    <w:unhideWhenUsed/>
    <w:rsid w:val="001D721C"/>
    <w:pPr>
      <w:spacing w:after="0"/>
    </w:pPr>
  </w:style>
  <w:style w:type="character" w:customStyle="1" w:styleId="UnresolvedMention3">
    <w:name w:val="Unresolved Mention3"/>
    <w:basedOn w:val="DefaultParagraphFont"/>
    <w:uiPriority w:val="99"/>
    <w:semiHidden/>
    <w:unhideWhenUsed/>
    <w:rsid w:val="007E230D"/>
    <w:rPr>
      <w:color w:val="605E5C"/>
      <w:shd w:val="clear" w:color="auto" w:fill="E1DFDD"/>
    </w:rPr>
  </w:style>
  <w:style w:type="paragraph" w:styleId="Revision">
    <w:name w:val="Revision"/>
    <w:hidden/>
    <w:uiPriority w:val="99"/>
    <w:semiHidden/>
    <w:rsid w:val="00DD2E8F"/>
    <w:pPr>
      <w:spacing w:after="0" w:line="240" w:lineRule="auto"/>
    </w:pPr>
    <w:rPr>
      <w:sz w:val="20"/>
    </w:rPr>
  </w:style>
  <w:style w:type="character" w:customStyle="1" w:styleId="UnresolvedMention4">
    <w:name w:val="Unresolved Mention4"/>
    <w:basedOn w:val="DefaultParagraphFont"/>
    <w:uiPriority w:val="99"/>
    <w:semiHidden/>
    <w:unhideWhenUsed/>
    <w:rsid w:val="00882173"/>
    <w:rPr>
      <w:color w:val="605E5C"/>
      <w:shd w:val="clear" w:color="auto" w:fill="E1DFDD"/>
    </w:rPr>
  </w:style>
  <w:style w:type="paragraph" w:customStyle="1" w:styleId="paragraph">
    <w:name w:val="paragraph"/>
    <w:basedOn w:val="Normal"/>
    <w:rsid w:val="0075446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54461"/>
  </w:style>
  <w:style w:type="character" w:customStyle="1" w:styleId="eop">
    <w:name w:val="eop"/>
    <w:basedOn w:val="DefaultParagraphFont"/>
    <w:rsid w:val="00754461"/>
  </w:style>
  <w:style w:type="character" w:customStyle="1" w:styleId="UnresolvedMention5">
    <w:name w:val="Unresolved Mention5"/>
    <w:basedOn w:val="DefaultParagraphFont"/>
    <w:uiPriority w:val="99"/>
    <w:semiHidden/>
    <w:unhideWhenUsed/>
    <w:rsid w:val="009904BE"/>
    <w:rPr>
      <w:color w:val="605E5C"/>
      <w:shd w:val="clear" w:color="auto" w:fill="E1DFDD"/>
    </w:rPr>
  </w:style>
  <w:style w:type="character" w:styleId="FollowedHyperlink">
    <w:name w:val="FollowedHyperlink"/>
    <w:basedOn w:val="DefaultParagraphFont"/>
    <w:uiPriority w:val="99"/>
    <w:semiHidden/>
    <w:unhideWhenUsed/>
    <w:rsid w:val="00632257"/>
    <w:rPr>
      <w:color w:val="954F72" w:themeColor="followedHyperlink"/>
      <w:u w:val="single"/>
    </w:rPr>
  </w:style>
  <w:style w:type="paragraph" w:styleId="NoSpacing">
    <w:name w:val="No Spacing"/>
    <w:uiPriority w:val="1"/>
    <w:qFormat/>
    <w:rsid w:val="00DF71B6"/>
    <w:pPr>
      <w:spacing w:after="0" w:line="240" w:lineRule="auto"/>
    </w:pPr>
    <w:rPr>
      <w:kern w:val="2"/>
      <w14:ligatures w14:val="standardContextual"/>
    </w:rPr>
  </w:style>
  <w:style w:type="character" w:customStyle="1" w:styleId="UnresolvedMention">
    <w:name w:val="Unresolved Mention"/>
    <w:basedOn w:val="DefaultParagraphFont"/>
    <w:uiPriority w:val="99"/>
    <w:semiHidden/>
    <w:unhideWhenUsed/>
    <w:rsid w:val="006F4948"/>
    <w:rPr>
      <w:color w:val="605E5C"/>
      <w:shd w:val="clear" w:color="auto" w:fill="E1DFDD"/>
    </w:rPr>
  </w:style>
  <w:style w:type="table" w:styleId="GridTable4-Accent1">
    <w:name w:val="Grid Table 4 Accent 1"/>
    <w:basedOn w:val="TableNormal"/>
    <w:uiPriority w:val="49"/>
    <w:rsid w:val="00545298"/>
    <w:pPr>
      <w:spacing w:after="0" w:line="240" w:lineRule="auto"/>
    </w:pPr>
    <w:rPr>
      <w:kern w:val="2"/>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B80B9A"/>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ommentSubjectChar1">
    <w:name w:val="Comment Subject Char1"/>
    <w:basedOn w:val="CommentTextChar"/>
    <w:uiPriority w:val="99"/>
    <w:semiHidden/>
    <w:rsid w:val="00B80B9A"/>
    <w:rPr>
      <w:b/>
      <w:bCs/>
      <w:kern w:val="0"/>
      <w:sz w:val="20"/>
      <w:szCs w:val="20"/>
      <w14:ligatures w14:val="none"/>
    </w:rPr>
  </w:style>
  <w:style w:type="character" w:customStyle="1" w:styleId="UnresolvedMention6">
    <w:name w:val="Unresolved Mention6"/>
    <w:basedOn w:val="DefaultParagraphFont"/>
    <w:uiPriority w:val="99"/>
    <w:semiHidden/>
    <w:unhideWhenUsed/>
    <w:rsid w:val="00B80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6183">
      <w:bodyDiv w:val="1"/>
      <w:marLeft w:val="0"/>
      <w:marRight w:val="0"/>
      <w:marTop w:val="0"/>
      <w:marBottom w:val="0"/>
      <w:divBdr>
        <w:top w:val="none" w:sz="0" w:space="0" w:color="auto"/>
        <w:left w:val="none" w:sz="0" w:space="0" w:color="auto"/>
        <w:bottom w:val="none" w:sz="0" w:space="0" w:color="auto"/>
        <w:right w:val="none" w:sz="0" w:space="0" w:color="auto"/>
      </w:divBdr>
    </w:div>
    <w:div w:id="89130378">
      <w:bodyDiv w:val="1"/>
      <w:marLeft w:val="0"/>
      <w:marRight w:val="0"/>
      <w:marTop w:val="0"/>
      <w:marBottom w:val="0"/>
      <w:divBdr>
        <w:top w:val="none" w:sz="0" w:space="0" w:color="auto"/>
        <w:left w:val="none" w:sz="0" w:space="0" w:color="auto"/>
        <w:bottom w:val="none" w:sz="0" w:space="0" w:color="auto"/>
        <w:right w:val="none" w:sz="0" w:space="0" w:color="auto"/>
      </w:divBdr>
      <w:divsChild>
        <w:div w:id="1198813235">
          <w:marLeft w:val="0"/>
          <w:marRight w:val="0"/>
          <w:marTop w:val="0"/>
          <w:marBottom w:val="0"/>
          <w:divBdr>
            <w:top w:val="none" w:sz="0" w:space="0" w:color="auto"/>
            <w:left w:val="none" w:sz="0" w:space="0" w:color="auto"/>
            <w:bottom w:val="none" w:sz="0" w:space="0" w:color="auto"/>
            <w:right w:val="none" w:sz="0" w:space="0" w:color="auto"/>
          </w:divBdr>
        </w:div>
      </w:divsChild>
    </w:div>
    <w:div w:id="298732302">
      <w:bodyDiv w:val="1"/>
      <w:marLeft w:val="0"/>
      <w:marRight w:val="0"/>
      <w:marTop w:val="0"/>
      <w:marBottom w:val="0"/>
      <w:divBdr>
        <w:top w:val="none" w:sz="0" w:space="0" w:color="auto"/>
        <w:left w:val="none" w:sz="0" w:space="0" w:color="auto"/>
        <w:bottom w:val="none" w:sz="0" w:space="0" w:color="auto"/>
        <w:right w:val="none" w:sz="0" w:space="0" w:color="auto"/>
      </w:divBdr>
    </w:div>
    <w:div w:id="380712885">
      <w:bodyDiv w:val="1"/>
      <w:marLeft w:val="0"/>
      <w:marRight w:val="0"/>
      <w:marTop w:val="0"/>
      <w:marBottom w:val="0"/>
      <w:divBdr>
        <w:top w:val="none" w:sz="0" w:space="0" w:color="auto"/>
        <w:left w:val="none" w:sz="0" w:space="0" w:color="auto"/>
        <w:bottom w:val="none" w:sz="0" w:space="0" w:color="auto"/>
        <w:right w:val="none" w:sz="0" w:space="0" w:color="auto"/>
      </w:divBdr>
    </w:div>
    <w:div w:id="456413495">
      <w:bodyDiv w:val="1"/>
      <w:marLeft w:val="0"/>
      <w:marRight w:val="0"/>
      <w:marTop w:val="0"/>
      <w:marBottom w:val="0"/>
      <w:divBdr>
        <w:top w:val="none" w:sz="0" w:space="0" w:color="auto"/>
        <w:left w:val="none" w:sz="0" w:space="0" w:color="auto"/>
        <w:bottom w:val="none" w:sz="0" w:space="0" w:color="auto"/>
        <w:right w:val="none" w:sz="0" w:space="0" w:color="auto"/>
      </w:divBdr>
      <w:divsChild>
        <w:div w:id="1086726889">
          <w:marLeft w:val="0"/>
          <w:marRight w:val="0"/>
          <w:marTop w:val="0"/>
          <w:marBottom w:val="0"/>
          <w:divBdr>
            <w:top w:val="single" w:sz="2" w:space="5" w:color="auto"/>
            <w:left w:val="single" w:sz="2" w:space="0" w:color="auto"/>
            <w:bottom w:val="single" w:sz="2" w:space="5" w:color="auto"/>
            <w:right w:val="single" w:sz="2" w:space="0" w:color="auto"/>
          </w:divBdr>
        </w:div>
        <w:div w:id="1733768977">
          <w:marLeft w:val="0"/>
          <w:marRight w:val="0"/>
          <w:marTop w:val="0"/>
          <w:marBottom w:val="0"/>
          <w:divBdr>
            <w:top w:val="single" w:sz="2" w:space="0" w:color="auto"/>
            <w:left w:val="single" w:sz="2" w:space="0" w:color="auto"/>
            <w:bottom w:val="single" w:sz="2" w:space="0" w:color="auto"/>
            <w:right w:val="single" w:sz="2" w:space="0" w:color="auto"/>
          </w:divBdr>
        </w:div>
      </w:divsChild>
    </w:div>
    <w:div w:id="631833282">
      <w:bodyDiv w:val="1"/>
      <w:marLeft w:val="0"/>
      <w:marRight w:val="0"/>
      <w:marTop w:val="0"/>
      <w:marBottom w:val="0"/>
      <w:divBdr>
        <w:top w:val="none" w:sz="0" w:space="0" w:color="auto"/>
        <w:left w:val="none" w:sz="0" w:space="0" w:color="auto"/>
        <w:bottom w:val="none" w:sz="0" w:space="0" w:color="auto"/>
        <w:right w:val="none" w:sz="0" w:space="0" w:color="auto"/>
      </w:divBdr>
    </w:div>
    <w:div w:id="658117503">
      <w:bodyDiv w:val="1"/>
      <w:marLeft w:val="0"/>
      <w:marRight w:val="0"/>
      <w:marTop w:val="0"/>
      <w:marBottom w:val="0"/>
      <w:divBdr>
        <w:top w:val="none" w:sz="0" w:space="0" w:color="auto"/>
        <w:left w:val="none" w:sz="0" w:space="0" w:color="auto"/>
        <w:bottom w:val="none" w:sz="0" w:space="0" w:color="auto"/>
        <w:right w:val="none" w:sz="0" w:space="0" w:color="auto"/>
      </w:divBdr>
    </w:div>
    <w:div w:id="711803493">
      <w:bodyDiv w:val="1"/>
      <w:marLeft w:val="0"/>
      <w:marRight w:val="0"/>
      <w:marTop w:val="0"/>
      <w:marBottom w:val="0"/>
      <w:divBdr>
        <w:top w:val="none" w:sz="0" w:space="0" w:color="auto"/>
        <w:left w:val="none" w:sz="0" w:space="0" w:color="auto"/>
        <w:bottom w:val="none" w:sz="0" w:space="0" w:color="auto"/>
        <w:right w:val="none" w:sz="0" w:space="0" w:color="auto"/>
      </w:divBdr>
    </w:div>
    <w:div w:id="867794893">
      <w:bodyDiv w:val="1"/>
      <w:marLeft w:val="0"/>
      <w:marRight w:val="0"/>
      <w:marTop w:val="0"/>
      <w:marBottom w:val="0"/>
      <w:divBdr>
        <w:top w:val="none" w:sz="0" w:space="0" w:color="auto"/>
        <w:left w:val="none" w:sz="0" w:space="0" w:color="auto"/>
        <w:bottom w:val="none" w:sz="0" w:space="0" w:color="auto"/>
        <w:right w:val="none" w:sz="0" w:space="0" w:color="auto"/>
      </w:divBdr>
    </w:div>
    <w:div w:id="1001351073">
      <w:bodyDiv w:val="1"/>
      <w:marLeft w:val="0"/>
      <w:marRight w:val="0"/>
      <w:marTop w:val="0"/>
      <w:marBottom w:val="0"/>
      <w:divBdr>
        <w:top w:val="none" w:sz="0" w:space="0" w:color="auto"/>
        <w:left w:val="none" w:sz="0" w:space="0" w:color="auto"/>
        <w:bottom w:val="none" w:sz="0" w:space="0" w:color="auto"/>
        <w:right w:val="none" w:sz="0" w:space="0" w:color="auto"/>
      </w:divBdr>
    </w:div>
    <w:div w:id="1086195044">
      <w:bodyDiv w:val="1"/>
      <w:marLeft w:val="0"/>
      <w:marRight w:val="0"/>
      <w:marTop w:val="0"/>
      <w:marBottom w:val="0"/>
      <w:divBdr>
        <w:top w:val="none" w:sz="0" w:space="0" w:color="auto"/>
        <w:left w:val="none" w:sz="0" w:space="0" w:color="auto"/>
        <w:bottom w:val="none" w:sz="0" w:space="0" w:color="auto"/>
        <w:right w:val="none" w:sz="0" w:space="0" w:color="auto"/>
      </w:divBdr>
    </w:div>
    <w:div w:id="1119421323">
      <w:bodyDiv w:val="1"/>
      <w:marLeft w:val="0"/>
      <w:marRight w:val="0"/>
      <w:marTop w:val="0"/>
      <w:marBottom w:val="0"/>
      <w:divBdr>
        <w:top w:val="none" w:sz="0" w:space="0" w:color="auto"/>
        <w:left w:val="none" w:sz="0" w:space="0" w:color="auto"/>
        <w:bottom w:val="none" w:sz="0" w:space="0" w:color="auto"/>
        <w:right w:val="none" w:sz="0" w:space="0" w:color="auto"/>
      </w:divBdr>
    </w:div>
    <w:div w:id="1238592065">
      <w:bodyDiv w:val="1"/>
      <w:marLeft w:val="0"/>
      <w:marRight w:val="0"/>
      <w:marTop w:val="0"/>
      <w:marBottom w:val="0"/>
      <w:divBdr>
        <w:top w:val="none" w:sz="0" w:space="0" w:color="auto"/>
        <w:left w:val="none" w:sz="0" w:space="0" w:color="auto"/>
        <w:bottom w:val="none" w:sz="0" w:space="0" w:color="auto"/>
        <w:right w:val="none" w:sz="0" w:space="0" w:color="auto"/>
      </w:divBdr>
    </w:div>
    <w:div w:id="1318263665">
      <w:bodyDiv w:val="1"/>
      <w:marLeft w:val="0"/>
      <w:marRight w:val="0"/>
      <w:marTop w:val="0"/>
      <w:marBottom w:val="0"/>
      <w:divBdr>
        <w:top w:val="none" w:sz="0" w:space="0" w:color="auto"/>
        <w:left w:val="none" w:sz="0" w:space="0" w:color="auto"/>
        <w:bottom w:val="none" w:sz="0" w:space="0" w:color="auto"/>
        <w:right w:val="none" w:sz="0" w:space="0" w:color="auto"/>
      </w:divBdr>
    </w:div>
    <w:div w:id="1401555600">
      <w:bodyDiv w:val="1"/>
      <w:marLeft w:val="0"/>
      <w:marRight w:val="0"/>
      <w:marTop w:val="0"/>
      <w:marBottom w:val="0"/>
      <w:divBdr>
        <w:top w:val="none" w:sz="0" w:space="0" w:color="auto"/>
        <w:left w:val="none" w:sz="0" w:space="0" w:color="auto"/>
        <w:bottom w:val="none" w:sz="0" w:space="0" w:color="auto"/>
        <w:right w:val="none" w:sz="0" w:space="0" w:color="auto"/>
      </w:divBdr>
      <w:divsChild>
        <w:div w:id="1820656542">
          <w:marLeft w:val="0"/>
          <w:marRight w:val="0"/>
          <w:marTop w:val="0"/>
          <w:marBottom w:val="0"/>
          <w:divBdr>
            <w:top w:val="none" w:sz="0" w:space="0" w:color="auto"/>
            <w:left w:val="none" w:sz="0" w:space="0" w:color="auto"/>
            <w:bottom w:val="none" w:sz="0" w:space="0" w:color="auto"/>
            <w:right w:val="none" w:sz="0" w:space="0" w:color="auto"/>
          </w:divBdr>
        </w:div>
      </w:divsChild>
    </w:div>
    <w:div w:id="1613708480">
      <w:bodyDiv w:val="1"/>
      <w:marLeft w:val="0"/>
      <w:marRight w:val="0"/>
      <w:marTop w:val="0"/>
      <w:marBottom w:val="0"/>
      <w:divBdr>
        <w:top w:val="none" w:sz="0" w:space="0" w:color="auto"/>
        <w:left w:val="none" w:sz="0" w:space="0" w:color="auto"/>
        <w:bottom w:val="none" w:sz="0" w:space="0" w:color="auto"/>
        <w:right w:val="none" w:sz="0" w:space="0" w:color="auto"/>
      </w:divBdr>
    </w:div>
    <w:div w:id="1643345832">
      <w:bodyDiv w:val="1"/>
      <w:marLeft w:val="0"/>
      <w:marRight w:val="0"/>
      <w:marTop w:val="0"/>
      <w:marBottom w:val="0"/>
      <w:divBdr>
        <w:top w:val="none" w:sz="0" w:space="0" w:color="auto"/>
        <w:left w:val="none" w:sz="0" w:space="0" w:color="auto"/>
        <w:bottom w:val="none" w:sz="0" w:space="0" w:color="auto"/>
        <w:right w:val="none" w:sz="0" w:space="0" w:color="auto"/>
      </w:divBdr>
    </w:div>
    <w:div w:id="1936012577">
      <w:bodyDiv w:val="1"/>
      <w:marLeft w:val="0"/>
      <w:marRight w:val="0"/>
      <w:marTop w:val="0"/>
      <w:marBottom w:val="0"/>
      <w:divBdr>
        <w:top w:val="none" w:sz="0" w:space="0" w:color="auto"/>
        <w:left w:val="none" w:sz="0" w:space="0" w:color="auto"/>
        <w:bottom w:val="none" w:sz="0" w:space="0" w:color="auto"/>
        <w:right w:val="none" w:sz="0" w:space="0" w:color="auto"/>
      </w:divBdr>
    </w:div>
    <w:div w:id="1944606467">
      <w:bodyDiv w:val="1"/>
      <w:marLeft w:val="0"/>
      <w:marRight w:val="0"/>
      <w:marTop w:val="0"/>
      <w:marBottom w:val="0"/>
      <w:divBdr>
        <w:top w:val="none" w:sz="0" w:space="0" w:color="auto"/>
        <w:left w:val="none" w:sz="0" w:space="0" w:color="auto"/>
        <w:bottom w:val="none" w:sz="0" w:space="0" w:color="auto"/>
        <w:right w:val="none" w:sz="0" w:space="0" w:color="auto"/>
      </w:divBdr>
    </w:div>
    <w:div w:id="1962107712">
      <w:bodyDiv w:val="1"/>
      <w:marLeft w:val="0"/>
      <w:marRight w:val="0"/>
      <w:marTop w:val="0"/>
      <w:marBottom w:val="0"/>
      <w:divBdr>
        <w:top w:val="none" w:sz="0" w:space="0" w:color="auto"/>
        <w:left w:val="none" w:sz="0" w:space="0" w:color="auto"/>
        <w:bottom w:val="none" w:sz="0" w:space="0" w:color="auto"/>
        <w:right w:val="none" w:sz="0" w:space="0" w:color="auto"/>
      </w:divBdr>
      <w:divsChild>
        <w:div w:id="1293290476">
          <w:marLeft w:val="0"/>
          <w:marRight w:val="0"/>
          <w:marTop w:val="0"/>
          <w:marBottom w:val="0"/>
          <w:divBdr>
            <w:top w:val="none" w:sz="0" w:space="0" w:color="auto"/>
            <w:left w:val="none" w:sz="0" w:space="0" w:color="auto"/>
            <w:bottom w:val="none" w:sz="0" w:space="0" w:color="auto"/>
            <w:right w:val="none" w:sz="0" w:space="0" w:color="auto"/>
          </w:divBdr>
          <w:divsChild>
            <w:div w:id="9288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117" Type="http://schemas.openxmlformats.org/officeDocument/2006/relationships/hyperlink" Target="https://doi.org/10.1016/j.psychres.2021.114347" TargetMode="External"/><Relationship Id="rId21" Type="http://schemas.openxmlformats.org/officeDocument/2006/relationships/hyperlink" Target="https://orcid.org/0000-0002-2418-8007" TargetMode="External"/><Relationship Id="rId42" Type="http://schemas.openxmlformats.org/officeDocument/2006/relationships/hyperlink" Target="https://endnote.com/product-details" TargetMode="External"/><Relationship Id="rId47" Type="http://schemas.openxmlformats.org/officeDocument/2006/relationships/hyperlink" Target="https://doi.org/10.1080/15622975.2020.1795255" TargetMode="External"/><Relationship Id="rId63" Type="http://schemas.openxmlformats.org/officeDocument/2006/relationships/hyperlink" Target="https://doi.org/10.1007/s13311-017-0542-y" TargetMode="External"/><Relationship Id="rId68" Type="http://schemas.openxmlformats.org/officeDocument/2006/relationships/hyperlink" Target="https://doi.org/https://doi.org/10.1016/j.rehab.2015.05.005" TargetMode="External"/><Relationship Id="rId84" Type="http://schemas.openxmlformats.org/officeDocument/2006/relationships/hyperlink" Target="https://doi.org/10.1097/WNP.0b013e318205135f" TargetMode="External"/><Relationship Id="rId89" Type="http://schemas.openxmlformats.org/officeDocument/2006/relationships/hyperlink" Target="https://www.ncbi.nlm.nih.gov/books/NBK470357/" TargetMode="External"/><Relationship Id="rId112" Type="http://schemas.openxmlformats.org/officeDocument/2006/relationships/hyperlink" Target="https://www.covidence.org/" TargetMode="External"/><Relationship Id="rId133" Type="http://schemas.openxmlformats.org/officeDocument/2006/relationships/hyperlink" Target="https://doi.org/10.1016/j.jad.2018.05.065" TargetMode="External"/><Relationship Id="rId138" Type="http://schemas.openxmlformats.org/officeDocument/2006/relationships/footer" Target="footer5.xml"/><Relationship Id="rId16" Type="http://schemas.openxmlformats.org/officeDocument/2006/relationships/hyperlink" Target="https://www.dva.gov.au/documents-and-publications/research-and-studies" TargetMode="External"/><Relationship Id="rId107" Type="http://schemas.openxmlformats.org/officeDocument/2006/relationships/hyperlink" Target="https://doi.org/10.1093/occmed/kqv054" TargetMode="External"/><Relationship Id="rId11" Type="http://schemas.openxmlformats.org/officeDocument/2006/relationships/image" Target="media/image1.png"/><Relationship Id="rId32" Type="http://schemas.openxmlformats.org/officeDocument/2006/relationships/hyperlink" Target="https://www.crd.york.ac.uk/prospero/display_record.php?ID=CRD42022307924" TargetMode="External"/><Relationship Id="rId37" Type="http://schemas.openxmlformats.org/officeDocument/2006/relationships/hyperlink" Target="https://doi.org/10.18773/austprescr.2020.052" TargetMode="External"/><Relationship Id="rId53" Type="http://schemas.openxmlformats.org/officeDocument/2006/relationships/hyperlink" Target="https://www.health.harvard.edu/blog/the-endocannabinoid-system-essential-and-mysterious-202108112569" TargetMode="External"/><Relationship Id="rId58" Type="http://schemas.openxmlformats.org/officeDocument/2006/relationships/hyperlink" Target="https://doi.org/10.3791/2345" TargetMode="External"/><Relationship Id="rId74" Type="http://schemas.openxmlformats.org/officeDocument/2006/relationships/hyperlink" Target="https://doi.org/10.1016/j.ebiom.2020.102809" TargetMode="External"/><Relationship Id="rId79" Type="http://schemas.openxmlformats.org/officeDocument/2006/relationships/hyperlink" Target="https://doi.org/10.1111/add.15417" TargetMode="External"/><Relationship Id="rId102" Type="http://schemas.openxmlformats.org/officeDocument/2006/relationships/hyperlink" Target="https://protect-au.mimecast.com/s/z4c4C0YKDBs4yxXvswqFGk?domain=doi.org" TargetMode="External"/><Relationship Id="rId123" Type="http://schemas.openxmlformats.org/officeDocument/2006/relationships/hyperlink" Target="https://doi.org/10.1097/YCO.0000000000000566" TargetMode="External"/><Relationship Id="rId128" Type="http://schemas.openxmlformats.org/officeDocument/2006/relationships/hyperlink" Target="https://doi.org/10.2147/NSS.S166089" TargetMode="External"/><Relationship Id="rId5" Type="http://schemas.openxmlformats.org/officeDocument/2006/relationships/numbering" Target="numbering.xml"/><Relationship Id="rId90" Type="http://schemas.openxmlformats.org/officeDocument/2006/relationships/hyperlink" Target="https://doi.org/10.1016/j.clinph.2009.08.016" TargetMode="External"/><Relationship Id="rId95" Type="http://schemas.openxmlformats.org/officeDocument/2006/relationships/hyperlink" Target="https://doi.org/10.1111/ijcp.13871" TargetMode="External"/><Relationship Id="rId22" Type="http://schemas.openxmlformats.org/officeDocument/2006/relationships/hyperlink" Target="https://orcid.org/0000-0002-5792-2925" TargetMode="External"/><Relationship Id="rId27" Type="http://schemas.openxmlformats.org/officeDocument/2006/relationships/header" Target="header3.xml"/><Relationship Id="rId43" Type="http://schemas.openxmlformats.org/officeDocument/2006/relationships/hyperlink" Target="https://doi.org/10.1016/j.brs.2021.11.010" TargetMode="External"/><Relationship Id="rId48" Type="http://schemas.openxmlformats.org/officeDocument/2006/relationships/hyperlink" Target="https://doi.org/10.3389/fphar.2016.00035" TargetMode="External"/><Relationship Id="rId64" Type="http://schemas.openxmlformats.org/officeDocument/2006/relationships/hyperlink" Target="https://www.dva.gov.au/sites/default/files/2021-10/understanding-evidence-framework.pdf" TargetMode="External"/><Relationship Id="rId69" Type="http://schemas.openxmlformats.org/officeDocument/2006/relationships/hyperlink" Target="https://doi.org/10.1001/jamanetworkopen.2020.13249" TargetMode="External"/><Relationship Id="rId113" Type="http://schemas.openxmlformats.org/officeDocument/2006/relationships/hyperlink" Target="https://doi.org/10.31887/dcns.2001.3.4/fxvollenweider" TargetMode="External"/><Relationship Id="rId118" Type="http://schemas.openxmlformats.org/officeDocument/2006/relationships/hyperlink" Target="https://doi.org/10.1176/appi.ajp.2021.21030320" TargetMode="External"/><Relationship Id="rId134" Type="http://schemas.openxmlformats.org/officeDocument/2006/relationships/hyperlink" Target="https://doi.org/10.2174/1871527320666210211115007" TargetMode="External"/><Relationship Id="rId13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oi.org/10.1016/j.jclinepi.2020.10.007" TargetMode="External"/><Relationship Id="rId72" Type="http://schemas.openxmlformats.org/officeDocument/2006/relationships/hyperlink" Target="https://doi.org/10.1001/jamainternmed.2019.1993" TargetMode="External"/><Relationship Id="rId80" Type="http://schemas.openxmlformats.org/officeDocument/2006/relationships/hyperlink" Target="https://doi.org/10.1136/ebmed-2017-110668" TargetMode="External"/><Relationship Id="rId85" Type="http://schemas.openxmlformats.org/officeDocument/2006/relationships/hyperlink" Target="https://doi.org/10.1186/s12954-021-00489-1" TargetMode="External"/><Relationship Id="rId93" Type="http://schemas.openxmlformats.org/officeDocument/2006/relationships/hyperlink" Target="https://doi.org/10.1093/ijnp/pyv102" TargetMode="External"/><Relationship Id="rId98" Type="http://schemas.openxmlformats.org/officeDocument/2006/relationships/hyperlink" Target="https://doi.org/10.1136/bmjinnov-2020-000424" TargetMode="External"/><Relationship Id="rId121" Type="http://schemas.openxmlformats.org/officeDocument/2006/relationships/hyperlink" Target="https://doi.org/10.1097/JCP.0000000000001179"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orcid.org/0000-0002-1564-9457" TargetMode="External"/><Relationship Id="rId25" Type="http://schemas.openxmlformats.org/officeDocument/2006/relationships/hyperlink" Target="https://orcid.org/0000-0002-4851-6431" TargetMode="External"/><Relationship Id="rId33" Type="http://schemas.openxmlformats.org/officeDocument/2006/relationships/image" Target="media/image2.png"/><Relationship Id="rId38" Type="http://schemas.openxmlformats.org/officeDocument/2006/relationships/hyperlink" Target="https://doi.org/10.1371/journal.pone.0246990" TargetMode="External"/><Relationship Id="rId46" Type="http://schemas.openxmlformats.org/officeDocument/2006/relationships/hyperlink" Target="https://directory.doabooks.org/handle/20.500.12854/31873" TargetMode="External"/><Relationship Id="rId59" Type="http://schemas.openxmlformats.org/officeDocument/2006/relationships/hyperlink" Target="https://doi.org/10.1016/j.neuron.2004.12.033" TargetMode="External"/><Relationship Id="rId67" Type="http://schemas.openxmlformats.org/officeDocument/2006/relationships/hyperlink" Target="https://www.tga.gov.au/how-we-regulate/ingredients-and-scheduling-medicines-and-chemicals/evaluation-therapeutic-value-benefits-and-risks-methylenedioxymethamphetamine-mdma-and-psilocybin-treatment-mental-behavioural-or-developmental-disorders" TargetMode="External"/><Relationship Id="rId103" Type="http://schemas.openxmlformats.org/officeDocument/2006/relationships/hyperlink" Target="https://www.gradeworkinggroup.org/" TargetMode="External"/><Relationship Id="rId108" Type="http://schemas.openxmlformats.org/officeDocument/2006/relationships/hyperlink" Target="https://doi.org/10.1371/journal.pone.0190768" TargetMode="External"/><Relationship Id="rId116" Type="http://schemas.openxmlformats.org/officeDocument/2006/relationships/hyperlink" Target="https://doi.org/10.1016/J.JOCRD.2021.100687" TargetMode="External"/><Relationship Id="rId124" Type="http://schemas.openxmlformats.org/officeDocument/2006/relationships/hyperlink" Target="https://doi.org/10.1097/yco.0000000000000562" TargetMode="External"/><Relationship Id="rId129" Type="http://schemas.openxmlformats.org/officeDocument/2006/relationships/hyperlink" Target="https://doi.org/10.1016/j.biopsych.2018.02.069" TargetMode="External"/><Relationship Id="rId137" Type="http://schemas.openxmlformats.org/officeDocument/2006/relationships/header" Target="header5.xml"/><Relationship Id="rId20" Type="http://schemas.openxmlformats.org/officeDocument/2006/relationships/hyperlink" Target="https://orcid.org/0000-0001-7552-1044" TargetMode="External"/><Relationship Id="rId41" Type="http://schemas.openxmlformats.org/officeDocument/2006/relationships/hyperlink" Target="https://www.cdc.gov/tobacco/basic_information/e-cigarettes/severe-lung-disease.html" TargetMode="External"/><Relationship Id="rId54" Type="http://schemas.openxmlformats.org/officeDocument/2006/relationships/hyperlink" Target="https://doi.org/https://doi.org/10.1016/j.jclinepi.2010.04.026" TargetMode="External"/><Relationship Id="rId62" Type="http://schemas.openxmlformats.org/officeDocument/2006/relationships/hyperlink" Target="https://doi.org/10.1177/0269881120965915" TargetMode="External"/><Relationship Id="rId70" Type="http://schemas.openxmlformats.org/officeDocument/2006/relationships/hyperlink" Target="https://doi.org/10.1016/j.drugalcdep.2010.12.010" TargetMode="External"/><Relationship Id="rId75" Type="http://schemas.openxmlformats.org/officeDocument/2006/relationships/hyperlink" Target="https://www.ncbi.nlm.nih.gov/pmc/articles/PMC4456813/" TargetMode="External"/><Relationship Id="rId83" Type="http://schemas.openxmlformats.org/officeDocument/2006/relationships/hyperlink" Target="https://doi.org/10.1016/j.biopsych.2008.01.012" TargetMode="External"/><Relationship Id="rId88" Type="http://schemas.openxmlformats.org/officeDocument/2006/relationships/hyperlink" Target="https://doi.org/10.1186/s13643-020-01542-z" TargetMode="External"/><Relationship Id="rId91" Type="http://schemas.openxmlformats.org/officeDocument/2006/relationships/hyperlink" Target="https://doi.org/10.3389/fpsyt.2021.659044" TargetMode="External"/><Relationship Id="rId96" Type="http://schemas.openxmlformats.org/officeDocument/2006/relationships/hyperlink" Target="https://doi.org/10.3389/fphar.2018.00733" TargetMode="External"/><Relationship Id="rId111" Type="http://schemas.openxmlformats.org/officeDocument/2006/relationships/hyperlink" Target="https://www.dva.gov.au/documents-and-publications/mental-health-prevalence-report" TargetMode="External"/><Relationship Id="rId132" Type="http://schemas.openxmlformats.org/officeDocument/2006/relationships/hyperlink" Target="https://doi.org/10.1159/000501158"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ublications@dva.gov.au" TargetMode="External"/><Relationship Id="rId23" Type="http://schemas.openxmlformats.org/officeDocument/2006/relationships/hyperlink" Target="https://orcid.org/0000-0001-9475-8450" TargetMode="External"/><Relationship Id="rId28" Type="http://schemas.openxmlformats.org/officeDocument/2006/relationships/footer" Target="footer2.xml"/><Relationship Id="rId36" Type="http://schemas.openxmlformats.org/officeDocument/2006/relationships/hyperlink" Target="https://doi.org/10.31128/ajgp-02-21-5845" TargetMode="External"/><Relationship Id="rId49" Type="http://schemas.openxmlformats.org/officeDocument/2006/relationships/hyperlink" Target="https://doi.org/10.1016/s2215-0366(20)30290-x" TargetMode="External"/><Relationship Id="rId57" Type="http://schemas.openxmlformats.org/officeDocument/2006/relationships/hyperlink" Target="https://doi.org/10.1111/add.14243" TargetMode="External"/><Relationship Id="rId106" Type="http://schemas.openxmlformats.org/officeDocument/2006/relationships/hyperlink" Target="https://www.tga.gov.au/resources/publication/publications/guidance-use-medicinal-cannabis-australia-patient-information" TargetMode="External"/><Relationship Id="rId114" Type="http://schemas.openxmlformats.org/officeDocument/2006/relationships/hyperlink" Target="https://maps.org/news/bulletin/towards-breakthrough-healing-a-history-and-overview-of-clinical-mdma-research-3/" TargetMode="External"/><Relationship Id="rId119" Type="http://schemas.openxmlformats.org/officeDocument/2006/relationships/hyperlink" Target="https://doi.org/110.1016/j.biopsych.2021.02.580" TargetMode="External"/><Relationship Id="rId127" Type="http://schemas.openxmlformats.org/officeDocument/2006/relationships/hyperlink" Target="https://doi.org/10.1186/s12888-019-2022-x" TargetMode="External"/><Relationship Id="rId10" Type="http://schemas.openxmlformats.org/officeDocument/2006/relationships/endnotes" Target="endnotes.xml"/><Relationship Id="rId31" Type="http://schemas.openxmlformats.org/officeDocument/2006/relationships/footer" Target="footer4.xml"/><Relationship Id="rId44" Type="http://schemas.openxmlformats.org/officeDocument/2006/relationships/hyperlink" Target="https://www.dva.gov.au/about-us/overview/research/transition-and-wellbeing-research-programme" TargetMode="External"/><Relationship Id="rId52" Type="http://schemas.openxmlformats.org/officeDocument/2006/relationships/hyperlink" Target="https://www.veterans.gc.ca/eng/about-vac/what-we-do/mandate" TargetMode="External"/><Relationship Id="rId60" Type="http://schemas.openxmlformats.org/officeDocument/2006/relationships/hyperlink" Target="https://doi.org/10.1016/j.brs.2008.09.007" TargetMode="External"/><Relationship Id="rId65" Type="http://schemas.openxmlformats.org/officeDocument/2006/relationships/hyperlink" Target="https://doi.org/10.1002/da.23032" TargetMode="External"/><Relationship Id="rId73" Type="http://schemas.openxmlformats.org/officeDocument/2006/relationships/hyperlink" Target="https://doi.org/10.1016/j.mehy.2009.01.009" TargetMode="External"/><Relationship Id="rId78" Type="http://schemas.openxmlformats.org/officeDocument/2006/relationships/hyperlink" Target="https://office.microsoft.com/excel" TargetMode="External"/><Relationship Id="rId81" Type="http://schemas.openxmlformats.org/officeDocument/2006/relationships/hyperlink" Target="https://www.crd.york.ac.uk/prospero/" TargetMode="External"/><Relationship Id="rId86" Type="http://schemas.openxmlformats.org/officeDocument/2006/relationships/hyperlink" Target="https://www.lancaster.ac.uk/media/lancaster-university/content-assets/documents/fhm/dhr/chir/NSsynthesisguidanceVersion1-April2006.pdf" TargetMode="External"/><Relationship Id="rId94" Type="http://schemas.openxmlformats.org/officeDocument/2006/relationships/hyperlink" Target="https://doi.org/10.3389/fpsyt.2019.00138" TargetMode="External"/><Relationship Id="rId99" Type="http://schemas.openxmlformats.org/officeDocument/2006/relationships/hyperlink" Target="https://doi.org/10.1136/bmj.l4898" TargetMode="External"/><Relationship Id="rId101" Type="http://schemas.openxmlformats.org/officeDocument/2006/relationships/hyperlink" Target="https://doi.org/10.1111/papr.12503" TargetMode="External"/><Relationship Id="rId122" Type="http://schemas.openxmlformats.org/officeDocument/2006/relationships/hyperlink" Target="https://doi.org/10.1089/can.2020.0056" TargetMode="External"/><Relationship Id="rId130" Type="http://schemas.openxmlformats.org/officeDocument/2006/relationships/hyperlink" Target="https://doi.org/10.1007/s11064-019-02944-9" TargetMode="External"/><Relationship Id="rId135" Type="http://schemas.openxmlformats.org/officeDocument/2006/relationships/hyperlink" Target="https://doi.org/10.1007/s00213-020-05499-8"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orcid.org/0000-0002-4262-3850" TargetMode="External"/><Relationship Id="rId39" Type="http://schemas.openxmlformats.org/officeDocument/2006/relationships/hyperlink" Target="https://www.ncbi.nlm.nih.gov/pmc/articles/PMC5312634/" TargetMode="External"/><Relationship Id="rId109" Type="http://schemas.openxmlformats.org/officeDocument/2006/relationships/hyperlink" Target="https://assets.publishing.service.gov.uk/government/uploads/system/uploads/attachment_data/file/874821/6.6409_CO_Armed-Forces_Veterans-Factsheet_v9_web.pdf" TargetMode="External"/><Relationship Id="rId34" Type="http://schemas.openxmlformats.org/officeDocument/2006/relationships/hyperlink" Target="https://www.psychiatry.org/psychiatrists/practice/dsm/history-of-the-dsm" TargetMode="External"/><Relationship Id="rId50" Type="http://schemas.openxmlformats.org/officeDocument/2006/relationships/hyperlink" Target="https://doi.org/10.3389/fpsyt.2019.00943" TargetMode="External"/><Relationship Id="rId55" Type="http://schemas.openxmlformats.org/officeDocument/2006/relationships/hyperlink" Target="https://doi.org/10.1016/j.jclinepi.2020.09.041" TargetMode="External"/><Relationship Id="rId76" Type="http://schemas.openxmlformats.org/officeDocument/2006/relationships/hyperlink" Target="https://doi.org/10.3389/fpsyg.2019.02466" TargetMode="External"/><Relationship Id="rId97" Type="http://schemas.openxmlformats.org/officeDocument/2006/relationships/hyperlink" Target="https://doi.org/10.1016/j.drugalcdep.2018.02.022" TargetMode="External"/><Relationship Id="rId104" Type="http://schemas.openxmlformats.org/officeDocument/2006/relationships/hyperlink" Target="https://www.tga.gov.au/medicinal-cannabis-products-active-ingredients" TargetMode="External"/><Relationship Id="rId120" Type="http://schemas.openxmlformats.org/officeDocument/2006/relationships/hyperlink" Target="https://doi.org/10.1038/s41386-021-01238-5" TargetMode="External"/><Relationship Id="rId125" Type="http://schemas.openxmlformats.org/officeDocument/2006/relationships/hyperlink" Target="https://doi.org/10.3389/fpsyt.2020.595584" TargetMode="External"/><Relationship Id="rId7" Type="http://schemas.openxmlformats.org/officeDocument/2006/relationships/settings" Target="settings.xml"/><Relationship Id="rId71" Type="http://schemas.openxmlformats.org/officeDocument/2006/relationships/hyperlink" Target="https://doi.org/10.1016/j.drugalcdep.2015.11.025" TargetMode="External"/><Relationship Id="rId92" Type="http://schemas.openxmlformats.org/officeDocument/2006/relationships/hyperlink" Target="https://doi.org/10.1016/bs.apha.2017.03.004" TargetMode="External"/><Relationship Id="rId2" Type="http://schemas.openxmlformats.org/officeDocument/2006/relationships/customXml" Target="../customXml/item2.xml"/><Relationship Id="rId29" Type="http://schemas.openxmlformats.org/officeDocument/2006/relationships/footer" Target="footer3.xml"/><Relationship Id="rId24" Type="http://schemas.openxmlformats.org/officeDocument/2006/relationships/hyperlink" Target="https://orcid.org/0000-0003-2993-3480" TargetMode="External"/><Relationship Id="rId40" Type="http://schemas.openxmlformats.org/officeDocument/2006/relationships/hyperlink" Target="https://doi.org/10.1176/appi.ajp.2019.18101180" TargetMode="External"/><Relationship Id="rId45" Type="http://schemas.openxmlformats.org/officeDocument/2006/relationships/hyperlink" Target="https://doi.org/10.1113/jphysiol.2005.087288" TargetMode="External"/><Relationship Id="rId66" Type="http://schemas.openxmlformats.org/officeDocument/2006/relationships/hyperlink" Target="https://www.ncbi.nlm.nih.gov/books/NBK500000/" TargetMode="External"/><Relationship Id="rId87" Type="http://schemas.openxmlformats.org/officeDocument/2006/relationships/hyperlink" Target="https://doi.org/10.1001/jamapsychiatry.2019.3474" TargetMode="External"/><Relationship Id="rId110" Type="http://schemas.openxmlformats.org/officeDocument/2006/relationships/hyperlink" Target="https://www.va.gov/OSDBU/docs/Determining-Veteran-Status.pdf" TargetMode="External"/><Relationship Id="rId115" Type="http://schemas.openxmlformats.org/officeDocument/2006/relationships/hyperlink" Target="https://www.who.int/classifications/classification-of-diseases" TargetMode="External"/><Relationship Id="rId131" Type="http://schemas.openxmlformats.org/officeDocument/2006/relationships/hyperlink" Target="https://doi.org/10.1080/02791072.2020.1817639" TargetMode="External"/><Relationship Id="rId136" Type="http://schemas.openxmlformats.org/officeDocument/2006/relationships/hyperlink" Target="https://doi.org/10.1007/s00213-021-06043-y" TargetMode="External"/><Relationship Id="rId61" Type="http://schemas.openxmlformats.org/officeDocument/2006/relationships/hyperlink" Target="https://doi.org/10.1176/appi.ajp.2019.18101191" TargetMode="External"/><Relationship Id="rId82" Type="http://schemas.openxmlformats.org/officeDocument/2006/relationships/hyperlink" Target="https://www.nhmrc.gov.au/guidelinesforguidelines/develop/assessing-certainty-evidence" TargetMode="External"/><Relationship Id="rId19" Type="http://schemas.openxmlformats.org/officeDocument/2006/relationships/hyperlink" Target="https://orcid.org/0000-0001-7361-6023" TargetMode="External"/><Relationship Id="rId14" Type="http://schemas.openxmlformats.org/officeDocument/2006/relationships/hyperlink" Target="https://creativecommons.org/licenses/by/4.0/" TargetMode="External"/><Relationship Id="rId30" Type="http://schemas.openxmlformats.org/officeDocument/2006/relationships/header" Target="header4.xml"/><Relationship Id="rId35" Type="http://schemas.openxmlformats.org/officeDocument/2006/relationships/hyperlink" Target="https://doi.org/10.1007/s00204-015-1513-x" TargetMode="External"/><Relationship Id="rId56" Type="http://schemas.openxmlformats.org/officeDocument/2006/relationships/hyperlink" Target="https://doi.org/10.1111/ajad.12622" TargetMode="External"/><Relationship Id="rId77" Type="http://schemas.openxmlformats.org/officeDocument/2006/relationships/hyperlink" Target="https://doi.org/10.1590/1516-4446-2020-1416" TargetMode="External"/><Relationship Id="rId100" Type="http://schemas.openxmlformats.org/officeDocument/2006/relationships/hyperlink" Target="https://doi.org/10.2147/NDT.S276635" TargetMode="External"/><Relationship Id="rId105" Type="http://schemas.openxmlformats.org/officeDocument/2006/relationships/hyperlink" Target="https://www.tga.gov.au/sites/default/files/notice-final-decisions-amend-or-not-amend-current-poisons-standard-relation-psilocybin-and-mdma.pdf" TargetMode="External"/><Relationship Id="rId126" Type="http://schemas.openxmlformats.org/officeDocument/2006/relationships/hyperlink" Target="https://doi.org/10.1016/j.euroneuro.2020.09.089"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DE4BCBB5204A49AA175AB0D23C730D" ma:contentTypeVersion="5" ma:contentTypeDescription="Create a new document." ma:contentTypeScope="" ma:versionID="3c8a1d4b693086a28eb80b3b46dcf3a0">
  <xsd:schema xmlns:xsd="http://www.w3.org/2001/XMLSchema" xmlns:xs="http://www.w3.org/2001/XMLSchema" xmlns:p="http://schemas.microsoft.com/office/2006/metadata/properties" xmlns:ns2="65501a0b-dbbd-48c0-b854-3103694eb026" xmlns:ns3="a479d13b-7293-44cb-b5ad-cb45c0e28b65" targetNamespace="http://schemas.microsoft.com/office/2006/metadata/properties" ma:root="true" ma:fieldsID="cbd141d0c1168ab637187b126b312734" ns2:_="" ns3:_="">
    <xsd:import namespace="65501a0b-dbbd-48c0-b854-3103694eb026"/>
    <xsd:import namespace="a479d13b-7293-44cb-b5ad-cb45c0e28b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01a0b-dbbd-48c0-b854-3103694eb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79d13b-7293-44cb-b5ad-cb45c0e28b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21248-9CDB-4116-954F-F4A2776614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DA09A-60BC-49A4-AC9C-D14F6EA0E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01a0b-dbbd-48c0-b854-3103694eb026"/>
    <ds:schemaRef ds:uri="a479d13b-7293-44cb-b5ad-cb45c0e28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1E3A7-B19D-4022-95D4-A175D1BE8967}">
  <ds:schemaRefs>
    <ds:schemaRef ds:uri="http://schemas.microsoft.com/sharepoint/v3/contenttype/forms"/>
  </ds:schemaRefs>
</ds:datastoreItem>
</file>

<file path=customXml/itemProps4.xml><?xml version="1.0" encoding="utf-8"?>
<ds:datastoreItem xmlns:ds="http://schemas.openxmlformats.org/officeDocument/2006/customXml" ds:itemID="{1B83992E-D073-48F0-8624-7BC73448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40354</Words>
  <Characters>230021</Characters>
  <DocSecurity>0</DocSecurity>
  <Lines>1916</Lines>
  <Paragraphs>539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Medicinal Cannabis Interventions</dc:title>
  <dc:subject/>
  <dc:creator>Department of Veterans Affairs</dc:creator>
  <cp:keywords/>
  <dc:description/>
  <cp:lastPrinted>2024-04-21T21:39:00Z</cp:lastPrinted>
  <dcterms:created xsi:type="dcterms:W3CDTF">2024-05-17T05:02:00Z</dcterms:created>
  <dcterms:modified xsi:type="dcterms:W3CDTF">2024-05-17T05:02:00Z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2022-04-20T02:04:41Z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fb79519b-48ce-451e-a414-5af328a008a6</vt:lpwstr>
  </property>
  <property fmtid="{D5CDD505-2E9C-101B-9397-08002B2CF9AE}" pid="8" name="MSIP_Label_0f488380-630a-4f55-a077-a19445e3f360_ContentBits">
    <vt:lpwstr>0</vt:lpwstr>
  </property>
  <property fmtid="{D5CDD505-2E9C-101B-9397-08002B2CF9AE}" pid="9" name="ContentTypeId">
    <vt:lpwstr>0x010100F4DE4BCBB5204A49AA175AB0D23C730D</vt:lpwstr>
  </property>
</Properties>
</file>