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2137676897"/>
        <w:docPartObj>
          <w:docPartGallery w:val="Cover Pages"/>
          <w:docPartUnique/>
        </w:docPartObj>
      </w:sdtPr>
      <w:sdtEndPr>
        <w:rPr>
          <w:color w:val="404040" w:themeColor="text1" w:themeTint="BF"/>
          <w:sz w:val="36"/>
          <w:szCs w:val="36"/>
        </w:rPr>
      </w:sdtEndPr>
      <w:sdtContent>
        <w:p w:rsidR="003700D4" w:rsidRDefault="003700D4">
          <w:r>
            <w:rPr>
              <w:noProof/>
              <w:lang w:eastAsia="en-AU"/>
            </w:rPr>
            <mc:AlternateContent>
              <mc:Choice Requires="wps">
                <w:drawing>
                  <wp:anchor distT="0" distB="0" distL="114300" distR="114300" simplePos="0" relativeHeight="251660288" behindDoc="0" locked="0" layoutInCell="1" allowOverlap="1" wp14:anchorId="63ACBB1E" wp14:editId="749364A8">
                    <wp:simplePos x="0" y="0"/>
                    <wp:positionH relativeFrom="margin">
                      <wp:align>right</wp:align>
                    </wp:positionH>
                    <wp:positionV relativeFrom="page">
                      <wp:posOffset>249382</wp:posOffset>
                    </wp:positionV>
                    <wp:extent cx="467665" cy="987425"/>
                    <wp:effectExtent l="0" t="0" r="8890" b="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67665" cy="9874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230F" w:rsidRDefault="000F230F" w:rsidP="00E43847">
                                <w:pPr>
                                  <w:pStyle w:val="NoSpacing"/>
                                  <w:jc w:val="center"/>
                                  <w:rPr>
                                    <w:color w:val="FFFFFF" w:themeColor="background1"/>
                                    <w:sz w:val="24"/>
                                    <w:szCs w:val="24"/>
                                  </w:rPr>
                                </w:pPr>
                                <w:r>
                                  <w:rPr>
                                    <w:color w:val="FFFFFF" w:themeColor="background1"/>
                                    <w:sz w:val="24"/>
                                    <w:szCs w:val="24"/>
                                  </w:rPr>
                                  <w:t>OCT</w:t>
                                </w:r>
                              </w:p>
                              <w:p w:rsidR="000F230F" w:rsidRDefault="000F230F" w:rsidP="00E43847">
                                <w:pPr>
                                  <w:pStyle w:val="NoSpacing"/>
                                  <w:jc w:val="center"/>
                                  <w:rPr>
                                    <w:color w:val="FFFFFF" w:themeColor="background1"/>
                                    <w:sz w:val="24"/>
                                    <w:szCs w:val="24"/>
                                  </w:rPr>
                                </w:pPr>
                                <w:r>
                                  <w:rPr>
                                    <w:color w:val="FFFFFF" w:themeColor="background1"/>
                                    <w:sz w:val="24"/>
                                    <w:szCs w:val="24"/>
                                  </w:rPr>
                                  <w:t>2018</w:t>
                                </w: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9800</wp14:pctHeight>
                    </wp14:sizeRelV>
                  </wp:anchor>
                </w:drawing>
              </mc:Choice>
              <mc:Fallback>
                <w:pict>
                  <v:rect w14:anchorId="63ACBB1E" id="Rectangle 130" o:spid="_x0000_s1026" style="position:absolute;margin-left:-14.4pt;margin-top:19.65pt;width:36.8pt;height:77.75pt;z-index:251660288;visibility:visible;mso-wrap-style:square;mso-width-percent:0;mso-height-percent:98;mso-wrap-distance-left:9pt;mso-wrap-distance-top:0;mso-wrap-distance-right:9pt;mso-wrap-distance-bottom:0;mso-position-horizontal:right;mso-position-horizontal-relative:margin;mso-position-vertical:absolute;mso-position-vertical-relative:page;mso-width-percent:0;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" fillcolor="#5b9bd5 [3204]" stroked="f" strokeweight="1pt">
                    <v:path arrowok="t"/>
                    <o:lock v:ext="edit" aspectratio="t"/>
                    <v:textbox inset="3.6pt,,3.6pt">
                      <w:txbxContent>
                        <w:p w:rsidR="000F230F" w:rsidRDefault="000F230F" w:rsidP="00E43847">
                          <w:pPr>
                            <w:pStyle w:val="NoSpacing"/>
                            <w:jc w:val="center"/>
                            <w:rPr>
                              <w:color w:val="FFFFFF" w:themeColor="background1"/>
                              <w:sz w:val="24"/>
                              <w:szCs w:val="24"/>
                            </w:rPr>
                          </w:pPr>
                          <w:r>
                            <w:rPr>
                              <w:color w:val="FFFFFF" w:themeColor="background1"/>
                              <w:sz w:val="24"/>
                              <w:szCs w:val="24"/>
                            </w:rPr>
                            <w:t>OCT</w:t>
                          </w:r>
                        </w:p>
                        <w:p w:rsidR="000F230F" w:rsidRDefault="000F230F" w:rsidP="00E43847">
                          <w:pPr>
                            <w:pStyle w:val="NoSpacing"/>
                            <w:jc w:val="center"/>
                            <w:rPr>
                              <w:color w:val="FFFFFF" w:themeColor="background1"/>
                              <w:sz w:val="24"/>
                              <w:szCs w:val="24"/>
                            </w:rPr>
                          </w:pPr>
                          <w:r>
                            <w:rPr>
                              <w:color w:val="FFFFFF" w:themeColor="background1"/>
                              <w:sz w:val="24"/>
                              <w:szCs w:val="24"/>
                            </w:rPr>
                            <w:t>2018</w:t>
                          </w:r>
                        </w:p>
                      </w:txbxContent>
                    </v:textbox>
                    <w10:wrap anchorx="margin" anchory="page"/>
                  </v:rect>
                </w:pict>
              </mc:Fallback>
            </mc:AlternateContent>
          </w:r>
          <w:r>
            <w:rPr>
              <w:noProof/>
              <w:lang w:eastAsia="en-AU"/>
            </w:rPr>
            <mc:AlternateContent>
              <mc:Choice Requires="wpg">
                <w:drawing>
                  <wp:anchor distT="0" distB="0" distL="114300" distR="114300" simplePos="0" relativeHeight="251659264" behindDoc="1" locked="0" layoutInCell="1" allowOverlap="1" wp14:anchorId="55897D69" wp14:editId="169D1311">
                    <wp:simplePos x="0" y="0"/>
                    <wp:positionH relativeFrom="margin">
                      <wp:posOffset>-439387</wp:posOffset>
                    </wp:positionH>
                    <wp:positionV relativeFrom="page">
                      <wp:posOffset>486888</wp:posOffset>
                    </wp:positionV>
                    <wp:extent cx="6858000" cy="5973289"/>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5973289"/>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0F230F" w:rsidRDefault="000F230F">
                                  <w:pPr>
                                    <w:rPr>
                                      <w:color w:val="FFFFFF" w:themeColor="background1"/>
                                      <w:sz w:val="72"/>
                                      <w:szCs w:val="72"/>
                                    </w:rPr>
                                  </w:pPr>
                                  <w:r>
                                    <w:rPr>
                                      <w:color w:val="FFFFFF" w:themeColor="background1"/>
                                      <w:sz w:val="72"/>
                                      <w:szCs w:val="72"/>
                                    </w:rPr>
                                    <w:t>2017-18 Assessment under the Regulator Performance Framework</w:t>
                                  </w: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0</wp14:pctHeight>
                    </wp14:sizeRelV>
                  </wp:anchor>
                </w:drawing>
              </mc:Choice>
              <mc:Fallback>
                <w:pict>
                  <v:group w14:anchorId="55897D69" id="Group 125" o:spid="_x0000_s1027" style="position:absolute;margin-left:-34.6pt;margin-top:38.35pt;width:540pt;height:470.35pt;z-index:-251657216;mso-width-percent:1154;mso-position-horizontal-relative:margin;mso-position-vertical-relative:page;mso-width-percent:1154;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">
                    <o:lock v:ext="edit" aspectratio="t"/>
                    <v:shape id="Freeform 10" o:spid="_x0000_s1028"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01MIA&#10;AADcAAAADwAAAGRycy9kb3ducmV2LnhtbERPS2rDMBDdF3IHMYXuGskuNcWJEkogwYtAqd0DDNbE&#10;dmKNjKXEbk8fFQrdzeN9Z72dbS9uNPrOsYZkqUAQ18503Gj4qvbPbyB8QDbYOyYN3+Rhu1k8rDE3&#10;buJPupWhETGEfY4a2hCGXEpft2TRL91AHLmTGy2GCMdGmhGnGG57mSqVSYsdx4YWB9q1VF/Kq9Vg&#10;kvPLq1ONcuXhp/iosuPVSK/10+P8vgIRaA7/4j93YeL8NIPfZ+IF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rTUwgAAANwAAAAPAAAAAAAAAAAAAAAAAJgCAABkcnMvZG93&#10;bnJldi54bWxQSwUGAAAAAAQABAD1AAAAhwM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0F230F" w:rsidRDefault="000F230F">
                            <w:pPr>
                              <w:rPr>
                                <w:color w:val="FFFFFF" w:themeColor="background1"/>
                                <w:sz w:val="72"/>
                                <w:szCs w:val="72"/>
                              </w:rPr>
                            </w:pPr>
                            <w:r>
                              <w:rPr>
                                <w:color w:val="FFFFFF" w:themeColor="background1"/>
                                <w:sz w:val="72"/>
                                <w:szCs w:val="72"/>
                              </w:rPr>
                              <w:t>2017-18 Assessment under the Regulator Performance Framework</w:t>
                            </w:r>
                          </w:p>
                        </w:txbxContent>
                      </v:textbox>
                    </v:shape>
                    <v:shape id="Freeform 11" o:spid="_x0000_s1029"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p>
        <w:p w:rsidR="003700D4" w:rsidRDefault="000A62AD">
          <w:pPr>
            <w:rPr>
              <w:color w:val="404040" w:themeColor="text1" w:themeTint="BF"/>
              <w:sz w:val="36"/>
              <w:szCs w:val="36"/>
            </w:rPr>
          </w:pPr>
          <w:r>
            <w:rPr>
              <w:noProof/>
              <w:lang w:eastAsia="en-AU"/>
            </w:rPr>
            <mc:AlternateContent>
              <mc:Choice Requires="wps">
                <w:drawing>
                  <wp:anchor distT="0" distB="0" distL="114300" distR="114300" simplePos="0" relativeHeight="251661312" behindDoc="0" locked="0" layoutInCell="1" allowOverlap="1" wp14:anchorId="22F13890" wp14:editId="1B13A76F">
                    <wp:simplePos x="0" y="0"/>
                    <wp:positionH relativeFrom="page">
                      <wp:posOffset>473075</wp:posOffset>
                    </wp:positionH>
                    <wp:positionV relativeFrom="page">
                      <wp:posOffset>6463475</wp:posOffset>
                    </wp:positionV>
                    <wp:extent cx="5753100" cy="484505"/>
                    <wp:effectExtent l="0" t="0" r="0" b="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inorHAnsi" w:eastAsiaTheme="minorHAnsi" w:hAnsiTheme="minorHAnsi" w:cstheme="minorBidi"/>
                                    <w:color w:val="auto"/>
                                    <w:sz w:val="22"/>
                                    <w:szCs w:val="22"/>
                                    <w:lang w:val="en-AU"/>
                                  </w:rPr>
                                  <w:id w:val="536318146"/>
                                  <w:docPartObj>
                                    <w:docPartGallery w:val="Table of Contents"/>
                                    <w:docPartUnique/>
                                  </w:docPartObj>
                                </w:sdtPr>
                                <w:sdtEndPr>
                                  <w:rPr>
                                    <w:b/>
                                    <w:bCs/>
                                    <w:noProof/>
                                  </w:rPr>
                                </w:sdtEndPr>
                                <w:sdtContent>
                                  <w:p w:rsidR="000F230F" w:rsidRDefault="000F230F">
                                    <w:pPr>
                                      <w:pStyle w:val="TOCHeading"/>
                                    </w:pPr>
                                    <w:r>
                                      <w:t>Contents</w:t>
                                    </w:r>
                                  </w:p>
                                  <w:p w:rsidR="000F230F" w:rsidRDefault="000F230F">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465262920" w:history="1">
                                      <w:r w:rsidRPr="00851C23">
                                        <w:rPr>
                                          <w:rStyle w:val="Hyperlink"/>
                                          <w:noProof/>
                                        </w:rPr>
                                        <w:t>Introduction</w:t>
                                      </w:r>
                                      <w:r>
                                        <w:rPr>
                                          <w:noProof/>
                                          <w:webHidden/>
                                        </w:rPr>
                                        <w:tab/>
                                      </w:r>
                                      <w:r>
                                        <w:rPr>
                                          <w:noProof/>
                                          <w:webHidden/>
                                        </w:rPr>
                                        <w:fldChar w:fldCharType="begin"/>
                                      </w:r>
                                      <w:r>
                                        <w:rPr>
                                          <w:noProof/>
                                          <w:webHidden/>
                                        </w:rPr>
                                        <w:instrText xml:space="preserve"> PAGEREF _Toc465262920 \h </w:instrText>
                                      </w:r>
                                      <w:r>
                                        <w:rPr>
                                          <w:noProof/>
                                          <w:webHidden/>
                                        </w:rPr>
                                      </w:r>
                                      <w:r>
                                        <w:rPr>
                                          <w:noProof/>
                                          <w:webHidden/>
                                        </w:rPr>
                                        <w:fldChar w:fldCharType="separate"/>
                                      </w:r>
                                      <w:r w:rsidR="00E637E8">
                                        <w:rPr>
                                          <w:noProof/>
                                          <w:webHidden/>
                                        </w:rPr>
                                        <w:t>1</w:t>
                                      </w:r>
                                      <w:r>
                                        <w:rPr>
                                          <w:noProof/>
                                          <w:webHidden/>
                                        </w:rPr>
                                        <w:fldChar w:fldCharType="end"/>
                                      </w:r>
                                    </w:hyperlink>
                                  </w:p>
                                  <w:p w:rsidR="000F230F" w:rsidRDefault="001B7247">
                                    <w:pPr>
                                      <w:pStyle w:val="TOC1"/>
                                      <w:tabs>
                                        <w:tab w:val="right" w:leader="dot" w:pos="9016"/>
                                      </w:tabs>
                                      <w:rPr>
                                        <w:rFonts w:eastAsiaTheme="minorEastAsia"/>
                                        <w:noProof/>
                                        <w:lang w:eastAsia="en-AU"/>
                                      </w:rPr>
                                    </w:pPr>
                                    <w:hyperlink w:anchor="_Toc465262921" w:history="1">
                                      <w:r w:rsidR="000F230F" w:rsidRPr="00851C23">
                                        <w:rPr>
                                          <w:rStyle w:val="Hyperlink"/>
                                          <w:noProof/>
                                        </w:rPr>
                                        <w:t>Use of the Word ‘Anzac’ Regulations</w:t>
                                      </w:r>
                                      <w:r w:rsidR="000F230F">
                                        <w:rPr>
                                          <w:noProof/>
                                          <w:webHidden/>
                                        </w:rPr>
                                        <w:tab/>
                                      </w:r>
                                      <w:r w:rsidR="000F230F">
                                        <w:rPr>
                                          <w:noProof/>
                                          <w:webHidden/>
                                        </w:rPr>
                                        <w:fldChar w:fldCharType="begin"/>
                                      </w:r>
                                      <w:r w:rsidR="000F230F">
                                        <w:rPr>
                                          <w:noProof/>
                                          <w:webHidden/>
                                        </w:rPr>
                                        <w:instrText xml:space="preserve"> PAGEREF _Toc465262921 \h </w:instrText>
                                      </w:r>
                                      <w:r w:rsidR="000F230F">
                                        <w:rPr>
                                          <w:noProof/>
                                          <w:webHidden/>
                                        </w:rPr>
                                      </w:r>
                                      <w:r w:rsidR="000F230F">
                                        <w:rPr>
                                          <w:noProof/>
                                          <w:webHidden/>
                                        </w:rPr>
                                        <w:fldChar w:fldCharType="separate"/>
                                      </w:r>
                                      <w:r w:rsidR="00E637E8">
                                        <w:rPr>
                                          <w:noProof/>
                                          <w:webHidden/>
                                        </w:rPr>
                                        <w:t>1</w:t>
                                      </w:r>
                                      <w:r w:rsidR="000F230F">
                                        <w:rPr>
                                          <w:noProof/>
                                          <w:webHidden/>
                                        </w:rPr>
                                        <w:fldChar w:fldCharType="end"/>
                                      </w:r>
                                    </w:hyperlink>
                                  </w:p>
                                  <w:p w:rsidR="000F230F" w:rsidRDefault="001B7247">
                                    <w:pPr>
                                      <w:pStyle w:val="TOC1"/>
                                      <w:tabs>
                                        <w:tab w:val="right" w:leader="dot" w:pos="9016"/>
                                      </w:tabs>
                                      <w:rPr>
                                        <w:rFonts w:eastAsiaTheme="minorEastAsia"/>
                                        <w:noProof/>
                                        <w:lang w:eastAsia="en-AU"/>
                                      </w:rPr>
                                    </w:pPr>
                                    <w:hyperlink w:anchor="_Toc465262928" w:history="1">
                                      <w:r w:rsidR="000F230F" w:rsidRPr="00851C23">
                                        <w:rPr>
                                          <w:rStyle w:val="Hyperlink"/>
                                          <w:noProof/>
                                        </w:rPr>
                                        <w:t>Appendix A: Key performance indicators</w:t>
                                      </w:r>
                                      <w:r w:rsidR="000F230F">
                                        <w:rPr>
                                          <w:noProof/>
                                          <w:webHidden/>
                                        </w:rPr>
                                        <w:tab/>
                                      </w:r>
                                      <w:r w:rsidR="000F230F">
                                        <w:rPr>
                                          <w:noProof/>
                                          <w:webHidden/>
                                        </w:rPr>
                                        <w:fldChar w:fldCharType="begin"/>
                                      </w:r>
                                      <w:r w:rsidR="000F230F">
                                        <w:rPr>
                                          <w:noProof/>
                                          <w:webHidden/>
                                        </w:rPr>
                                        <w:instrText xml:space="preserve"> PAGEREF _Toc465262928 \h </w:instrText>
                                      </w:r>
                                      <w:r w:rsidR="000F230F">
                                        <w:rPr>
                                          <w:noProof/>
                                          <w:webHidden/>
                                        </w:rPr>
                                      </w:r>
                                      <w:r w:rsidR="000F230F">
                                        <w:rPr>
                                          <w:noProof/>
                                          <w:webHidden/>
                                        </w:rPr>
                                        <w:fldChar w:fldCharType="separate"/>
                                      </w:r>
                                      <w:r w:rsidR="00E637E8">
                                        <w:rPr>
                                          <w:noProof/>
                                          <w:webHidden/>
                                        </w:rPr>
                                        <w:t>5</w:t>
                                      </w:r>
                                      <w:r w:rsidR="000F230F">
                                        <w:rPr>
                                          <w:noProof/>
                                          <w:webHidden/>
                                        </w:rPr>
                                        <w:fldChar w:fldCharType="end"/>
                                      </w:r>
                                    </w:hyperlink>
                                  </w:p>
                                  <w:p w:rsidR="000F230F" w:rsidRDefault="001B7247">
                                    <w:pPr>
                                      <w:pStyle w:val="TOC1"/>
                                      <w:tabs>
                                        <w:tab w:val="right" w:leader="dot" w:pos="9016"/>
                                      </w:tabs>
                                      <w:rPr>
                                        <w:rFonts w:eastAsiaTheme="minorEastAsia"/>
                                        <w:noProof/>
                                        <w:lang w:eastAsia="en-AU"/>
                                      </w:rPr>
                                    </w:pPr>
                                    <w:hyperlink w:anchor="_Toc465262929" w:history="1">
                                      <w:r w:rsidR="000F230F" w:rsidRPr="00851C23">
                                        <w:rPr>
                                          <w:rStyle w:val="Hyperlink"/>
                                          <w:noProof/>
                                        </w:rPr>
                                        <w:t>Appendix B: Results and evidence against each metric</w:t>
                                      </w:r>
                                      <w:r w:rsidR="000F230F">
                                        <w:rPr>
                                          <w:noProof/>
                                          <w:webHidden/>
                                        </w:rPr>
                                        <w:tab/>
                                      </w:r>
                                      <w:r w:rsidR="000F230F">
                                        <w:rPr>
                                          <w:noProof/>
                                          <w:webHidden/>
                                        </w:rPr>
                                        <w:fldChar w:fldCharType="begin"/>
                                      </w:r>
                                      <w:r w:rsidR="000F230F">
                                        <w:rPr>
                                          <w:noProof/>
                                          <w:webHidden/>
                                        </w:rPr>
                                        <w:instrText xml:space="preserve"> PAGEREF _Toc465262929 \h </w:instrText>
                                      </w:r>
                                      <w:r w:rsidR="000F230F">
                                        <w:rPr>
                                          <w:noProof/>
                                          <w:webHidden/>
                                        </w:rPr>
                                      </w:r>
                                      <w:r w:rsidR="000F230F">
                                        <w:rPr>
                                          <w:noProof/>
                                          <w:webHidden/>
                                        </w:rPr>
                                        <w:fldChar w:fldCharType="separate"/>
                                      </w:r>
                                      <w:r w:rsidR="00E637E8">
                                        <w:rPr>
                                          <w:noProof/>
                                          <w:webHidden/>
                                        </w:rPr>
                                        <w:t>8</w:t>
                                      </w:r>
                                      <w:r w:rsidR="000F230F">
                                        <w:rPr>
                                          <w:noProof/>
                                          <w:webHidden/>
                                        </w:rPr>
                                        <w:fldChar w:fldCharType="end"/>
                                      </w:r>
                                    </w:hyperlink>
                                  </w:p>
                                  <w:p w:rsidR="000F230F" w:rsidRDefault="001B7247">
                                    <w:pPr>
                                      <w:pStyle w:val="TOC1"/>
                                      <w:tabs>
                                        <w:tab w:val="right" w:leader="dot" w:pos="9016"/>
                                      </w:tabs>
                                      <w:rPr>
                                        <w:rFonts w:eastAsiaTheme="minorEastAsia"/>
                                        <w:noProof/>
                                        <w:lang w:eastAsia="en-AU"/>
                                      </w:rPr>
                                    </w:pPr>
                                    <w:hyperlink w:anchor="_Toc465262930" w:history="1">
                                      <w:r w:rsidR="000F230F" w:rsidRPr="00851C23">
                                        <w:rPr>
                                          <w:rStyle w:val="Hyperlink"/>
                                          <w:noProof/>
                                        </w:rPr>
                                        <w:t>Appendix C: Summary of feedback from consultation</w:t>
                                      </w:r>
                                      <w:r w:rsidR="000F230F">
                                        <w:rPr>
                                          <w:noProof/>
                                          <w:webHidden/>
                                        </w:rPr>
                                        <w:tab/>
                                      </w:r>
                                      <w:r w:rsidR="000F230F">
                                        <w:rPr>
                                          <w:noProof/>
                                          <w:webHidden/>
                                        </w:rPr>
                                        <w:fldChar w:fldCharType="begin"/>
                                      </w:r>
                                      <w:r w:rsidR="000F230F">
                                        <w:rPr>
                                          <w:noProof/>
                                          <w:webHidden/>
                                        </w:rPr>
                                        <w:instrText xml:space="preserve"> PAGEREF _Toc465262930 \h </w:instrText>
                                      </w:r>
                                      <w:r w:rsidR="000F230F">
                                        <w:rPr>
                                          <w:noProof/>
                                          <w:webHidden/>
                                        </w:rPr>
                                      </w:r>
                                      <w:r w:rsidR="000F230F">
                                        <w:rPr>
                                          <w:noProof/>
                                          <w:webHidden/>
                                        </w:rPr>
                                        <w:fldChar w:fldCharType="separate"/>
                                      </w:r>
                                      <w:r w:rsidR="00E637E8">
                                        <w:rPr>
                                          <w:noProof/>
                                          <w:webHidden/>
                                        </w:rPr>
                                        <w:t>10</w:t>
                                      </w:r>
                                      <w:r w:rsidR="000F230F">
                                        <w:rPr>
                                          <w:noProof/>
                                          <w:webHidden/>
                                        </w:rPr>
                                        <w:fldChar w:fldCharType="end"/>
                                      </w:r>
                                    </w:hyperlink>
                                  </w:p>
                                  <w:p w:rsidR="000F230F" w:rsidRDefault="000F230F">
                                    <w:r>
                                      <w:rPr>
                                        <w:b/>
                                        <w:bCs/>
                                        <w:noProof/>
                                      </w:rPr>
                                      <w:fldChar w:fldCharType="end"/>
                                    </w:r>
                                  </w:p>
                                </w:sdtContent>
                              </w:sdt>
                              <w:p w:rsidR="000F230F" w:rsidRDefault="000F230F" w:rsidP="000A62AD">
                                <w:pPr>
                                  <w:pStyle w:val="TOCHeading"/>
                                </w:pPr>
                              </w:p>
                              <w:p w:rsidR="000F230F" w:rsidRDefault="000F230F">
                                <w:pPr>
                                  <w:pStyle w:val="NoSpacing"/>
                                  <w:spacing w:before="40" w:after="40"/>
                                  <w:rPr>
                                    <w:caps/>
                                    <w:color w:val="4472C4" w:themeColor="accent5"/>
                                    <w:sz w:val="24"/>
                                    <w:szCs w:val="24"/>
                                  </w:rPr>
                                </w:pP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22F13890" id="_x0000_t202" coordsize="21600,21600" o:spt="202" path="m,l,21600r21600,l21600,xe">
                    <v:stroke joinstyle="miter"/>
                    <v:path gradientshapeok="t" o:connecttype="rect"/>
                  </v:shapetype>
                  <v:shape id="Text Box 129" o:spid="_x0000_s1030" type="#_x0000_t202" style="position:absolute;margin-left:37.25pt;margin-top:508.95pt;width:453pt;height:38.15pt;z-index:251661312;visibility:visible;mso-wrap-style:square;mso-width-percent:1154;mso-height-percent:0;mso-wrap-distance-left:9pt;mso-wrap-distance-top:0;mso-wrap-distance-right:9pt;mso-wrap-distance-bottom:0;mso-position-horizontal:absolute;mso-position-horizontal-relative:page;mso-position-vertical:absolute;mso-position-vertical-relative:page;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" filled="f" stroked="f" strokeweight=".5pt">
                    <v:textbox style="mso-fit-shape-to-text:t" inset="1in,0,86.4pt,0">
                      <w:txbxContent>
                        <w:sdt>
                          <w:sdtPr>
                            <w:rPr>
                              <w:rFonts w:asciiTheme="minorHAnsi" w:eastAsiaTheme="minorHAnsi" w:hAnsiTheme="minorHAnsi" w:cstheme="minorBidi"/>
                              <w:color w:val="auto"/>
                              <w:sz w:val="22"/>
                              <w:szCs w:val="22"/>
                              <w:lang w:val="en-AU"/>
                            </w:rPr>
                            <w:id w:val="536318146"/>
                            <w:docPartObj>
                              <w:docPartGallery w:val="Table of Contents"/>
                              <w:docPartUnique/>
                            </w:docPartObj>
                          </w:sdtPr>
                          <w:sdtEndPr>
                            <w:rPr>
                              <w:b/>
                              <w:bCs/>
                              <w:noProof/>
                            </w:rPr>
                          </w:sdtEndPr>
                          <w:sdtContent>
                            <w:p w:rsidR="000F230F" w:rsidRDefault="000F230F">
                              <w:pPr>
                                <w:pStyle w:val="TOCHeading"/>
                              </w:pPr>
                              <w:r>
                                <w:t>Contents</w:t>
                              </w:r>
                            </w:p>
                            <w:p w:rsidR="000F230F" w:rsidRDefault="000F230F">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465262920" w:history="1">
                                <w:r w:rsidRPr="00851C23">
                                  <w:rPr>
                                    <w:rStyle w:val="Hyperlink"/>
                                    <w:noProof/>
                                  </w:rPr>
                                  <w:t>Introduction</w:t>
                                </w:r>
                                <w:r>
                                  <w:rPr>
                                    <w:noProof/>
                                    <w:webHidden/>
                                  </w:rPr>
                                  <w:tab/>
                                </w:r>
                                <w:r>
                                  <w:rPr>
                                    <w:noProof/>
                                    <w:webHidden/>
                                  </w:rPr>
                                  <w:fldChar w:fldCharType="begin"/>
                                </w:r>
                                <w:r>
                                  <w:rPr>
                                    <w:noProof/>
                                    <w:webHidden/>
                                  </w:rPr>
                                  <w:instrText xml:space="preserve"> PAGEREF _Toc465262920 \h </w:instrText>
                                </w:r>
                                <w:r>
                                  <w:rPr>
                                    <w:noProof/>
                                    <w:webHidden/>
                                  </w:rPr>
                                </w:r>
                                <w:r>
                                  <w:rPr>
                                    <w:noProof/>
                                    <w:webHidden/>
                                  </w:rPr>
                                  <w:fldChar w:fldCharType="separate"/>
                                </w:r>
                                <w:r w:rsidR="00E637E8">
                                  <w:rPr>
                                    <w:noProof/>
                                    <w:webHidden/>
                                  </w:rPr>
                                  <w:t>1</w:t>
                                </w:r>
                                <w:r>
                                  <w:rPr>
                                    <w:noProof/>
                                    <w:webHidden/>
                                  </w:rPr>
                                  <w:fldChar w:fldCharType="end"/>
                                </w:r>
                              </w:hyperlink>
                            </w:p>
                            <w:p w:rsidR="000F230F" w:rsidRDefault="00E637E8">
                              <w:pPr>
                                <w:pStyle w:val="TOC1"/>
                                <w:tabs>
                                  <w:tab w:val="right" w:leader="dot" w:pos="9016"/>
                                </w:tabs>
                                <w:rPr>
                                  <w:rFonts w:eastAsiaTheme="minorEastAsia"/>
                                  <w:noProof/>
                                  <w:lang w:eastAsia="en-AU"/>
                                </w:rPr>
                              </w:pPr>
                              <w:hyperlink w:anchor="_Toc465262921" w:history="1">
                                <w:r w:rsidR="000F230F" w:rsidRPr="00851C23">
                                  <w:rPr>
                                    <w:rStyle w:val="Hyperlink"/>
                                    <w:noProof/>
                                  </w:rPr>
                                  <w:t>Use of the Word ‘Anzac’ Regulations</w:t>
                                </w:r>
                                <w:r w:rsidR="000F230F">
                                  <w:rPr>
                                    <w:noProof/>
                                    <w:webHidden/>
                                  </w:rPr>
                                  <w:tab/>
                                </w:r>
                                <w:r w:rsidR="000F230F">
                                  <w:rPr>
                                    <w:noProof/>
                                    <w:webHidden/>
                                  </w:rPr>
                                  <w:fldChar w:fldCharType="begin"/>
                                </w:r>
                                <w:r w:rsidR="000F230F">
                                  <w:rPr>
                                    <w:noProof/>
                                    <w:webHidden/>
                                  </w:rPr>
                                  <w:instrText xml:space="preserve"> PAGEREF _Toc465262921 \h </w:instrText>
                                </w:r>
                                <w:r w:rsidR="000F230F">
                                  <w:rPr>
                                    <w:noProof/>
                                    <w:webHidden/>
                                  </w:rPr>
                                </w:r>
                                <w:r w:rsidR="000F230F">
                                  <w:rPr>
                                    <w:noProof/>
                                    <w:webHidden/>
                                  </w:rPr>
                                  <w:fldChar w:fldCharType="separate"/>
                                </w:r>
                                <w:r>
                                  <w:rPr>
                                    <w:noProof/>
                                    <w:webHidden/>
                                  </w:rPr>
                                  <w:t>1</w:t>
                                </w:r>
                                <w:r w:rsidR="000F230F">
                                  <w:rPr>
                                    <w:noProof/>
                                    <w:webHidden/>
                                  </w:rPr>
                                  <w:fldChar w:fldCharType="end"/>
                                </w:r>
                              </w:hyperlink>
                            </w:p>
                            <w:p w:rsidR="000F230F" w:rsidRDefault="00E637E8">
                              <w:pPr>
                                <w:pStyle w:val="TOC1"/>
                                <w:tabs>
                                  <w:tab w:val="right" w:leader="dot" w:pos="9016"/>
                                </w:tabs>
                                <w:rPr>
                                  <w:rFonts w:eastAsiaTheme="minorEastAsia"/>
                                  <w:noProof/>
                                  <w:lang w:eastAsia="en-AU"/>
                                </w:rPr>
                              </w:pPr>
                              <w:hyperlink w:anchor="_Toc465262928" w:history="1">
                                <w:r w:rsidR="000F230F" w:rsidRPr="00851C23">
                                  <w:rPr>
                                    <w:rStyle w:val="Hyperlink"/>
                                    <w:noProof/>
                                  </w:rPr>
                                  <w:t>Appendix A: Key performance indicators</w:t>
                                </w:r>
                                <w:r w:rsidR="000F230F">
                                  <w:rPr>
                                    <w:noProof/>
                                    <w:webHidden/>
                                  </w:rPr>
                                  <w:tab/>
                                </w:r>
                                <w:r w:rsidR="000F230F">
                                  <w:rPr>
                                    <w:noProof/>
                                    <w:webHidden/>
                                  </w:rPr>
                                  <w:fldChar w:fldCharType="begin"/>
                                </w:r>
                                <w:r w:rsidR="000F230F">
                                  <w:rPr>
                                    <w:noProof/>
                                    <w:webHidden/>
                                  </w:rPr>
                                  <w:instrText xml:space="preserve"> PAGEREF _Toc465262928 \h </w:instrText>
                                </w:r>
                                <w:r w:rsidR="000F230F">
                                  <w:rPr>
                                    <w:noProof/>
                                    <w:webHidden/>
                                  </w:rPr>
                                </w:r>
                                <w:r w:rsidR="000F230F">
                                  <w:rPr>
                                    <w:noProof/>
                                    <w:webHidden/>
                                  </w:rPr>
                                  <w:fldChar w:fldCharType="separate"/>
                                </w:r>
                                <w:r>
                                  <w:rPr>
                                    <w:noProof/>
                                    <w:webHidden/>
                                  </w:rPr>
                                  <w:t>5</w:t>
                                </w:r>
                                <w:r w:rsidR="000F230F">
                                  <w:rPr>
                                    <w:noProof/>
                                    <w:webHidden/>
                                  </w:rPr>
                                  <w:fldChar w:fldCharType="end"/>
                                </w:r>
                              </w:hyperlink>
                            </w:p>
                            <w:p w:rsidR="000F230F" w:rsidRDefault="00E637E8">
                              <w:pPr>
                                <w:pStyle w:val="TOC1"/>
                                <w:tabs>
                                  <w:tab w:val="right" w:leader="dot" w:pos="9016"/>
                                </w:tabs>
                                <w:rPr>
                                  <w:rFonts w:eastAsiaTheme="minorEastAsia"/>
                                  <w:noProof/>
                                  <w:lang w:eastAsia="en-AU"/>
                                </w:rPr>
                              </w:pPr>
                              <w:hyperlink w:anchor="_Toc465262929" w:history="1">
                                <w:r w:rsidR="000F230F" w:rsidRPr="00851C23">
                                  <w:rPr>
                                    <w:rStyle w:val="Hyperlink"/>
                                    <w:noProof/>
                                  </w:rPr>
                                  <w:t>Appendix B: Results and evidence against each metric</w:t>
                                </w:r>
                                <w:r w:rsidR="000F230F">
                                  <w:rPr>
                                    <w:noProof/>
                                    <w:webHidden/>
                                  </w:rPr>
                                  <w:tab/>
                                </w:r>
                                <w:r w:rsidR="000F230F">
                                  <w:rPr>
                                    <w:noProof/>
                                    <w:webHidden/>
                                  </w:rPr>
                                  <w:fldChar w:fldCharType="begin"/>
                                </w:r>
                                <w:r w:rsidR="000F230F">
                                  <w:rPr>
                                    <w:noProof/>
                                    <w:webHidden/>
                                  </w:rPr>
                                  <w:instrText xml:space="preserve"> PAGEREF _Toc465262929 \h </w:instrText>
                                </w:r>
                                <w:r w:rsidR="000F230F">
                                  <w:rPr>
                                    <w:noProof/>
                                    <w:webHidden/>
                                  </w:rPr>
                                </w:r>
                                <w:r w:rsidR="000F230F">
                                  <w:rPr>
                                    <w:noProof/>
                                    <w:webHidden/>
                                  </w:rPr>
                                  <w:fldChar w:fldCharType="separate"/>
                                </w:r>
                                <w:r>
                                  <w:rPr>
                                    <w:noProof/>
                                    <w:webHidden/>
                                  </w:rPr>
                                  <w:t>8</w:t>
                                </w:r>
                                <w:r w:rsidR="000F230F">
                                  <w:rPr>
                                    <w:noProof/>
                                    <w:webHidden/>
                                  </w:rPr>
                                  <w:fldChar w:fldCharType="end"/>
                                </w:r>
                              </w:hyperlink>
                            </w:p>
                            <w:p w:rsidR="000F230F" w:rsidRDefault="00E637E8">
                              <w:pPr>
                                <w:pStyle w:val="TOC1"/>
                                <w:tabs>
                                  <w:tab w:val="right" w:leader="dot" w:pos="9016"/>
                                </w:tabs>
                                <w:rPr>
                                  <w:rFonts w:eastAsiaTheme="minorEastAsia"/>
                                  <w:noProof/>
                                  <w:lang w:eastAsia="en-AU"/>
                                </w:rPr>
                              </w:pPr>
                              <w:hyperlink w:anchor="_Toc465262930" w:history="1">
                                <w:r w:rsidR="000F230F" w:rsidRPr="00851C23">
                                  <w:rPr>
                                    <w:rStyle w:val="Hyperlink"/>
                                    <w:noProof/>
                                  </w:rPr>
                                  <w:t>Appendix C: Summary of feedback from consultation</w:t>
                                </w:r>
                                <w:r w:rsidR="000F230F">
                                  <w:rPr>
                                    <w:noProof/>
                                    <w:webHidden/>
                                  </w:rPr>
                                  <w:tab/>
                                </w:r>
                                <w:r w:rsidR="000F230F">
                                  <w:rPr>
                                    <w:noProof/>
                                    <w:webHidden/>
                                  </w:rPr>
                                  <w:fldChar w:fldCharType="begin"/>
                                </w:r>
                                <w:r w:rsidR="000F230F">
                                  <w:rPr>
                                    <w:noProof/>
                                    <w:webHidden/>
                                  </w:rPr>
                                  <w:instrText xml:space="preserve"> PAGEREF _Toc465262930 \h </w:instrText>
                                </w:r>
                                <w:r w:rsidR="000F230F">
                                  <w:rPr>
                                    <w:noProof/>
                                    <w:webHidden/>
                                  </w:rPr>
                                </w:r>
                                <w:r w:rsidR="000F230F">
                                  <w:rPr>
                                    <w:noProof/>
                                    <w:webHidden/>
                                  </w:rPr>
                                  <w:fldChar w:fldCharType="separate"/>
                                </w:r>
                                <w:r>
                                  <w:rPr>
                                    <w:noProof/>
                                    <w:webHidden/>
                                  </w:rPr>
                                  <w:t>10</w:t>
                                </w:r>
                                <w:r w:rsidR="000F230F">
                                  <w:rPr>
                                    <w:noProof/>
                                    <w:webHidden/>
                                  </w:rPr>
                                  <w:fldChar w:fldCharType="end"/>
                                </w:r>
                              </w:hyperlink>
                            </w:p>
                            <w:p w:rsidR="000F230F" w:rsidRDefault="000F230F">
                              <w:r>
                                <w:rPr>
                                  <w:b/>
                                  <w:bCs/>
                                  <w:noProof/>
                                </w:rPr>
                                <w:fldChar w:fldCharType="end"/>
                              </w:r>
                            </w:p>
                          </w:sdtContent>
                        </w:sdt>
                        <w:p w:rsidR="000F230F" w:rsidRDefault="000F230F" w:rsidP="000A62AD">
                          <w:pPr>
                            <w:pStyle w:val="TOCHeading"/>
                          </w:pPr>
                        </w:p>
                        <w:p w:rsidR="000F230F" w:rsidRDefault="000F230F">
                          <w:pPr>
                            <w:pStyle w:val="NoSpacing"/>
                            <w:spacing w:before="40" w:after="40"/>
                            <w:rPr>
                              <w:caps/>
                              <w:color w:val="4472C4" w:themeColor="accent5"/>
                              <w:sz w:val="24"/>
                              <w:szCs w:val="24"/>
                            </w:rPr>
                          </w:pPr>
                        </w:p>
                      </w:txbxContent>
                    </v:textbox>
                    <w10:wrap type="square" anchorx="page" anchory="page"/>
                  </v:shape>
                </w:pict>
              </mc:Fallback>
            </mc:AlternateContent>
          </w:r>
          <w:r w:rsidR="003700D4">
            <w:rPr>
              <w:noProof/>
              <w:lang w:eastAsia="en-AU"/>
            </w:rPr>
            <mc:AlternateContent>
              <mc:Choice Requires="wps">
                <w:drawing>
                  <wp:anchor distT="0" distB="0" distL="114300" distR="114300" simplePos="0" relativeHeight="251662336" behindDoc="0" locked="0" layoutInCell="1" allowOverlap="1" wp14:anchorId="5C0B0CDD" wp14:editId="2EF95553">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230F" w:rsidRDefault="000F230F">
                                <w:pPr>
                                  <w:pStyle w:val="NoSpacing"/>
                                  <w:rPr>
                                    <w:color w:val="7F7F7F" w:themeColor="text1" w:themeTint="80"/>
                                    <w:sz w:val="18"/>
                                    <w:szCs w:val="18"/>
                                  </w:rPr>
                                </w:pPr>
                                <w:r>
                                  <w:rPr>
                                    <w:caps/>
                                    <w:color w:val="7F7F7F" w:themeColor="text1" w:themeTint="80"/>
                                    <w:sz w:val="18"/>
                                    <w:szCs w:val="18"/>
                                    <w:lang w:val="en-AU"/>
                                  </w:rPr>
                                  <w:t>Australian Government</w:t>
                                </w:r>
                                <w:r>
                                  <w:rPr>
                                    <w:caps/>
                                    <w:color w:val="7F7F7F" w:themeColor="text1" w:themeTint="80"/>
                                    <w:sz w:val="18"/>
                                    <w:szCs w:val="18"/>
                                  </w:rPr>
                                  <w:t> </w:t>
                                </w:r>
                                <w:r>
                                  <w:rPr>
                                    <w:color w:val="7F7F7F" w:themeColor="text1" w:themeTint="80"/>
                                    <w:sz w:val="18"/>
                                    <w:szCs w:val="18"/>
                                  </w:rPr>
                                  <w:t>| DEPARTMENT OF VETERANS’ AFFAIRS</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5C0B0CDD" id="Text Box 128" o:spid="_x0000_s1031"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" filled="f" stroked="f" strokeweight=".5pt">
                    <v:textbox style="mso-fit-shape-to-text:t" inset="1in,0,86.4pt,0">
                      <w:txbxContent>
                        <w:p w:rsidR="000F230F" w:rsidRDefault="000F230F">
                          <w:pPr>
                            <w:pStyle w:val="NoSpacing"/>
                            <w:rPr>
                              <w:color w:val="7F7F7F" w:themeColor="text1" w:themeTint="80"/>
                              <w:sz w:val="18"/>
                              <w:szCs w:val="18"/>
                            </w:rPr>
                          </w:pPr>
                          <w:r>
                            <w:rPr>
                              <w:caps/>
                              <w:color w:val="7F7F7F" w:themeColor="text1" w:themeTint="80"/>
                              <w:sz w:val="18"/>
                              <w:szCs w:val="18"/>
                              <w:lang w:val="en-AU"/>
                            </w:rPr>
                            <w:t>Australian Government</w:t>
                          </w:r>
                          <w:r>
                            <w:rPr>
                              <w:caps/>
                              <w:color w:val="7F7F7F" w:themeColor="text1" w:themeTint="80"/>
                              <w:sz w:val="18"/>
                              <w:szCs w:val="18"/>
                            </w:rPr>
                            <w:t> </w:t>
                          </w:r>
                          <w:r>
                            <w:rPr>
                              <w:color w:val="7F7F7F" w:themeColor="text1" w:themeTint="80"/>
                              <w:sz w:val="18"/>
                              <w:szCs w:val="18"/>
                            </w:rPr>
                            <w:t>| DEPARTMENT OF VETERANS’ AFFAIRS</w:t>
                          </w:r>
                        </w:p>
                      </w:txbxContent>
                    </v:textbox>
                    <w10:wrap type="square" anchorx="page" anchory="margin"/>
                  </v:shape>
                </w:pict>
              </mc:Fallback>
            </mc:AlternateContent>
          </w:r>
          <w:r w:rsidR="003700D4">
            <w:rPr>
              <w:color w:val="404040" w:themeColor="text1" w:themeTint="BF"/>
              <w:sz w:val="36"/>
              <w:szCs w:val="36"/>
            </w:rPr>
            <w:br w:type="page"/>
          </w:r>
        </w:p>
      </w:sdtContent>
    </w:sdt>
    <w:p w:rsidR="00E43847" w:rsidRDefault="00E43847" w:rsidP="00E43847">
      <w:pPr>
        <w:pStyle w:val="Heading1"/>
      </w:pPr>
      <w:bookmarkStart w:id="1" w:name="_Toc464043321"/>
      <w:bookmarkStart w:id="2" w:name="_Toc464043461"/>
      <w:bookmarkStart w:id="3" w:name="_Toc465262920"/>
      <w:r>
        <w:lastRenderedPageBreak/>
        <w:t>Introduction</w:t>
      </w:r>
      <w:bookmarkEnd w:id="1"/>
      <w:bookmarkEnd w:id="2"/>
      <w:bookmarkEnd w:id="3"/>
    </w:p>
    <w:p w:rsidR="001D4F51" w:rsidRDefault="001D4F51" w:rsidP="001D4F51">
      <w:r>
        <w:t>In 2014 the Australian Government released its Regulator Performance Framework (the Framework) as part of its commitment to reduce the cost of unnecessary or inefficient regulation imposed on individuals, business and community organisations. The Framework consists of six outcomes-based key performance indicators</w:t>
      </w:r>
      <w:r w:rsidR="0015090C">
        <w:t xml:space="preserve"> (KPIs)</w:t>
      </w:r>
      <w:r>
        <w:t xml:space="preserve"> to articulate the Government’s overarching expectations of regulator performance:</w:t>
      </w:r>
    </w:p>
    <w:p w:rsidR="001D4F51" w:rsidRDefault="001D4F51" w:rsidP="001D4F51">
      <w:pPr>
        <w:pStyle w:val="ListParagraph"/>
        <w:numPr>
          <w:ilvl w:val="0"/>
          <w:numId w:val="3"/>
        </w:numPr>
      </w:pPr>
      <w:r>
        <w:t>Regulators do not unnecessarily impede the efficient operation of regulated entities.</w:t>
      </w:r>
    </w:p>
    <w:p w:rsidR="001D4F51" w:rsidRDefault="001D4F51" w:rsidP="001D4F51">
      <w:pPr>
        <w:pStyle w:val="ListParagraph"/>
        <w:numPr>
          <w:ilvl w:val="0"/>
          <w:numId w:val="3"/>
        </w:numPr>
      </w:pPr>
      <w:r>
        <w:t>Communication with regulated entities is clear, targeted and effective.</w:t>
      </w:r>
    </w:p>
    <w:p w:rsidR="001D4F51" w:rsidRDefault="001D4F51" w:rsidP="001D4F51">
      <w:pPr>
        <w:pStyle w:val="ListParagraph"/>
        <w:numPr>
          <w:ilvl w:val="0"/>
          <w:numId w:val="3"/>
        </w:numPr>
      </w:pPr>
      <w:r>
        <w:t>Actions undertaken by regulators are proportionate to the regulatory risk being managed.</w:t>
      </w:r>
    </w:p>
    <w:p w:rsidR="001D4F51" w:rsidRDefault="001D4F51" w:rsidP="001D4F51">
      <w:pPr>
        <w:pStyle w:val="ListParagraph"/>
        <w:numPr>
          <w:ilvl w:val="0"/>
          <w:numId w:val="3"/>
        </w:numPr>
      </w:pPr>
      <w:r>
        <w:t>Compliance and monitoring approaches are streamlined and coordinated.</w:t>
      </w:r>
    </w:p>
    <w:p w:rsidR="001D4F51" w:rsidRDefault="001D4F51" w:rsidP="001D4F51">
      <w:pPr>
        <w:pStyle w:val="ListParagraph"/>
        <w:numPr>
          <w:ilvl w:val="0"/>
          <w:numId w:val="3"/>
        </w:numPr>
      </w:pPr>
      <w:r>
        <w:t>Regulators are open and transparent in their dealings with regulated entities.</w:t>
      </w:r>
    </w:p>
    <w:p w:rsidR="001D4F51" w:rsidRDefault="001D4F51" w:rsidP="001D4F51">
      <w:pPr>
        <w:pStyle w:val="ListParagraph"/>
        <w:numPr>
          <w:ilvl w:val="0"/>
          <w:numId w:val="3"/>
        </w:numPr>
      </w:pPr>
      <w:r>
        <w:t>Regulators actively contribute to the continuous improvement of regulatory frameworks.</w:t>
      </w:r>
    </w:p>
    <w:p w:rsidR="001D4F51" w:rsidRDefault="001D4F51" w:rsidP="001D4F51">
      <w:r>
        <w:t>The Framework aims to encourage regulators to undertake their functions with the minimum impact necessary to achieve regulatory objectives. It is focused on the administration, monitoring and enforcement of regulation, rat</w:t>
      </w:r>
      <w:r w:rsidR="00532C32">
        <w:t>her than the setting of policy.</w:t>
      </w:r>
    </w:p>
    <w:p w:rsidR="002F0CD8" w:rsidRDefault="008434C4" w:rsidP="002F0CD8">
      <w:r>
        <w:t xml:space="preserve">The </w:t>
      </w:r>
      <w:r w:rsidRPr="008434C4">
        <w:rPr>
          <w:i/>
        </w:rPr>
        <w:t>Protection of the Word</w:t>
      </w:r>
      <w:r w:rsidR="002F0CD8" w:rsidRPr="008434C4">
        <w:rPr>
          <w:i/>
        </w:rPr>
        <w:t xml:space="preserve"> ‘Anzac’ </w:t>
      </w:r>
      <w:r w:rsidRPr="008434C4">
        <w:rPr>
          <w:i/>
        </w:rPr>
        <w:t>Regulations</w:t>
      </w:r>
      <w:r>
        <w:t xml:space="preserve"> </w:t>
      </w:r>
      <w:r w:rsidRPr="008434C4">
        <w:rPr>
          <w:i/>
        </w:rPr>
        <w:t>1921</w:t>
      </w:r>
      <w:r>
        <w:t xml:space="preserve"> </w:t>
      </w:r>
      <w:r w:rsidR="0015090C">
        <w:t xml:space="preserve">(the Regulations) </w:t>
      </w:r>
      <w:r>
        <w:t xml:space="preserve">are </w:t>
      </w:r>
      <w:r w:rsidR="002F0CD8">
        <w:t xml:space="preserve">the </w:t>
      </w:r>
      <w:r>
        <w:t xml:space="preserve">responsibility of the </w:t>
      </w:r>
      <w:r w:rsidR="002F0CD8">
        <w:t>D</w:t>
      </w:r>
      <w:r w:rsidR="006F293A">
        <w:t xml:space="preserve">epartment of Veterans’ Affairs </w:t>
      </w:r>
      <w:r w:rsidR="002F0CD8">
        <w:t xml:space="preserve">(DVA) </w:t>
      </w:r>
      <w:r>
        <w:t>and</w:t>
      </w:r>
      <w:r w:rsidR="0015090C">
        <w:t xml:space="preserve"> are the Department’s</w:t>
      </w:r>
      <w:r>
        <w:t xml:space="preserve"> </w:t>
      </w:r>
      <w:r w:rsidR="002F0CD8">
        <w:t xml:space="preserve">only regulatory role. A very minor part of DVA’s business, </w:t>
      </w:r>
      <w:r w:rsidR="0015090C">
        <w:t xml:space="preserve">the Regulations </w:t>
      </w:r>
      <w:r w:rsidR="002F0CD8">
        <w:t>affect a small number of organisations and individuals each year.</w:t>
      </w:r>
    </w:p>
    <w:p w:rsidR="0015090C" w:rsidRDefault="0015090C" w:rsidP="0015090C">
      <w:r>
        <w:t>The Framework allows DVA to report objectively on the outcomes of our efforts to administer the Protection of the Wor</w:t>
      </w:r>
      <w:r w:rsidR="00602AD5">
        <w:t>d</w:t>
      </w:r>
      <w:r>
        <w:t xml:space="preserve"> ‘Anzac’ Regulations fairly, effecti</w:t>
      </w:r>
      <w:r w:rsidR="006F293A">
        <w:t>vely and efficiently. It is</w:t>
      </w:r>
      <w:r>
        <w:t xml:space="preserve"> a useful tool for DVA to identify opportunities for improvement </w:t>
      </w:r>
      <w:r w:rsidR="00602AD5">
        <w:t xml:space="preserve">that </w:t>
      </w:r>
      <w:r>
        <w:t>could reduce compliance costs. DVA’s Framework includes:</w:t>
      </w:r>
    </w:p>
    <w:p w:rsidR="0015090C" w:rsidRDefault="0015090C" w:rsidP="0015090C">
      <w:pPr>
        <w:pStyle w:val="ListParagraph"/>
        <w:numPr>
          <w:ilvl w:val="0"/>
          <w:numId w:val="4"/>
        </w:numPr>
      </w:pPr>
      <w:r>
        <w:t>DVA’s outcomes-based key performance indicators</w:t>
      </w:r>
    </w:p>
    <w:p w:rsidR="0015090C" w:rsidRDefault="0015090C" w:rsidP="0015090C">
      <w:pPr>
        <w:pStyle w:val="ListParagraph"/>
        <w:numPr>
          <w:ilvl w:val="0"/>
          <w:numId w:val="4"/>
        </w:numPr>
      </w:pPr>
      <w:r>
        <w:t>DVA’s measures of good regulatory performance</w:t>
      </w:r>
      <w:r w:rsidR="00487022">
        <w:t>,</w:t>
      </w:r>
      <w:r>
        <w:t xml:space="preserve"> and</w:t>
      </w:r>
    </w:p>
    <w:p w:rsidR="0015090C" w:rsidRDefault="0015090C" w:rsidP="0015090C">
      <w:pPr>
        <w:pStyle w:val="ListParagraph"/>
        <w:numPr>
          <w:ilvl w:val="0"/>
          <w:numId w:val="4"/>
        </w:numPr>
      </w:pPr>
      <w:r>
        <w:t>DVA’s self-assessment methodology.</w:t>
      </w:r>
    </w:p>
    <w:p w:rsidR="0015090C" w:rsidRDefault="0015090C" w:rsidP="0015090C">
      <w:r w:rsidRPr="0052091F">
        <w:t>DVA developed a self-assessment methodology for the six KPIs and undertook stakeholder consultation on the proposed metrics by engaging with the ex-service</w:t>
      </w:r>
      <w:r w:rsidR="00A140FA">
        <w:t xml:space="preserve"> </w:t>
      </w:r>
      <w:r w:rsidRPr="0052091F">
        <w:t xml:space="preserve">community. On 26 June 2015, the </w:t>
      </w:r>
      <w:r w:rsidR="00305948">
        <w:t>then-</w:t>
      </w:r>
      <w:r w:rsidRPr="0052091F">
        <w:t>Minister for Veterans’ Affairs, Senator the Hon Michael Ronaldson</w:t>
      </w:r>
      <w:r w:rsidR="00602AD5">
        <w:t>,</w:t>
      </w:r>
      <w:r w:rsidRPr="0052091F">
        <w:t xml:space="preserve"> agreed to the KPIs and the use of the existing Ex-Service Organisation Round Table (ESORT) as the stakeholder mechanism for external validation of the self-assessment results. The KPIs are published on DVA’s website and are available at Appendix A.</w:t>
      </w:r>
      <w:r w:rsidR="00224E43" w:rsidRPr="00224E43">
        <w:t xml:space="preserve"> </w:t>
      </w:r>
      <w:r w:rsidR="00224E43" w:rsidRPr="0052091F">
        <w:t>The self-assessment report at Appendix B identifies the extent to which DVA is achieving the performance indicators in the Framework and highlight</w:t>
      </w:r>
      <w:r w:rsidR="00224E43">
        <w:t>s</w:t>
      </w:r>
      <w:r w:rsidR="00224E43" w:rsidRPr="0052091F">
        <w:t xml:space="preserve"> areas for improvement.</w:t>
      </w:r>
    </w:p>
    <w:p w:rsidR="002F0CD8" w:rsidRDefault="002F0CD8" w:rsidP="002F0CD8">
      <w:r w:rsidRPr="0044414B">
        <w:t xml:space="preserve">DVA is </w:t>
      </w:r>
      <w:r w:rsidR="003477DC" w:rsidRPr="0044414B">
        <w:t>co</w:t>
      </w:r>
      <w:r w:rsidR="003477DC">
        <w:t>nfident</w:t>
      </w:r>
      <w:r w:rsidR="003477DC" w:rsidRPr="0044414B">
        <w:t xml:space="preserve"> </w:t>
      </w:r>
      <w:r w:rsidRPr="0044414B">
        <w:t xml:space="preserve">that it is complying with the </w:t>
      </w:r>
      <w:r w:rsidR="009D5089">
        <w:t>Regulator Performance Framework</w:t>
      </w:r>
      <w:r w:rsidRPr="0044414B">
        <w:t xml:space="preserve">. </w:t>
      </w:r>
    </w:p>
    <w:p w:rsidR="00E43847" w:rsidRDefault="00E43847" w:rsidP="00E43847">
      <w:pPr>
        <w:pStyle w:val="Heading1"/>
      </w:pPr>
      <w:bookmarkStart w:id="4" w:name="_Toc464043322"/>
      <w:bookmarkStart w:id="5" w:name="_Toc464043462"/>
      <w:bookmarkStart w:id="6" w:name="_Toc465262921"/>
      <w:r>
        <w:t>Use of the Word ‘Anzac’ Regulations</w:t>
      </w:r>
      <w:bookmarkEnd w:id="4"/>
      <w:bookmarkEnd w:id="5"/>
      <w:bookmarkEnd w:id="6"/>
    </w:p>
    <w:p w:rsidR="00E43847" w:rsidRDefault="00D025C6" w:rsidP="00E43847">
      <w:pPr>
        <w:pStyle w:val="Heading2"/>
      </w:pPr>
      <w:bookmarkStart w:id="7" w:name="_Toc464043323"/>
      <w:bookmarkStart w:id="8" w:name="_Toc464043463"/>
      <w:bookmarkStart w:id="9" w:name="_Toc465262922"/>
      <w:r>
        <w:t xml:space="preserve">KPI 1: </w:t>
      </w:r>
      <w:r w:rsidR="00E43847">
        <w:t>Regulators do not unnecessarily impede the efficient operation of regulated entities</w:t>
      </w:r>
      <w:bookmarkEnd w:id="7"/>
      <w:bookmarkEnd w:id="8"/>
      <w:bookmarkEnd w:id="9"/>
    </w:p>
    <w:p w:rsidR="00E05061" w:rsidRDefault="00E05061" w:rsidP="00B436F5">
      <w:r>
        <w:t xml:space="preserve">DVA has kept detailed records of all applications to use the word ‘Anzac’ since late 2013. Those records </w:t>
      </w:r>
      <w:r w:rsidR="00B436F5">
        <w:t>are</w:t>
      </w:r>
      <w:r>
        <w:t xml:space="preserve"> deemed adequate to meet KPI 1. </w:t>
      </w:r>
      <w:r w:rsidR="00B436F5">
        <w:t>A</w:t>
      </w:r>
      <w:r>
        <w:t>ll complaints received and enforcement actions taken in relation to the Protection of Word ‘Anzac’ Regulations</w:t>
      </w:r>
      <w:r w:rsidR="00B436F5">
        <w:t xml:space="preserve"> are recorded.</w:t>
      </w:r>
      <w:r>
        <w:t xml:space="preserve"> </w:t>
      </w:r>
    </w:p>
    <w:p w:rsidR="00E05061" w:rsidRDefault="00E05061" w:rsidP="00E05061">
      <w:r>
        <w:lastRenderedPageBreak/>
        <w:t>DVA manages applications through a shared mailbox. The processing of applications is assigned to and generally requires no more than 0.25 FTE positions. Record-keeping comprises a large portion of the workload of the 0.25 FTE and is primarily done for reporting purposes, such as under the RPF.</w:t>
      </w:r>
    </w:p>
    <w:p w:rsidR="00E43847" w:rsidRDefault="00E05061" w:rsidP="00E05061">
      <w:r>
        <w:t>DVA does not keep detailed records of feedback received on the Regulations themselves.</w:t>
      </w:r>
    </w:p>
    <w:p w:rsidR="00091A4E" w:rsidRDefault="00E05061" w:rsidP="00D025C6">
      <w:r>
        <w:t xml:space="preserve">All applications and complaints regarding the </w:t>
      </w:r>
      <w:r w:rsidRPr="00E353B5">
        <w:t>protection of the word ‘Anz</w:t>
      </w:r>
      <w:r w:rsidR="00D025C6" w:rsidRPr="00E353B5">
        <w:t>ac’</w:t>
      </w:r>
      <w:r w:rsidR="00D025C6">
        <w:t xml:space="preserve"> were logged over the period. During this time,</w:t>
      </w:r>
      <w:r w:rsidR="000F230F">
        <w:t xml:space="preserve"> 74</w:t>
      </w:r>
      <w:r w:rsidR="00B436F5">
        <w:t xml:space="preserve"> </w:t>
      </w:r>
      <w:r w:rsidR="00D025C6">
        <w:t>a</w:t>
      </w:r>
      <w:r>
        <w:t>pplications</w:t>
      </w:r>
      <w:r w:rsidR="00D025C6">
        <w:t xml:space="preserve"> were received, of which </w:t>
      </w:r>
      <w:r w:rsidR="000F230F">
        <w:t>53</w:t>
      </w:r>
      <w:r w:rsidR="00B436F5">
        <w:t xml:space="preserve"> </w:t>
      </w:r>
      <w:r w:rsidR="00305948">
        <w:t xml:space="preserve">were </w:t>
      </w:r>
      <w:r w:rsidR="00890215">
        <w:t xml:space="preserve">approved, </w:t>
      </w:r>
      <w:r w:rsidR="00487022">
        <w:t>eight</w:t>
      </w:r>
      <w:r w:rsidR="00890215">
        <w:t xml:space="preserve"> </w:t>
      </w:r>
      <w:r w:rsidR="000F230F">
        <w:t xml:space="preserve">were </w:t>
      </w:r>
      <w:r w:rsidR="00890215">
        <w:t xml:space="preserve">declined and </w:t>
      </w:r>
      <w:r w:rsidR="000F230F">
        <w:t>13 did not require formal approval under the Guidelines</w:t>
      </w:r>
      <w:r w:rsidR="0043601F">
        <w:t>. There were</w:t>
      </w:r>
      <w:r w:rsidR="00D025C6">
        <w:t xml:space="preserve"> </w:t>
      </w:r>
      <w:r w:rsidR="000F230F">
        <w:t>51</w:t>
      </w:r>
      <w:r w:rsidR="00B436F5">
        <w:t xml:space="preserve"> </w:t>
      </w:r>
      <w:r w:rsidR="00D025C6">
        <w:t>complaints</w:t>
      </w:r>
      <w:r w:rsidR="0043601F">
        <w:t xml:space="preserve"> received about suspected misuse of the word ‘Anzac</w:t>
      </w:r>
      <w:r w:rsidR="008A618F">
        <w:t>’.</w:t>
      </w:r>
    </w:p>
    <w:p w:rsidR="00E05061" w:rsidRDefault="0043601F" w:rsidP="00E05061">
      <w:r>
        <w:t>G</w:t>
      </w:r>
      <w:r w:rsidR="00E05061" w:rsidRPr="00E05061">
        <w:t xml:space="preserve">eneral </w:t>
      </w:r>
      <w:r w:rsidR="00602AD5">
        <w:t>enquires</w:t>
      </w:r>
      <w:r w:rsidR="00602AD5" w:rsidRPr="00E05061">
        <w:t xml:space="preserve"> </w:t>
      </w:r>
      <w:r w:rsidR="00E05061" w:rsidRPr="00E05061">
        <w:t xml:space="preserve">received during the reporting period </w:t>
      </w:r>
      <w:r w:rsidR="009135E6">
        <w:t>were</w:t>
      </w:r>
      <w:r>
        <w:t xml:space="preserve"> not</w:t>
      </w:r>
      <w:r w:rsidR="00E05061" w:rsidRPr="00E05061">
        <w:t xml:space="preserve"> logged</w:t>
      </w:r>
      <w:r w:rsidR="008A618F">
        <w:t>.</w:t>
      </w:r>
      <w:r w:rsidR="00E05061" w:rsidRPr="00E05061">
        <w:t xml:space="preserve"> DVA often receives simple queries that can be answered over the phone, or through simple email responses</w:t>
      </w:r>
      <w:r w:rsidR="00305948">
        <w:t>;</w:t>
      </w:r>
      <w:r w:rsidR="008A618F">
        <w:t xml:space="preserve"> t</w:t>
      </w:r>
      <w:r w:rsidR="00E05061" w:rsidRPr="00E05061">
        <w:t xml:space="preserve">hese generally reiterate information available on the website or in the Guidelines. </w:t>
      </w:r>
    </w:p>
    <w:p w:rsidR="00D025C6" w:rsidRDefault="00D025C6" w:rsidP="00D941FD">
      <w:bookmarkStart w:id="10" w:name="_Toc464043324"/>
      <w:bookmarkStart w:id="11" w:name="_Toc464043464"/>
    </w:p>
    <w:p w:rsidR="00E43847" w:rsidRDefault="00D025C6" w:rsidP="00E43847">
      <w:pPr>
        <w:pStyle w:val="Heading2"/>
      </w:pPr>
      <w:bookmarkStart w:id="12" w:name="_Toc465262923"/>
      <w:r>
        <w:t xml:space="preserve">KPI 2: </w:t>
      </w:r>
      <w:r w:rsidR="00E43847" w:rsidRPr="00E43847">
        <w:t>Communications with regulated entities are clear, targeted and effective</w:t>
      </w:r>
      <w:bookmarkEnd w:id="10"/>
      <w:bookmarkEnd w:id="11"/>
      <w:bookmarkEnd w:id="12"/>
    </w:p>
    <w:p w:rsidR="008A618F" w:rsidRDefault="00E05061" w:rsidP="0044414B">
      <w:r>
        <w:t>Guidelines</w:t>
      </w:r>
      <w:r w:rsidR="0052091F">
        <w:t xml:space="preserve"> setting out the rules governing the use of the word ‘Anzac’ are available </w:t>
      </w:r>
      <w:r w:rsidR="00D025C6">
        <w:t xml:space="preserve">on </w:t>
      </w:r>
      <w:r w:rsidR="0052091F">
        <w:t xml:space="preserve">the </w:t>
      </w:r>
      <w:r>
        <w:t>DVA website.</w:t>
      </w:r>
      <w:r w:rsidR="00D025C6">
        <w:t xml:space="preserve"> DVA’s w</w:t>
      </w:r>
      <w:r>
        <w:t xml:space="preserve">ebsite and </w:t>
      </w:r>
      <w:r w:rsidR="00D025C6">
        <w:t xml:space="preserve">the </w:t>
      </w:r>
      <w:r>
        <w:t>Guidelines are 100 per cent compliant with government accessibility guidelines.</w:t>
      </w:r>
      <w:r w:rsidR="00D025C6">
        <w:t xml:space="preserve"> </w:t>
      </w:r>
      <w:r w:rsidR="00D3628D">
        <w:t xml:space="preserve">The Guidelines </w:t>
      </w:r>
      <w:r w:rsidR="00ED13ED">
        <w:t>have codified several protocols associated with use of the word ‘Anzac’ and assist in meeting</w:t>
      </w:r>
      <w:r w:rsidR="00D3628D">
        <w:t xml:space="preserve"> the requirements of KPI 2</w:t>
      </w:r>
      <w:r w:rsidR="00ED13ED">
        <w:t>.</w:t>
      </w:r>
      <w:r w:rsidR="00A140FA">
        <w:t xml:space="preserve"> </w:t>
      </w:r>
      <w:r>
        <w:t>This includes the exception of Memorials from the Protection of Word ‘Anzac’ Regulations, specific exceptions relating to books published by non-professional authors and the naming conventions associated with Anzac Biscuits.</w:t>
      </w:r>
      <w:r w:rsidR="006B37E7">
        <w:t xml:space="preserve"> </w:t>
      </w:r>
    </w:p>
    <w:p w:rsidR="00E05061" w:rsidRDefault="008A618F" w:rsidP="00E05061">
      <w:r>
        <w:t xml:space="preserve">The publication of the </w:t>
      </w:r>
      <w:r w:rsidR="00D3628D">
        <w:t>Guidelines</w:t>
      </w:r>
      <w:r w:rsidR="001733F3">
        <w:t xml:space="preserve"> </w:t>
      </w:r>
      <w:r>
        <w:t xml:space="preserve">on the DVA website eliminated a significant workload associated with answering general </w:t>
      </w:r>
      <w:r w:rsidR="00602AD5">
        <w:t>enquiries</w:t>
      </w:r>
      <w:r>
        <w:t xml:space="preserve"> </w:t>
      </w:r>
      <w:r w:rsidR="001733F3">
        <w:t xml:space="preserve">on use of the word </w:t>
      </w:r>
      <w:r w:rsidR="00602AD5">
        <w:t>‘</w:t>
      </w:r>
      <w:r w:rsidR="001733F3">
        <w:t>Anzac</w:t>
      </w:r>
      <w:r w:rsidR="00602AD5">
        <w:t>’</w:t>
      </w:r>
      <w:r>
        <w:t>.</w:t>
      </w:r>
      <w:r w:rsidR="00D3628D">
        <w:t xml:space="preserve"> </w:t>
      </w:r>
      <w:r w:rsidR="00E05061">
        <w:t xml:space="preserve">DVA does not record detailed information </w:t>
      </w:r>
      <w:r>
        <w:t xml:space="preserve">on </w:t>
      </w:r>
      <w:r w:rsidR="00E05061">
        <w:t xml:space="preserve">decision-making times. Rather, the time between an applicant’s first contact with DVA and a response is recorded. Clarification is often required of an initial enquiry and it is often some time before an application is made in terms </w:t>
      </w:r>
      <w:r w:rsidR="00602AD5">
        <w:t xml:space="preserve">that </w:t>
      </w:r>
      <w:r w:rsidR="00E05061">
        <w:t>a decision-maker is able to assess. No feedback has been recorded regarding the timeliness of decisions.</w:t>
      </w:r>
    </w:p>
    <w:p w:rsidR="00D025C6" w:rsidRDefault="00D025C6" w:rsidP="00D941FD">
      <w:bookmarkStart w:id="13" w:name="_Toc464043325"/>
      <w:bookmarkStart w:id="14" w:name="_Toc464043465"/>
    </w:p>
    <w:p w:rsidR="00E43847" w:rsidRPr="00E43847" w:rsidRDefault="00D025C6" w:rsidP="00E43847">
      <w:pPr>
        <w:pStyle w:val="Heading2"/>
      </w:pPr>
      <w:bookmarkStart w:id="15" w:name="_Toc465262924"/>
      <w:r>
        <w:t xml:space="preserve">KPI 3: </w:t>
      </w:r>
      <w:r w:rsidR="00E43847" w:rsidRPr="00E43847">
        <w:t>Actions undertaken by regulators are proportionate to the regulatory risk being managed</w:t>
      </w:r>
      <w:bookmarkEnd w:id="13"/>
      <w:bookmarkEnd w:id="14"/>
      <w:bookmarkEnd w:id="15"/>
    </w:p>
    <w:p w:rsidR="00D025C6" w:rsidRDefault="00D025C6" w:rsidP="00D025C6">
      <w:r>
        <w:t xml:space="preserve">Risk associated with the Protection of Word ‘Anzac’ Regulations is low. All decisions on applications are made by the Minister for Veterans’ Affairs or by a senior officer of DVA to whom the Minister has delegated the authority to make routine decisions. Recommendations regarding decisions are based on precedent. As a result, there are limited risk management actions that need to be taken around applications to use the word ‘Anzac’. </w:t>
      </w:r>
    </w:p>
    <w:p w:rsidR="00E05061" w:rsidRDefault="00E05061" w:rsidP="00E05061">
      <w:r>
        <w:t xml:space="preserve">As the rules </w:t>
      </w:r>
      <w:r w:rsidR="00FD6999">
        <w:t>associated</w:t>
      </w:r>
      <w:r>
        <w:t xml:space="preserve"> </w:t>
      </w:r>
      <w:r w:rsidR="00602AD5">
        <w:t xml:space="preserve">with </w:t>
      </w:r>
      <w:r>
        <w:t xml:space="preserve">the word ‘Anzac’ are not well known, there exists a risk of businesses and members of the public misusing the word ‘Anzac’ unintentionally. This happens multiple times each year, with a significant increase around Anzac Day and Remembrance Day. The Guidelines outline what penalties are associated with misusing the word ‘Anzac’. During the reporting period, DVA took </w:t>
      </w:r>
      <w:r w:rsidR="000F230F">
        <w:t>15</w:t>
      </w:r>
      <w:r w:rsidR="005321CC">
        <w:t xml:space="preserve"> </w:t>
      </w:r>
      <w:r>
        <w:t>enforcement actions, which involved DVA staff contacting offending parties, noting the rules around the word ‘Anzac’ and the penalties for misuse. In all but a few cases during the reporting period, offending parties were quick to note their ignorance of the Regulations and remove the offending content.</w:t>
      </w:r>
    </w:p>
    <w:p w:rsidR="00E05061" w:rsidRDefault="00E05061" w:rsidP="00E05061">
      <w:r>
        <w:t xml:space="preserve">No legal action was required or taken during the reporting period. Indeed, departmental records show that </w:t>
      </w:r>
      <w:r w:rsidR="00747628">
        <w:t xml:space="preserve">prosecution </w:t>
      </w:r>
      <w:r>
        <w:t>action to enforce the Regulations is a rare occurrence.</w:t>
      </w:r>
    </w:p>
    <w:p w:rsidR="00E05061" w:rsidRDefault="007C039F" w:rsidP="00E05061">
      <w:r>
        <w:t>G</w:t>
      </w:r>
      <w:r w:rsidR="00E05061" w:rsidRPr="00E05061">
        <w:t>overnance arrangements</w:t>
      </w:r>
      <w:r>
        <w:t xml:space="preserve"> and sanctions</w:t>
      </w:r>
      <w:r w:rsidR="00E05061" w:rsidRPr="00E05061">
        <w:t xml:space="preserve"> </w:t>
      </w:r>
      <w:r>
        <w:t xml:space="preserve">associated with the </w:t>
      </w:r>
      <w:r w:rsidR="00E05061" w:rsidRPr="00E05061">
        <w:t>use</w:t>
      </w:r>
      <w:r w:rsidR="00747628">
        <w:t xml:space="preserve"> of</w:t>
      </w:r>
      <w:r w:rsidR="00E05061" w:rsidRPr="00E05061">
        <w:t xml:space="preserve"> the word ‘Anzac’ are</w:t>
      </w:r>
      <w:r>
        <w:t xml:space="preserve"> outlined in the Guidelines,</w:t>
      </w:r>
      <w:r w:rsidR="00E05061" w:rsidRPr="00E05061">
        <w:t xml:space="preserve"> provid</w:t>
      </w:r>
      <w:r>
        <w:t>ing</w:t>
      </w:r>
      <w:r w:rsidR="00E05061" w:rsidRPr="00E05061">
        <w:t xml:space="preserve"> adequate information to potential applicants and those already complying with the Regulations</w:t>
      </w:r>
      <w:r>
        <w:t>.</w:t>
      </w:r>
    </w:p>
    <w:p w:rsidR="00D025C6" w:rsidRPr="00E43847" w:rsidRDefault="00D025C6" w:rsidP="00E05061"/>
    <w:p w:rsidR="00E43847" w:rsidRDefault="00B33A0B" w:rsidP="00E43847">
      <w:pPr>
        <w:pStyle w:val="Heading2"/>
      </w:pPr>
      <w:bookmarkStart w:id="16" w:name="_Toc464043326"/>
      <w:bookmarkStart w:id="17" w:name="_Toc464043466"/>
      <w:bookmarkStart w:id="18" w:name="_Toc465262925"/>
      <w:r>
        <w:t xml:space="preserve">KPI 4: </w:t>
      </w:r>
      <w:r w:rsidR="00E43847" w:rsidRPr="00E43847">
        <w:t>Compliance and monitoring approaches are streamlined and coordinated</w:t>
      </w:r>
      <w:bookmarkEnd w:id="16"/>
      <w:bookmarkEnd w:id="17"/>
      <w:bookmarkEnd w:id="18"/>
    </w:p>
    <w:p w:rsidR="00FD6999" w:rsidRDefault="00E05061" w:rsidP="0044414B">
      <w:r>
        <w:t xml:space="preserve">DVA maintains a good relationship </w:t>
      </w:r>
      <w:r w:rsidR="00FD6999">
        <w:t xml:space="preserve">and regularly shares information </w:t>
      </w:r>
      <w:r>
        <w:t xml:space="preserve">with the Army Brand Manager’s (ABM) Office. This is because the imagery controlled by the ABM (the Rising Sun Badge and other </w:t>
      </w:r>
      <w:r w:rsidR="00B65A4F">
        <w:t>Army</w:t>
      </w:r>
      <w:r>
        <w:t xml:space="preserve"> Logos) will often be used alongside the word ‘Anzac’, especially by unauthorised </w:t>
      </w:r>
      <w:r w:rsidR="001733F3">
        <w:t>people</w:t>
      </w:r>
      <w:r>
        <w:t xml:space="preserve">. </w:t>
      </w:r>
    </w:p>
    <w:p w:rsidR="00FD6999" w:rsidRDefault="00E05061" w:rsidP="0044414B">
      <w:r>
        <w:t xml:space="preserve">DVA </w:t>
      </w:r>
      <w:r w:rsidR="009135E6">
        <w:t>does</w:t>
      </w:r>
      <w:r w:rsidR="009B28F1">
        <w:t xml:space="preserve"> provide</w:t>
      </w:r>
      <w:r>
        <w:t xml:space="preserve"> autonomy </w:t>
      </w:r>
      <w:r w:rsidR="009B28F1">
        <w:t xml:space="preserve">to organisations </w:t>
      </w:r>
      <w:r w:rsidR="009135E6">
        <w:t>to</w:t>
      </w:r>
      <w:r w:rsidR="009B28F1">
        <w:t xml:space="preserve"> use the word ‘Anzac’ where they are able to demonstrate </w:t>
      </w:r>
      <w:r w:rsidR="009135E6">
        <w:t xml:space="preserve">that they have </w:t>
      </w:r>
      <w:r w:rsidR="009B28F1">
        <w:t>adequate controls to ensure that its use is strictly in accordance with the Regulations</w:t>
      </w:r>
      <w:r>
        <w:t xml:space="preserve">. </w:t>
      </w:r>
      <w:r w:rsidR="009B28F1">
        <w:t>To date t</w:t>
      </w:r>
      <w:r w:rsidR="00C56A7D">
        <w:t xml:space="preserve">hree organisations </w:t>
      </w:r>
      <w:r w:rsidR="009B28F1">
        <w:t>have been granted</w:t>
      </w:r>
      <w:r w:rsidR="00C56A7D">
        <w:t xml:space="preserve"> autonomy to use the word ‘Anzac’ as follows: </w:t>
      </w:r>
    </w:p>
    <w:p w:rsidR="00B33A0B" w:rsidRDefault="00E05061" w:rsidP="0044414B">
      <w:pPr>
        <w:pStyle w:val="ListParagraph"/>
        <w:numPr>
          <w:ilvl w:val="0"/>
          <w:numId w:val="17"/>
        </w:numPr>
        <w:spacing w:after="0"/>
        <w:ind w:left="709"/>
      </w:pPr>
      <w:r>
        <w:t xml:space="preserve">State and Territory Governments were given broad permission to use the phrase ‘Anzac Centenary’ in connection with commemorative events until </w:t>
      </w:r>
      <w:r w:rsidR="009B28F1">
        <w:t xml:space="preserve">the end of </w:t>
      </w:r>
      <w:r>
        <w:t>2018. This allowed any official Anzac Centenary events to proceed unhindered by the need to seek approval to use the word ‘Anzac’.</w:t>
      </w:r>
    </w:p>
    <w:p w:rsidR="00FD6999" w:rsidRDefault="00FD6999" w:rsidP="0044414B">
      <w:pPr>
        <w:pStyle w:val="ListParagraph"/>
        <w:spacing w:after="0"/>
        <w:ind w:left="709"/>
      </w:pPr>
    </w:p>
    <w:p w:rsidR="00E05061" w:rsidRDefault="00E05061" w:rsidP="0044414B">
      <w:pPr>
        <w:pStyle w:val="ListParagraph"/>
        <w:numPr>
          <w:ilvl w:val="0"/>
          <w:numId w:val="17"/>
        </w:numPr>
        <w:spacing w:after="0"/>
      </w:pPr>
      <w:r>
        <w:t>The RSL received broad permission to use the word ‘Anzac’ in connection with the ‘Anzac Appeal’, an annual fundraising event. This allows the RSL to handle standard Anzac Appeal business without the hindrance of seeking permission to use the word ‘Anzac’ for any new promotions or merchandise.</w:t>
      </w:r>
    </w:p>
    <w:p w:rsidR="00FD6999" w:rsidRDefault="00FD6999" w:rsidP="0044414B">
      <w:pPr>
        <w:pStyle w:val="ListParagraph"/>
      </w:pPr>
    </w:p>
    <w:p w:rsidR="00C56A7D" w:rsidRDefault="00C56A7D" w:rsidP="0044414B">
      <w:pPr>
        <w:pStyle w:val="ListParagraph"/>
        <w:numPr>
          <w:ilvl w:val="0"/>
          <w:numId w:val="17"/>
        </w:numPr>
        <w:spacing w:after="0"/>
        <w:ind w:left="709"/>
      </w:pPr>
      <w:r w:rsidRPr="000F230F">
        <w:t xml:space="preserve">The Modern Baking Company (MBC) received permission to use the word ‘Anzac’ on </w:t>
      </w:r>
      <w:r w:rsidR="00487022">
        <w:t>its</w:t>
      </w:r>
      <w:r w:rsidRPr="000F230F">
        <w:t xml:space="preserve"> limited edition Anzac Biscuit tins until 2018.</w:t>
      </w:r>
      <w:r>
        <w:t xml:space="preserve"> </w:t>
      </w:r>
      <w:r w:rsidR="0053444A">
        <w:t>MBC was sold to Embassy Baking during 2017-18 and a new permit was issued under the same conditions. While this nominally removes</w:t>
      </w:r>
      <w:r>
        <w:t xml:space="preserve"> the requirement to seek permission for the tins each year, </w:t>
      </w:r>
      <w:r w:rsidR="000F230F">
        <w:t>Embassy Baking is still required to seek</w:t>
      </w:r>
      <w:r>
        <w:t xml:space="preserve"> DVA’s clearance o</w:t>
      </w:r>
      <w:r w:rsidR="0053444A">
        <w:t>f</w:t>
      </w:r>
      <w:r>
        <w:t xml:space="preserve"> tin designs, so </w:t>
      </w:r>
      <w:r w:rsidR="0053444A">
        <w:t>Embassy</w:t>
      </w:r>
      <w:r>
        <w:t xml:space="preserve"> does not have complete autonomy.</w:t>
      </w:r>
    </w:p>
    <w:p w:rsidR="00C56A7D" w:rsidRDefault="00C56A7D" w:rsidP="0044414B">
      <w:pPr>
        <w:pStyle w:val="ListParagraph"/>
      </w:pPr>
    </w:p>
    <w:p w:rsidR="00E05061" w:rsidRDefault="00E05061" w:rsidP="00E05061">
      <w:r>
        <w:t>It should be noted that since MBC</w:t>
      </w:r>
      <w:r w:rsidR="0053444A">
        <w:t>/Embassy</w:t>
      </w:r>
      <w:r>
        <w:t xml:space="preserve"> received a broader permit, the company has been increasingly interested in expanding </w:t>
      </w:r>
      <w:r w:rsidR="00487022">
        <w:t>its</w:t>
      </w:r>
      <w:r>
        <w:t xml:space="preserve"> range, including products that have not been approved, such as chocolate Anzac biscuits. This example highlights the difficulties involved with granting autonomy to private sector entities under this unique piece of legislation.</w:t>
      </w:r>
    </w:p>
    <w:p w:rsidR="00E05061" w:rsidRDefault="00FD6999" w:rsidP="00E05061">
      <w:r>
        <w:t>Careful</w:t>
      </w:r>
      <w:r w:rsidR="009B28F1">
        <w:t xml:space="preserve"> consideration</w:t>
      </w:r>
      <w:r>
        <w:t xml:space="preserve"> is therefore necessary before granting </w:t>
      </w:r>
      <w:r w:rsidR="00E05061">
        <w:t xml:space="preserve">autonomy </w:t>
      </w:r>
      <w:r>
        <w:t xml:space="preserve">for use of the </w:t>
      </w:r>
      <w:r w:rsidR="00E05061">
        <w:t>word ‘Anzac’. The RSL’s autonomy is limited to a single promotional campaign and logo, and the State/Territory Governments can only use a specific phrase.</w:t>
      </w:r>
    </w:p>
    <w:p w:rsidR="00E05061" w:rsidRDefault="00E05061" w:rsidP="00E05061">
      <w:r w:rsidRPr="00E05061">
        <w:t xml:space="preserve">DVA will </w:t>
      </w:r>
      <w:r w:rsidR="008A6C8B">
        <w:t xml:space="preserve">continue to </w:t>
      </w:r>
      <w:r w:rsidRPr="00E05061">
        <w:t>carefully consider what limitations will need to be imposed on any organisation granted broad permission to use the word ‘Anzac’.</w:t>
      </w:r>
    </w:p>
    <w:p w:rsidR="00B33A0B" w:rsidRDefault="00B33A0B" w:rsidP="00D941FD">
      <w:bookmarkStart w:id="19" w:name="_Toc464043327"/>
      <w:bookmarkStart w:id="20" w:name="_Toc464043467"/>
    </w:p>
    <w:p w:rsidR="00E43847" w:rsidRPr="00E43847" w:rsidRDefault="00B33A0B" w:rsidP="00E43847">
      <w:pPr>
        <w:pStyle w:val="Heading2"/>
      </w:pPr>
      <w:bookmarkStart w:id="21" w:name="_Toc465262926"/>
      <w:r>
        <w:t xml:space="preserve">KPI5: </w:t>
      </w:r>
      <w:r w:rsidR="00E43847" w:rsidRPr="00E43847">
        <w:t>Regulators are open and transparent in their dealings with regulated entities</w:t>
      </w:r>
      <w:bookmarkEnd w:id="19"/>
      <w:bookmarkEnd w:id="20"/>
      <w:bookmarkEnd w:id="21"/>
    </w:p>
    <w:p w:rsidR="00E05061" w:rsidRDefault="00E05061" w:rsidP="002F1438">
      <w:r w:rsidRPr="00E05061">
        <w:t xml:space="preserve">DVA’s enforcement strategy is </w:t>
      </w:r>
      <w:r w:rsidR="00FD6999">
        <w:t>outlined</w:t>
      </w:r>
      <w:r w:rsidR="00FD6999" w:rsidRPr="00E05061">
        <w:t xml:space="preserve"> </w:t>
      </w:r>
      <w:r w:rsidRPr="00E05061">
        <w:t xml:space="preserve">in the Guidelines, which are publicly available. While the Guidelines do not include information on the number of applications approved, these </w:t>
      </w:r>
      <w:r w:rsidR="008A6C8B">
        <w:t>details</w:t>
      </w:r>
      <w:r w:rsidR="008A6C8B" w:rsidRPr="00E05061">
        <w:t xml:space="preserve"> </w:t>
      </w:r>
      <w:r w:rsidRPr="00E05061">
        <w:t xml:space="preserve">are </w:t>
      </w:r>
      <w:r w:rsidR="008A6C8B">
        <w:t>maintained</w:t>
      </w:r>
      <w:r w:rsidRPr="00E05061">
        <w:t xml:space="preserve"> as part of the RPF</w:t>
      </w:r>
      <w:r w:rsidR="008A6C8B">
        <w:t>.</w:t>
      </w:r>
    </w:p>
    <w:p w:rsidR="00FD6999" w:rsidRDefault="008A6C8B" w:rsidP="00E05061">
      <w:r>
        <w:t>DVA ha</w:t>
      </w:r>
      <w:r w:rsidR="00FD6999">
        <w:t>s</w:t>
      </w:r>
      <w:r>
        <w:t xml:space="preserve"> not received any direct feedback on the Guidelines. It can be assumed that</w:t>
      </w:r>
      <w:r w:rsidR="00E31E90">
        <w:t>,</w:t>
      </w:r>
      <w:r>
        <w:t xml:space="preserve"> based on the quality of the application</w:t>
      </w:r>
      <w:r w:rsidR="00E31E90">
        <w:t>s</w:t>
      </w:r>
      <w:r>
        <w:t xml:space="preserve"> submitted,</w:t>
      </w:r>
      <w:r w:rsidR="00E31E90">
        <w:t xml:space="preserve"> </w:t>
      </w:r>
      <w:r>
        <w:t xml:space="preserve">the Guidelines are helpful to regulated entities. </w:t>
      </w:r>
    </w:p>
    <w:p w:rsidR="00E05061" w:rsidRPr="00E43847" w:rsidRDefault="00E05061" w:rsidP="00E05061"/>
    <w:p w:rsidR="00E43847" w:rsidRPr="00E43847" w:rsidRDefault="00B33A0B" w:rsidP="00E43847">
      <w:pPr>
        <w:pStyle w:val="Heading2"/>
      </w:pPr>
      <w:bookmarkStart w:id="22" w:name="_Toc464043328"/>
      <w:bookmarkStart w:id="23" w:name="_Toc464043468"/>
      <w:bookmarkStart w:id="24" w:name="_Toc465262927"/>
      <w:r>
        <w:t xml:space="preserve">KPI 6: </w:t>
      </w:r>
      <w:r w:rsidR="00E43847" w:rsidRPr="00E43847">
        <w:t>Regulators actively contribute to the continuous improvement of regulatory frameworks</w:t>
      </w:r>
      <w:bookmarkEnd w:id="22"/>
      <w:bookmarkEnd w:id="23"/>
      <w:bookmarkEnd w:id="24"/>
    </w:p>
    <w:p w:rsidR="002F0CD8" w:rsidRDefault="00E05061" w:rsidP="00E43847">
      <w:r w:rsidRPr="00E05061">
        <w:t xml:space="preserve">Feedback mechanisms, including how to </w:t>
      </w:r>
      <w:r w:rsidR="008A6C8B">
        <w:t>appeal</w:t>
      </w:r>
      <w:r w:rsidRPr="00E05061">
        <w:t xml:space="preserve"> a decision, are available in the </w:t>
      </w:r>
      <w:r w:rsidR="00FD6999">
        <w:t>G</w:t>
      </w:r>
      <w:r w:rsidRPr="00E05061">
        <w:t xml:space="preserve">uidelines. Additionally, statistics on the protection of the </w:t>
      </w:r>
      <w:r w:rsidR="00E31E90">
        <w:t>w</w:t>
      </w:r>
      <w:r w:rsidRPr="00E05061">
        <w:t xml:space="preserve">ord ‘Anzac’ are available through the Use of the </w:t>
      </w:r>
      <w:r w:rsidR="00E31E90">
        <w:t>W</w:t>
      </w:r>
      <w:r w:rsidRPr="00E05061">
        <w:t xml:space="preserve">ord ‘Anzac’ Application and Permit Register. As the same section in DVA handles the regulation and policies </w:t>
      </w:r>
      <w:r w:rsidR="008A6C8B" w:rsidRPr="00E05061">
        <w:t>associat</w:t>
      </w:r>
      <w:r w:rsidR="008A6C8B">
        <w:t>ed</w:t>
      </w:r>
      <w:r w:rsidR="008A6C8B" w:rsidRPr="00E05061">
        <w:t xml:space="preserve"> </w:t>
      </w:r>
      <w:r w:rsidRPr="00E05061">
        <w:t>with the word ‘Anzac’, all information is shared.</w:t>
      </w:r>
      <w:r w:rsidR="00E31E90">
        <w:t xml:space="preserve"> Documented p</w:t>
      </w:r>
      <w:r w:rsidR="00FD6999">
        <w:t>roce</w:t>
      </w:r>
      <w:r w:rsidR="00E31E90">
        <w:t>dures and</w:t>
      </w:r>
      <w:r w:rsidR="00FD6999">
        <w:t xml:space="preserve"> </w:t>
      </w:r>
      <w:r w:rsidR="009135E6">
        <w:t xml:space="preserve">use of </w:t>
      </w:r>
      <w:r w:rsidR="00FD6999">
        <w:t>templates</w:t>
      </w:r>
      <w:r w:rsidR="00E31E90">
        <w:t xml:space="preserve"> assist in ensuring </w:t>
      </w:r>
      <w:r w:rsidR="002E1037">
        <w:t xml:space="preserve">clarity, consistency and </w:t>
      </w:r>
      <w:r w:rsidRPr="00E05061">
        <w:t>continuity</w:t>
      </w:r>
      <w:r w:rsidR="002E1037">
        <w:t xml:space="preserve"> in how applications for the use of the word ‘Anzac’ are processed</w:t>
      </w:r>
      <w:r w:rsidRPr="00E05061">
        <w:t>.</w:t>
      </w:r>
    </w:p>
    <w:p w:rsidR="00B33A0B" w:rsidRDefault="00B33A0B">
      <w:pPr>
        <w:rPr>
          <w:rFonts w:asciiTheme="majorHAnsi" w:eastAsiaTheme="majorEastAsia" w:hAnsiTheme="majorHAnsi" w:cstheme="majorBidi"/>
          <w:color w:val="2E74B5" w:themeColor="accent1" w:themeShade="BF"/>
          <w:sz w:val="32"/>
          <w:szCs w:val="32"/>
        </w:rPr>
      </w:pPr>
      <w:bookmarkStart w:id="25" w:name="_Toc464043329"/>
      <w:bookmarkStart w:id="26" w:name="_Toc464043469"/>
      <w:r>
        <w:br w:type="page"/>
      </w:r>
    </w:p>
    <w:p w:rsidR="0012517C" w:rsidRDefault="0012517C" w:rsidP="00E43847">
      <w:pPr>
        <w:pStyle w:val="Heading1"/>
      </w:pPr>
      <w:bookmarkStart w:id="27" w:name="_Toc465262928"/>
      <w:r>
        <w:t>Appendix A: Key performance indicators</w:t>
      </w:r>
      <w:bookmarkEnd w:id="27"/>
    </w:p>
    <w:tbl>
      <w:tblPr>
        <w:tblStyle w:val="TableGrid"/>
        <w:tblW w:w="5000" w:type="pct"/>
        <w:tblLook w:val="04A0" w:firstRow="1" w:lastRow="0" w:firstColumn="1" w:lastColumn="0" w:noHBand="0" w:noVBand="1"/>
      </w:tblPr>
      <w:tblGrid>
        <w:gridCol w:w="1837"/>
        <w:gridCol w:w="2393"/>
        <w:gridCol w:w="2393"/>
        <w:gridCol w:w="2393"/>
      </w:tblGrid>
      <w:tr w:rsidR="0012517C" w:rsidRPr="00D44AAF" w:rsidTr="00797AE5">
        <w:trPr>
          <w:cantSplit/>
          <w:tblHeader/>
        </w:trPr>
        <w:tc>
          <w:tcPr>
            <w:tcW w:w="1019" w:type="pct"/>
            <w:shd w:val="clear" w:color="auto" w:fill="D9D9D9" w:themeFill="background1" w:themeFillShade="D9"/>
          </w:tcPr>
          <w:p w:rsidR="0012517C" w:rsidRPr="0012517C" w:rsidRDefault="0012517C" w:rsidP="0012517C">
            <w:pPr>
              <w:jc w:val="center"/>
              <w:rPr>
                <w:b/>
                <w:sz w:val="18"/>
                <w:szCs w:val="18"/>
              </w:rPr>
            </w:pPr>
            <w:r>
              <w:rPr>
                <w:b/>
                <w:sz w:val="18"/>
                <w:szCs w:val="18"/>
              </w:rPr>
              <w:t>Key Performance Indicator</w:t>
            </w:r>
          </w:p>
        </w:tc>
        <w:tc>
          <w:tcPr>
            <w:tcW w:w="1327" w:type="pct"/>
            <w:shd w:val="clear" w:color="auto" w:fill="D9D9D9" w:themeFill="background1" w:themeFillShade="D9"/>
          </w:tcPr>
          <w:p w:rsidR="0012517C" w:rsidRPr="0012517C" w:rsidRDefault="0012517C" w:rsidP="0012517C">
            <w:pPr>
              <w:jc w:val="center"/>
              <w:rPr>
                <w:b/>
                <w:sz w:val="18"/>
                <w:szCs w:val="18"/>
              </w:rPr>
            </w:pPr>
            <w:r w:rsidRPr="0012517C">
              <w:rPr>
                <w:b/>
                <w:sz w:val="18"/>
                <w:szCs w:val="18"/>
              </w:rPr>
              <w:t>Measure</w:t>
            </w:r>
          </w:p>
          <w:p w:rsidR="0012517C" w:rsidRPr="0012517C" w:rsidRDefault="0012517C" w:rsidP="00583965">
            <w:pPr>
              <w:ind w:left="360"/>
              <w:jc w:val="center"/>
              <w:rPr>
                <w:b/>
                <w:i/>
                <w:sz w:val="18"/>
                <w:szCs w:val="18"/>
              </w:rPr>
            </w:pPr>
          </w:p>
        </w:tc>
        <w:tc>
          <w:tcPr>
            <w:tcW w:w="1327" w:type="pct"/>
            <w:shd w:val="clear" w:color="auto" w:fill="D9D9D9" w:themeFill="background1" w:themeFillShade="D9"/>
          </w:tcPr>
          <w:p w:rsidR="0012517C" w:rsidRPr="0012517C" w:rsidRDefault="0012517C" w:rsidP="0012517C">
            <w:pPr>
              <w:jc w:val="center"/>
              <w:rPr>
                <w:b/>
                <w:sz w:val="18"/>
                <w:szCs w:val="18"/>
              </w:rPr>
            </w:pPr>
            <w:r w:rsidRPr="0012517C">
              <w:rPr>
                <w:b/>
                <w:sz w:val="18"/>
                <w:szCs w:val="18"/>
              </w:rPr>
              <w:t>Output/activity-based evidence</w:t>
            </w:r>
          </w:p>
        </w:tc>
        <w:tc>
          <w:tcPr>
            <w:tcW w:w="1327" w:type="pct"/>
            <w:shd w:val="clear" w:color="auto" w:fill="D9D9D9" w:themeFill="background1" w:themeFillShade="D9"/>
          </w:tcPr>
          <w:p w:rsidR="0012517C" w:rsidRPr="0012517C" w:rsidRDefault="0012517C" w:rsidP="00DA6E9C">
            <w:pPr>
              <w:jc w:val="center"/>
              <w:rPr>
                <w:b/>
                <w:sz w:val="18"/>
                <w:szCs w:val="18"/>
              </w:rPr>
            </w:pPr>
            <w:r w:rsidRPr="0012517C">
              <w:rPr>
                <w:b/>
                <w:sz w:val="18"/>
                <w:szCs w:val="18"/>
              </w:rPr>
              <w:t xml:space="preserve">Self-assessment </w:t>
            </w:r>
          </w:p>
        </w:tc>
      </w:tr>
      <w:tr w:rsidR="0012517C" w:rsidRPr="00D44AAF" w:rsidTr="00797AE5">
        <w:trPr>
          <w:cantSplit/>
          <w:trHeight w:val="2064"/>
        </w:trPr>
        <w:tc>
          <w:tcPr>
            <w:tcW w:w="1019" w:type="pct"/>
          </w:tcPr>
          <w:p w:rsidR="0012517C" w:rsidRPr="0012517C" w:rsidRDefault="0012517C" w:rsidP="00797AE5">
            <w:pPr>
              <w:pStyle w:val="bullets"/>
              <w:spacing w:after="120" w:line="240" w:lineRule="auto"/>
              <w:ind w:left="0" w:firstLine="0"/>
              <w:rPr>
                <w:rFonts w:asciiTheme="minorHAnsi" w:hAnsiTheme="minorHAnsi" w:cs="Times New Roman"/>
                <w:sz w:val="18"/>
                <w:szCs w:val="18"/>
              </w:rPr>
            </w:pPr>
            <w:r w:rsidRPr="0012517C">
              <w:rPr>
                <w:rFonts w:asciiTheme="minorHAnsi" w:hAnsiTheme="minorHAnsi" w:cs="Times New Roman"/>
                <w:b/>
                <w:sz w:val="18"/>
                <w:szCs w:val="18"/>
                <w:lang w:val="en-AU"/>
              </w:rPr>
              <w:t>KPI 1 – Regulators do not unnecessarily impede the efficient operation of regulated entities</w:t>
            </w:r>
          </w:p>
        </w:tc>
        <w:tc>
          <w:tcPr>
            <w:tcW w:w="1327" w:type="pct"/>
          </w:tcPr>
          <w:p w:rsidR="0012517C" w:rsidRPr="0012517C" w:rsidRDefault="0012517C" w:rsidP="0012517C">
            <w:pPr>
              <w:pStyle w:val="bullets"/>
              <w:numPr>
                <w:ilvl w:val="0"/>
                <w:numId w:val="8"/>
              </w:numPr>
              <w:spacing w:after="120" w:line="240" w:lineRule="auto"/>
              <w:rPr>
                <w:rFonts w:asciiTheme="minorHAnsi" w:hAnsiTheme="minorHAnsi" w:cs="Times New Roman"/>
                <w:sz w:val="18"/>
                <w:szCs w:val="18"/>
              </w:rPr>
            </w:pPr>
            <w:r w:rsidRPr="0012517C">
              <w:rPr>
                <w:rFonts w:asciiTheme="minorHAnsi" w:hAnsiTheme="minorHAnsi" w:cs="Times New Roman"/>
                <w:sz w:val="18"/>
                <w:szCs w:val="18"/>
              </w:rPr>
              <w:t xml:space="preserve">DVA takes actions to minimise the potential for unintended negative impacts of regulatory activities on regulated entities or affected supplier industries and supply chains. </w:t>
            </w:r>
          </w:p>
          <w:p w:rsidR="0012517C" w:rsidRPr="0012517C" w:rsidRDefault="0012517C" w:rsidP="0012517C">
            <w:pPr>
              <w:pStyle w:val="bullets"/>
              <w:numPr>
                <w:ilvl w:val="0"/>
                <w:numId w:val="8"/>
              </w:numPr>
              <w:spacing w:after="120" w:line="240" w:lineRule="auto"/>
              <w:rPr>
                <w:rFonts w:asciiTheme="minorHAnsi" w:hAnsiTheme="minorHAnsi" w:cs="Times New Roman"/>
                <w:sz w:val="18"/>
                <w:szCs w:val="18"/>
              </w:rPr>
            </w:pPr>
            <w:r w:rsidRPr="0012517C">
              <w:rPr>
                <w:rFonts w:asciiTheme="minorHAnsi" w:hAnsiTheme="minorHAnsi" w:cs="Times New Roman"/>
                <w:sz w:val="18"/>
                <w:szCs w:val="18"/>
              </w:rPr>
              <w:t>DVA implements continuous improvement strategies to reduce the costs of compliance for those they regulate.</w:t>
            </w:r>
          </w:p>
        </w:tc>
        <w:tc>
          <w:tcPr>
            <w:tcW w:w="1327" w:type="pct"/>
          </w:tcPr>
          <w:p w:rsidR="0012517C" w:rsidRPr="0012517C" w:rsidRDefault="0012517C" w:rsidP="0012517C">
            <w:pPr>
              <w:pStyle w:val="bullets"/>
              <w:numPr>
                <w:ilvl w:val="0"/>
                <w:numId w:val="1"/>
              </w:numPr>
              <w:spacing w:after="120" w:line="240" w:lineRule="auto"/>
              <w:ind w:left="317" w:hanging="283"/>
              <w:rPr>
                <w:rFonts w:asciiTheme="minorHAnsi" w:hAnsiTheme="minorHAnsi" w:cs="Times New Roman"/>
                <w:sz w:val="18"/>
                <w:szCs w:val="18"/>
              </w:rPr>
            </w:pPr>
            <w:r w:rsidRPr="0012517C">
              <w:rPr>
                <w:rFonts w:asciiTheme="minorHAnsi" w:hAnsiTheme="minorHAnsi" w:cs="Times New Roman"/>
                <w:sz w:val="18"/>
                <w:szCs w:val="18"/>
              </w:rPr>
              <w:t>Documented responsiveness to feedback from regulated entities, including feedback from existing complaint mechanisms and surveys of regulated entities.</w:t>
            </w:r>
          </w:p>
          <w:p w:rsidR="0012517C" w:rsidRPr="0012517C" w:rsidRDefault="0012517C" w:rsidP="0012517C">
            <w:pPr>
              <w:pStyle w:val="bullets"/>
              <w:numPr>
                <w:ilvl w:val="0"/>
                <w:numId w:val="1"/>
              </w:numPr>
              <w:spacing w:after="120" w:line="240" w:lineRule="auto"/>
              <w:ind w:left="317" w:hanging="283"/>
              <w:rPr>
                <w:rFonts w:asciiTheme="minorHAnsi" w:hAnsiTheme="minorHAnsi" w:cs="Times New Roman"/>
                <w:sz w:val="18"/>
                <w:szCs w:val="18"/>
              </w:rPr>
            </w:pPr>
            <w:r w:rsidRPr="0012517C">
              <w:rPr>
                <w:rFonts w:asciiTheme="minorHAnsi" w:hAnsiTheme="minorHAnsi" w:cs="Times New Roman"/>
                <w:sz w:val="18"/>
                <w:szCs w:val="18"/>
              </w:rPr>
              <w:t>Environment scanning is undertaken regularly and at a minimum, on an annual basis.</w:t>
            </w:r>
          </w:p>
        </w:tc>
        <w:tc>
          <w:tcPr>
            <w:tcW w:w="1327" w:type="pct"/>
          </w:tcPr>
          <w:p w:rsidR="0012517C" w:rsidRPr="0012517C" w:rsidRDefault="0012517C" w:rsidP="00583965">
            <w:pPr>
              <w:rPr>
                <w:sz w:val="18"/>
                <w:szCs w:val="18"/>
              </w:rPr>
            </w:pPr>
            <w:r w:rsidRPr="0012517C">
              <w:rPr>
                <w:sz w:val="18"/>
                <w:szCs w:val="18"/>
              </w:rPr>
              <w:t>Logging all applications, queries, complaints and other feedback regarding the protection of the word ‘Anzac’.</w:t>
            </w:r>
          </w:p>
        </w:tc>
      </w:tr>
      <w:tr w:rsidR="0012517C" w:rsidRPr="00D44AAF" w:rsidTr="00797AE5">
        <w:trPr>
          <w:trHeight w:val="4446"/>
        </w:trPr>
        <w:tc>
          <w:tcPr>
            <w:tcW w:w="1019" w:type="pct"/>
          </w:tcPr>
          <w:p w:rsidR="0012517C" w:rsidRPr="001D4F51" w:rsidRDefault="0012517C" w:rsidP="00797AE5">
            <w:pPr>
              <w:rPr>
                <w:rFonts w:eastAsia="Times New Roman"/>
                <w:b/>
                <w:bCs/>
                <w:sz w:val="18"/>
                <w:szCs w:val="18"/>
                <w:lang w:eastAsia="en-AU"/>
              </w:rPr>
            </w:pPr>
            <w:r w:rsidRPr="001D4F51">
              <w:rPr>
                <w:rFonts w:eastAsia="Times New Roman"/>
                <w:b/>
                <w:bCs/>
                <w:sz w:val="18"/>
                <w:szCs w:val="18"/>
                <w:lang w:eastAsia="en-AU"/>
              </w:rPr>
              <w:t>KPI 2 – Communication with regulated entities is clear, targeted and effective</w:t>
            </w:r>
          </w:p>
          <w:p w:rsidR="0012517C" w:rsidRPr="0012517C" w:rsidRDefault="0012517C" w:rsidP="0012517C">
            <w:pPr>
              <w:pStyle w:val="bullets"/>
              <w:spacing w:after="120" w:line="240" w:lineRule="auto"/>
              <w:rPr>
                <w:rFonts w:asciiTheme="minorHAnsi" w:hAnsiTheme="minorHAnsi" w:cs="Times New Roman"/>
                <w:sz w:val="18"/>
                <w:szCs w:val="18"/>
              </w:rPr>
            </w:pPr>
          </w:p>
        </w:tc>
        <w:tc>
          <w:tcPr>
            <w:tcW w:w="1327" w:type="pct"/>
          </w:tcPr>
          <w:p w:rsidR="0012517C" w:rsidRPr="0012517C" w:rsidRDefault="0012517C" w:rsidP="0012517C">
            <w:pPr>
              <w:pStyle w:val="bullets"/>
              <w:numPr>
                <w:ilvl w:val="0"/>
                <w:numId w:val="9"/>
              </w:numPr>
              <w:spacing w:after="120" w:line="240" w:lineRule="auto"/>
              <w:rPr>
                <w:rFonts w:asciiTheme="minorHAnsi" w:hAnsiTheme="minorHAnsi" w:cs="Times New Roman"/>
                <w:sz w:val="18"/>
                <w:szCs w:val="18"/>
              </w:rPr>
            </w:pPr>
            <w:r w:rsidRPr="0012517C">
              <w:rPr>
                <w:rFonts w:asciiTheme="minorHAnsi" w:hAnsiTheme="minorHAnsi" w:cs="Times New Roman"/>
                <w:sz w:val="18"/>
                <w:szCs w:val="18"/>
              </w:rPr>
              <w:t>DVA provides guidance and information that is up to date, clear, accessible and concise through media appropriate to the target audience.</w:t>
            </w:r>
          </w:p>
          <w:p w:rsidR="0012517C" w:rsidRPr="0012517C" w:rsidRDefault="0012517C" w:rsidP="0012517C">
            <w:pPr>
              <w:pStyle w:val="bullets"/>
              <w:numPr>
                <w:ilvl w:val="0"/>
                <w:numId w:val="9"/>
              </w:numPr>
              <w:spacing w:after="120" w:line="240" w:lineRule="auto"/>
              <w:rPr>
                <w:rFonts w:asciiTheme="minorHAnsi" w:hAnsiTheme="minorHAnsi" w:cs="Times New Roman"/>
                <w:sz w:val="18"/>
                <w:szCs w:val="18"/>
              </w:rPr>
            </w:pPr>
            <w:r w:rsidRPr="0012517C">
              <w:rPr>
                <w:rFonts w:asciiTheme="minorHAnsi" w:hAnsiTheme="minorHAnsi" w:cs="Times New Roman"/>
                <w:sz w:val="18"/>
                <w:szCs w:val="18"/>
              </w:rPr>
              <w:t>DVA’s decisions and advice are provided in a timely manner, clearly articulating expectations and the underlying reasons for decisions.</w:t>
            </w:r>
          </w:p>
          <w:p w:rsidR="0012517C" w:rsidRPr="0012517C" w:rsidRDefault="0012517C" w:rsidP="0012517C">
            <w:pPr>
              <w:pStyle w:val="bullets"/>
              <w:numPr>
                <w:ilvl w:val="0"/>
                <w:numId w:val="9"/>
              </w:numPr>
              <w:spacing w:after="120" w:line="240" w:lineRule="auto"/>
              <w:rPr>
                <w:rFonts w:asciiTheme="minorHAnsi" w:hAnsiTheme="minorHAnsi" w:cs="Times New Roman"/>
                <w:sz w:val="18"/>
                <w:szCs w:val="18"/>
              </w:rPr>
            </w:pPr>
            <w:r w:rsidRPr="0012517C">
              <w:rPr>
                <w:rFonts w:asciiTheme="minorHAnsi" w:hAnsiTheme="minorHAnsi" w:cs="Times New Roman"/>
                <w:sz w:val="18"/>
                <w:szCs w:val="18"/>
              </w:rPr>
              <w:t>DVA’s advice is consistent and supports predictable outcomes.</w:t>
            </w:r>
          </w:p>
        </w:tc>
        <w:tc>
          <w:tcPr>
            <w:tcW w:w="1327" w:type="pct"/>
          </w:tcPr>
          <w:p w:rsidR="0012517C" w:rsidRPr="0012517C" w:rsidRDefault="0012517C" w:rsidP="0012517C">
            <w:pPr>
              <w:pStyle w:val="bullets"/>
              <w:numPr>
                <w:ilvl w:val="0"/>
                <w:numId w:val="1"/>
              </w:numPr>
              <w:spacing w:after="120" w:line="240" w:lineRule="auto"/>
              <w:ind w:left="317" w:hanging="283"/>
              <w:rPr>
                <w:rFonts w:asciiTheme="minorHAnsi" w:hAnsiTheme="minorHAnsi" w:cs="Times New Roman"/>
                <w:sz w:val="18"/>
                <w:szCs w:val="18"/>
              </w:rPr>
            </w:pPr>
            <w:r w:rsidRPr="0012517C">
              <w:rPr>
                <w:rFonts w:asciiTheme="minorHAnsi" w:hAnsiTheme="minorHAnsi" w:cs="Times New Roman"/>
                <w:sz w:val="18"/>
                <w:szCs w:val="18"/>
              </w:rPr>
              <w:t>Percentage of guidance materials that complies with government accessibility guidelines.</w:t>
            </w:r>
          </w:p>
          <w:p w:rsidR="0012517C" w:rsidRPr="0012517C" w:rsidRDefault="0012517C" w:rsidP="0012517C">
            <w:pPr>
              <w:pStyle w:val="bullets"/>
              <w:numPr>
                <w:ilvl w:val="0"/>
                <w:numId w:val="1"/>
              </w:numPr>
              <w:spacing w:after="120" w:line="240" w:lineRule="auto"/>
              <w:ind w:left="317" w:hanging="283"/>
              <w:rPr>
                <w:rFonts w:asciiTheme="minorHAnsi" w:hAnsiTheme="minorHAnsi" w:cs="Times New Roman"/>
                <w:sz w:val="18"/>
                <w:szCs w:val="18"/>
              </w:rPr>
            </w:pPr>
            <w:r w:rsidRPr="0012517C">
              <w:rPr>
                <w:rFonts w:asciiTheme="minorHAnsi" w:hAnsiTheme="minorHAnsi" w:cs="Times New Roman"/>
                <w:sz w:val="18"/>
                <w:szCs w:val="18"/>
              </w:rPr>
              <w:t>Maximum, minimum and average time for decision.</w:t>
            </w:r>
          </w:p>
          <w:p w:rsidR="0012517C" w:rsidRPr="0012517C" w:rsidRDefault="0012517C" w:rsidP="0012517C">
            <w:pPr>
              <w:pStyle w:val="bullets"/>
              <w:numPr>
                <w:ilvl w:val="0"/>
                <w:numId w:val="1"/>
              </w:numPr>
              <w:spacing w:after="120" w:line="240" w:lineRule="auto"/>
              <w:ind w:left="317" w:hanging="283"/>
              <w:rPr>
                <w:rFonts w:asciiTheme="minorHAnsi" w:hAnsiTheme="minorHAnsi" w:cs="Times New Roman"/>
                <w:sz w:val="18"/>
                <w:szCs w:val="18"/>
              </w:rPr>
            </w:pPr>
            <w:r w:rsidRPr="0012517C">
              <w:rPr>
                <w:rFonts w:asciiTheme="minorHAnsi" w:hAnsiTheme="minorHAnsi" w:cs="Times New Roman"/>
                <w:sz w:val="18"/>
                <w:szCs w:val="18"/>
              </w:rPr>
              <w:t>Published timeframes for decision making.</w:t>
            </w:r>
          </w:p>
          <w:p w:rsidR="0012517C" w:rsidRPr="0012517C" w:rsidRDefault="0012517C" w:rsidP="0012517C">
            <w:pPr>
              <w:pStyle w:val="bullets"/>
              <w:numPr>
                <w:ilvl w:val="0"/>
                <w:numId w:val="1"/>
              </w:numPr>
              <w:spacing w:after="120" w:line="240" w:lineRule="auto"/>
              <w:ind w:left="317" w:hanging="283"/>
              <w:rPr>
                <w:rFonts w:asciiTheme="minorHAnsi" w:hAnsiTheme="minorHAnsi" w:cs="Times New Roman"/>
                <w:sz w:val="18"/>
                <w:szCs w:val="18"/>
              </w:rPr>
            </w:pPr>
            <w:r w:rsidRPr="0012517C">
              <w:rPr>
                <w:rFonts w:asciiTheme="minorHAnsi" w:hAnsiTheme="minorHAnsi" w:cs="Times New Roman"/>
                <w:sz w:val="18"/>
                <w:szCs w:val="18"/>
              </w:rPr>
              <w:t>Percentage of decisions accompanied by statement of reasons and advice about relevant review or appeal mechanisms, where appropriate.</w:t>
            </w:r>
          </w:p>
          <w:p w:rsidR="0012517C" w:rsidRPr="0012517C" w:rsidRDefault="0012517C" w:rsidP="0012517C">
            <w:pPr>
              <w:pStyle w:val="bullets"/>
              <w:numPr>
                <w:ilvl w:val="0"/>
                <w:numId w:val="1"/>
              </w:numPr>
              <w:spacing w:after="120" w:line="240" w:lineRule="auto"/>
              <w:ind w:left="317" w:hanging="283"/>
              <w:rPr>
                <w:rFonts w:asciiTheme="minorHAnsi" w:hAnsiTheme="minorHAnsi" w:cs="Times New Roman"/>
                <w:sz w:val="18"/>
                <w:szCs w:val="18"/>
              </w:rPr>
            </w:pPr>
            <w:r w:rsidRPr="0012517C">
              <w:rPr>
                <w:rFonts w:asciiTheme="minorHAnsi" w:hAnsiTheme="minorHAnsi" w:cs="Times New Roman"/>
                <w:sz w:val="18"/>
                <w:szCs w:val="18"/>
              </w:rPr>
              <w:t>Approved procedures for communications (including issue-specific scripts if relevant) are available for staff use when interacting with regulated entities.</w:t>
            </w:r>
          </w:p>
          <w:p w:rsidR="0012517C" w:rsidRPr="0012517C" w:rsidRDefault="0012517C" w:rsidP="0012517C">
            <w:pPr>
              <w:pStyle w:val="bullets"/>
              <w:numPr>
                <w:ilvl w:val="0"/>
                <w:numId w:val="1"/>
              </w:numPr>
              <w:spacing w:after="120" w:line="240" w:lineRule="auto"/>
              <w:ind w:left="317" w:hanging="283"/>
              <w:rPr>
                <w:rFonts w:asciiTheme="minorHAnsi" w:hAnsiTheme="minorHAnsi" w:cs="Times New Roman"/>
                <w:sz w:val="18"/>
                <w:szCs w:val="18"/>
              </w:rPr>
            </w:pPr>
            <w:r w:rsidRPr="0012517C">
              <w:rPr>
                <w:rFonts w:asciiTheme="minorHAnsi" w:hAnsiTheme="minorHAnsi" w:cs="Times New Roman"/>
                <w:sz w:val="18"/>
                <w:szCs w:val="18"/>
              </w:rPr>
              <w:t>Advice provided to regulated entities is consistent with communication policies.</w:t>
            </w:r>
          </w:p>
        </w:tc>
        <w:tc>
          <w:tcPr>
            <w:tcW w:w="1327" w:type="pct"/>
          </w:tcPr>
          <w:p w:rsidR="0012517C" w:rsidRPr="0012517C" w:rsidRDefault="0012517C" w:rsidP="00583965">
            <w:pPr>
              <w:rPr>
                <w:sz w:val="18"/>
                <w:szCs w:val="18"/>
              </w:rPr>
            </w:pPr>
            <w:r w:rsidRPr="0012517C">
              <w:rPr>
                <w:sz w:val="18"/>
                <w:szCs w:val="18"/>
              </w:rPr>
              <w:t xml:space="preserve">A Use of the word ‘Anzac’ Guidelines document, featuring information on </w:t>
            </w:r>
            <w:r w:rsidR="004205C6">
              <w:rPr>
                <w:sz w:val="18"/>
                <w:szCs w:val="18"/>
              </w:rPr>
              <w:t xml:space="preserve">use of the word ‘Anzac’ and </w:t>
            </w:r>
            <w:r w:rsidRPr="0012517C">
              <w:rPr>
                <w:sz w:val="18"/>
                <w:szCs w:val="18"/>
              </w:rPr>
              <w:t xml:space="preserve">how to apply, timeframes, and appeal mechanisms </w:t>
            </w:r>
            <w:r w:rsidR="008A0152">
              <w:rPr>
                <w:sz w:val="18"/>
                <w:szCs w:val="18"/>
              </w:rPr>
              <w:t xml:space="preserve">published </w:t>
            </w:r>
            <w:r w:rsidR="00C67922">
              <w:rPr>
                <w:sz w:val="18"/>
                <w:szCs w:val="18"/>
              </w:rPr>
              <w:t xml:space="preserve"> </w:t>
            </w:r>
            <w:r w:rsidR="00F95140">
              <w:rPr>
                <w:sz w:val="18"/>
                <w:szCs w:val="18"/>
              </w:rPr>
              <w:t xml:space="preserve"> </w:t>
            </w:r>
            <w:r w:rsidRPr="0012517C">
              <w:rPr>
                <w:sz w:val="18"/>
                <w:szCs w:val="18"/>
              </w:rPr>
              <w:t>on the DVA website.</w:t>
            </w:r>
          </w:p>
          <w:p w:rsidR="0012517C" w:rsidRPr="0012517C" w:rsidRDefault="0012517C" w:rsidP="00583965">
            <w:pPr>
              <w:rPr>
                <w:sz w:val="18"/>
                <w:szCs w:val="18"/>
              </w:rPr>
            </w:pPr>
          </w:p>
          <w:p w:rsidR="0012517C" w:rsidRPr="0012517C" w:rsidRDefault="0012517C" w:rsidP="00E33048">
            <w:pPr>
              <w:rPr>
                <w:sz w:val="18"/>
                <w:szCs w:val="18"/>
              </w:rPr>
            </w:pPr>
            <w:r w:rsidRPr="0012517C">
              <w:rPr>
                <w:sz w:val="18"/>
                <w:szCs w:val="18"/>
              </w:rPr>
              <w:t xml:space="preserve">A </w:t>
            </w:r>
            <w:r w:rsidR="00E33048">
              <w:rPr>
                <w:sz w:val="18"/>
                <w:szCs w:val="18"/>
              </w:rPr>
              <w:t>staff h</w:t>
            </w:r>
            <w:r w:rsidR="00D85C08">
              <w:rPr>
                <w:sz w:val="18"/>
                <w:szCs w:val="18"/>
              </w:rPr>
              <w:t>andbook</w:t>
            </w:r>
            <w:r w:rsidRPr="0012517C">
              <w:rPr>
                <w:sz w:val="18"/>
                <w:szCs w:val="18"/>
              </w:rPr>
              <w:t xml:space="preserve"> </w:t>
            </w:r>
            <w:r w:rsidR="00E33048">
              <w:rPr>
                <w:sz w:val="18"/>
                <w:szCs w:val="18"/>
              </w:rPr>
              <w:t xml:space="preserve">comprising of procedural information and templates </w:t>
            </w:r>
            <w:r w:rsidRPr="0012517C">
              <w:rPr>
                <w:sz w:val="18"/>
                <w:szCs w:val="18"/>
              </w:rPr>
              <w:t xml:space="preserve">for use of the word ‘Anzac’, </w:t>
            </w:r>
            <w:r w:rsidR="00E33048">
              <w:rPr>
                <w:sz w:val="18"/>
                <w:szCs w:val="18"/>
              </w:rPr>
              <w:t xml:space="preserve"> </w:t>
            </w:r>
            <w:r w:rsidRPr="0012517C">
              <w:rPr>
                <w:sz w:val="18"/>
                <w:szCs w:val="18"/>
              </w:rPr>
              <w:t>available to DVA staff and staff from the Minister’s office.</w:t>
            </w:r>
          </w:p>
        </w:tc>
      </w:tr>
      <w:tr w:rsidR="0012517C" w:rsidRPr="00D44AAF" w:rsidTr="00797AE5">
        <w:tc>
          <w:tcPr>
            <w:tcW w:w="1019" w:type="pct"/>
          </w:tcPr>
          <w:p w:rsidR="0012517C" w:rsidRPr="0012517C" w:rsidRDefault="0012517C" w:rsidP="00797AE5">
            <w:pPr>
              <w:pStyle w:val="bullets"/>
              <w:spacing w:after="120" w:line="240" w:lineRule="auto"/>
              <w:ind w:left="0" w:firstLine="0"/>
              <w:rPr>
                <w:rFonts w:asciiTheme="minorHAnsi" w:hAnsiTheme="minorHAnsi" w:cs="Times New Roman"/>
                <w:sz w:val="18"/>
                <w:szCs w:val="18"/>
              </w:rPr>
            </w:pPr>
            <w:r w:rsidRPr="0012517C">
              <w:rPr>
                <w:rFonts w:asciiTheme="minorHAnsi" w:hAnsiTheme="minorHAnsi" w:cs="Times New Roman"/>
                <w:b/>
                <w:sz w:val="18"/>
                <w:szCs w:val="18"/>
                <w:lang w:val="en-AU"/>
              </w:rPr>
              <w:t>KPI 3 – Actions undertaken by regulators are proportionate to the regulatory risk being managed</w:t>
            </w:r>
          </w:p>
        </w:tc>
        <w:tc>
          <w:tcPr>
            <w:tcW w:w="1327" w:type="pct"/>
          </w:tcPr>
          <w:p w:rsidR="0012517C" w:rsidRPr="0012517C" w:rsidRDefault="0012517C" w:rsidP="0012517C">
            <w:pPr>
              <w:pStyle w:val="bullets"/>
              <w:numPr>
                <w:ilvl w:val="0"/>
                <w:numId w:val="10"/>
              </w:numPr>
              <w:spacing w:after="120" w:line="240" w:lineRule="auto"/>
              <w:rPr>
                <w:rFonts w:asciiTheme="minorHAnsi" w:hAnsiTheme="minorHAnsi" w:cs="Times New Roman"/>
                <w:sz w:val="18"/>
                <w:szCs w:val="18"/>
              </w:rPr>
            </w:pPr>
            <w:r w:rsidRPr="0012517C">
              <w:rPr>
                <w:rFonts w:asciiTheme="minorHAnsi" w:hAnsiTheme="minorHAnsi" w:cs="Times New Roman"/>
                <w:sz w:val="18"/>
                <w:szCs w:val="18"/>
              </w:rPr>
              <w:t xml:space="preserve">DVA applies a risk-based, proportionate approach to compliance obligations, engagement and regulatory enforcement actions. </w:t>
            </w:r>
          </w:p>
          <w:p w:rsidR="0012517C" w:rsidRPr="0012517C" w:rsidRDefault="0012517C" w:rsidP="0012517C">
            <w:pPr>
              <w:pStyle w:val="bullets"/>
              <w:numPr>
                <w:ilvl w:val="0"/>
                <w:numId w:val="10"/>
              </w:numPr>
              <w:spacing w:after="120" w:line="240" w:lineRule="auto"/>
              <w:rPr>
                <w:rFonts w:asciiTheme="minorHAnsi" w:hAnsiTheme="minorHAnsi" w:cs="Times New Roman"/>
                <w:sz w:val="18"/>
                <w:szCs w:val="18"/>
              </w:rPr>
            </w:pPr>
            <w:r w:rsidRPr="0012517C">
              <w:rPr>
                <w:rFonts w:asciiTheme="minorHAnsi" w:hAnsiTheme="minorHAnsi" w:cs="Times New Roman"/>
                <w:sz w:val="18"/>
                <w:szCs w:val="18"/>
              </w:rPr>
              <w:t>DVA’s preferred approach to regulatory risk is regularly reassessed. Strategies, activities and enforcement actions are amended to reflect changing priorities that result from new and evolving regulatory threats, without diminishing regulatory certainty or impact.</w:t>
            </w:r>
          </w:p>
          <w:p w:rsidR="0012517C" w:rsidRPr="0012517C" w:rsidRDefault="0012517C" w:rsidP="0012517C">
            <w:pPr>
              <w:pStyle w:val="bullets"/>
              <w:numPr>
                <w:ilvl w:val="0"/>
                <w:numId w:val="10"/>
              </w:numPr>
              <w:spacing w:after="120" w:line="240" w:lineRule="auto"/>
              <w:rPr>
                <w:rFonts w:asciiTheme="minorHAnsi" w:hAnsiTheme="minorHAnsi" w:cs="Times New Roman"/>
                <w:sz w:val="18"/>
                <w:szCs w:val="18"/>
              </w:rPr>
            </w:pPr>
            <w:r w:rsidRPr="0012517C">
              <w:rPr>
                <w:rFonts w:asciiTheme="minorHAnsi" w:hAnsiTheme="minorHAnsi" w:cs="Times New Roman"/>
                <w:sz w:val="18"/>
                <w:szCs w:val="18"/>
              </w:rPr>
              <w:t>DVA recognises the compliance record of regulated entities, including using earned autonomy where this is appropriate. All available and relevant data on compliance, including evidence of relevant external verification is considered.</w:t>
            </w:r>
          </w:p>
        </w:tc>
        <w:tc>
          <w:tcPr>
            <w:tcW w:w="1327" w:type="pct"/>
          </w:tcPr>
          <w:p w:rsidR="0012517C" w:rsidRPr="0012517C" w:rsidRDefault="0012517C" w:rsidP="0012517C">
            <w:pPr>
              <w:pStyle w:val="bullets"/>
              <w:numPr>
                <w:ilvl w:val="0"/>
                <w:numId w:val="1"/>
              </w:numPr>
              <w:spacing w:after="120" w:line="240" w:lineRule="auto"/>
              <w:ind w:left="317" w:hanging="283"/>
              <w:rPr>
                <w:rFonts w:asciiTheme="minorHAnsi" w:hAnsiTheme="minorHAnsi" w:cs="Times New Roman"/>
                <w:sz w:val="18"/>
                <w:szCs w:val="18"/>
              </w:rPr>
            </w:pPr>
            <w:r w:rsidRPr="0012517C">
              <w:rPr>
                <w:rFonts w:asciiTheme="minorHAnsi" w:hAnsiTheme="minorHAnsi" w:cs="Times New Roman"/>
                <w:sz w:val="18"/>
                <w:szCs w:val="18"/>
              </w:rPr>
              <w:t>Risk management policies and procedures are available to regulator staff and the public.</w:t>
            </w:r>
          </w:p>
          <w:p w:rsidR="0012517C" w:rsidRPr="0012517C" w:rsidRDefault="0012517C" w:rsidP="0012517C">
            <w:pPr>
              <w:pStyle w:val="bullets"/>
              <w:numPr>
                <w:ilvl w:val="0"/>
                <w:numId w:val="1"/>
              </w:numPr>
              <w:spacing w:after="120" w:line="240" w:lineRule="auto"/>
              <w:ind w:left="317" w:hanging="283"/>
              <w:rPr>
                <w:rFonts w:asciiTheme="minorHAnsi" w:hAnsiTheme="minorHAnsi" w:cs="Times New Roman"/>
                <w:sz w:val="18"/>
                <w:szCs w:val="18"/>
              </w:rPr>
            </w:pPr>
            <w:r w:rsidRPr="0012517C">
              <w:rPr>
                <w:rFonts w:asciiTheme="minorHAnsi" w:hAnsiTheme="minorHAnsi" w:cs="Times New Roman"/>
                <w:sz w:val="18"/>
                <w:szCs w:val="18"/>
              </w:rPr>
              <w:t>Compliance and enforcement strategies, consistent with agreed risk management policies are published.</w:t>
            </w:r>
          </w:p>
          <w:p w:rsidR="0012517C" w:rsidRPr="0012517C" w:rsidRDefault="0012517C" w:rsidP="0012517C">
            <w:pPr>
              <w:pStyle w:val="bullets"/>
              <w:numPr>
                <w:ilvl w:val="0"/>
                <w:numId w:val="1"/>
              </w:numPr>
              <w:spacing w:after="120" w:line="240" w:lineRule="auto"/>
              <w:ind w:left="317" w:hanging="283"/>
              <w:rPr>
                <w:rFonts w:asciiTheme="minorHAnsi" w:hAnsiTheme="minorHAnsi" w:cs="Times New Roman"/>
                <w:sz w:val="18"/>
                <w:szCs w:val="18"/>
              </w:rPr>
            </w:pPr>
            <w:r w:rsidRPr="0012517C">
              <w:rPr>
                <w:rFonts w:asciiTheme="minorHAnsi" w:hAnsiTheme="minorHAnsi" w:cs="Times New Roman"/>
                <w:sz w:val="18"/>
                <w:szCs w:val="18"/>
              </w:rPr>
              <w:t xml:space="preserve">Documented enforcement strategy which allows for the compliance records of regulated entities to be considered in determining regulatory actions. </w:t>
            </w:r>
          </w:p>
          <w:p w:rsidR="0012517C" w:rsidRPr="0012517C" w:rsidRDefault="0012517C" w:rsidP="0012517C">
            <w:pPr>
              <w:pStyle w:val="bullets"/>
              <w:numPr>
                <w:ilvl w:val="0"/>
                <w:numId w:val="1"/>
              </w:numPr>
              <w:spacing w:after="120" w:line="240" w:lineRule="auto"/>
              <w:ind w:left="317" w:hanging="283"/>
              <w:rPr>
                <w:rFonts w:asciiTheme="minorHAnsi" w:hAnsiTheme="minorHAnsi" w:cs="Times New Roman"/>
                <w:sz w:val="18"/>
                <w:szCs w:val="18"/>
              </w:rPr>
            </w:pPr>
            <w:r w:rsidRPr="0012517C">
              <w:rPr>
                <w:rFonts w:asciiTheme="minorHAnsi" w:hAnsiTheme="minorHAnsi" w:cs="Times New Roman"/>
                <w:sz w:val="18"/>
                <w:szCs w:val="18"/>
              </w:rPr>
              <w:t xml:space="preserve">Documented enforcement strategy includes options for graduated compliance actions consistent with regulators’ powers. </w:t>
            </w:r>
          </w:p>
        </w:tc>
        <w:tc>
          <w:tcPr>
            <w:tcW w:w="1327" w:type="pct"/>
          </w:tcPr>
          <w:p w:rsidR="0012517C" w:rsidRPr="0012517C" w:rsidRDefault="0012517C" w:rsidP="00583965">
            <w:pPr>
              <w:rPr>
                <w:sz w:val="18"/>
                <w:szCs w:val="18"/>
              </w:rPr>
            </w:pPr>
          </w:p>
          <w:p w:rsidR="0012517C" w:rsidRPr="0012517C" w:rsidRDefault="0012517C" w:rsidP="00583965">
            <w:pPr>
              <w:rPr>
                <w:sz w:val="18"/>
                <w:szCs w:val="18"/>
              </w:rPr>
            </w:pPr>
            <w:r w:rsidRPr="0012517C">
              <w:rPr>
                <w:sz w:val="18"/>
                <w:szCs w:val="18"/>
              </w:rPr>
              <w:t>T</w:t>
            </w:r>
            <w:r w:rsidR="000B4336" w:rsidRPr="0012517C">
              <w:rPr>
                <w:sz w:val="18"/>
                <w:szCs w:val="18"/>
              </w:rPr>
              <w:t>he Use of the Word ‘Anzac’ Guidelines</w:t>
            </w:r>
            <w:r w:rsidRPr="0012517C">
              <w:rPr>
                <w:sz w:val="18"/>
                <w:szCs w:val="18"/>
              </w:rPr>
              <w:t xml:space="preserve"> </w:t>
            </w:r>
            <w:r w:rsidR="008A0152">
              <w:rPr>
                <w:sz w:val="18"/>
                <w:szCs w:val="18"/>
              </w:rPr>
              <w:t xml:space="preserve">are </w:t>
            </w:r>
            <w:r w:rsidRPr="0012517C">
              <w:rPr>
                <w:sz w:val="18"/>
                <w:szCs w:val="18"/>
              </w:rPr>
              <w:t>reviewed</w:t>
            </w:r>
            <w:r w:rsidR="000B4336">
              <w:rPr>
                <w:sz w:val="18"/>
                <w:szCs w:val="18"/>
              </w:rPr>
              <w:t xml:space="preserve"> as necessary.</w:t>
            </w:r>
          </w:p>
          <w:p w:rsidR="0012517C" w:rsidRPr="0012517C" w:rsidRDefault="0012517C" w:rsidP="00583965">
            <w:pPr>
              <w:rPr>
                <w:sz w:val="18"/>
                <w:szCs w:val="18"/>
              </w:rPr>
            </w:pPr>
          </w:p>
          <w:p w:rsidR="0012517C" w:rsidRPr="0012517C" w:rsidRDefault="0012517C" w:rsidP="00583965">
            <w:pPr>
              <w:rPr>
                <w:sz w:val="18"/>
                <w:szCs w:val="18"/>
              </w:rPr>
            </w:pPr>
            <w:r w:rsidRPr="0012517C">
              <w:rPr>
                <w:sz w:val="18"/>
                <w:szCs w:val="18"/>
              </w:rPr>
              <w:t>Enforcement strateg</w:t>
            </w:r>
            <w:r w:rsidR="00E33048">
              <w:rPr>
                <w:sz w:val="18"/>
                <w:szCs w:val="18"/>
              </w:rPr>
              <w:t>ies are documented</w:t>
            </w:r>
            <w:r w:rsidRPr="0012517C">
              <w:rPr>
                <w:sz w:val="18"/>
                <w:szCs w:val="18"/>
              </w:rPr>
              <w:t xml:space="preserve"> in the Guidelines.</w:t>
            </w:r>
          </w:p>
          <w:p w:rsidR="0012517C" w:rsidRPr="0012517C" w:rsidRDefault="0012517C" w:rsidP="00583965">
            <w:pPr>
              <w:rPr>
                <w:sz w:val="18"/>
                <w:szCs w:val="18"/>
              </w:rPr>
            </w:pPr>
          </w:p>
          <w:p w:rsidR="0012517C" w:rsidRPr="0012517C" w:rsidRDefault="0012517C" w:rsidP="00583965">
            <w:pPr>
              <w:rPr>
                <w:sz w:val="18"/>
                <w:szCs w:val="18"/>
              </w:rPr>
            </w:pPr>
            <w:r w:rsidRPr="0012517C">
              <w:rPr>
                <w:sz w:val="18"/>
                <w:szCs w:val="18"/>
              </w:rPr>
              <w:t xml:space="preserve">The number of enforcement actions </w:t>
            </w:r>
            <w:r w:rsidR="008A0152">
              <w:rPr>
                <w:sz w:val="18"/>
                <w:szCs w:val="18"/>
              </w:rPr>
              <w:t>are</w:t>
            </w:r>
            <w:r w:rsidRPr="0012517C">
              <w:rPr>
                <w:sz w:val="18"/>
                <w:szCs w:val="18"/>
              </w:rPr>
              <w:t xml:space="preserve"> tracked.</w:t>
            </w:r>
          </w:p>
          <w:p w:rsidR="0012517C" w:rsidRPr="0012517C" w:rsidRDefault="0012517C" w:rsidP="00583965">
            <w:pPr>
              <w:rPr>
                <w:sz w:val="18"/>
                <w:szCs w:val="18"/>
              </w:rPr>
            </w:pPr>
          </w:p>
        </w:tc>
      </w:tr>
      <w:tr w:rsidR="0012517C" w:rsidRPr="00D44AAF" w:rsidTr="00797AE5">
        <w:trPr>
          <w:trHeight w:val="3413"/>
        </w:trPr>
        <w:tc>
          <w:tcPr>
            <w:tcW w:w="1019" w:type="pct"/>
          </w:tcPr>
          <w:p w:rsidR="0012517C" w:rsidRPr="0012517C" w:rsidRDefault="0012517C" w:rsidP="00797AE5">
            <w:pPr>
              <w:pStyle w:val="bullets"/>
              <w:spacing w:after="120" w:line="240" w:lineRule="auto"/>
              <w:ind w:left="0" w:firstLine="0"/>
              <w:rPr>
                <w:rFonts w:asciiTheme="minorHAnsi" w:hAnsiTheme="minorHAnsi" w:cs="Times New Roman"/>
                <w:sz w:val="18"/>
                <w:szCs w:val="18"/>
              </w:rPr>
            </w:pPr>
            <w:r w:rsidRPr="0012517C">
              <w:rPr>
                <w:rFonts w:asciiTheme="minorHAnsi" w:hAnsiTheme="minorHAnsi" w:cs="Times New Roman"/>
                <w:b/>
                <w:sz w:val="18"/>
                <w:szCs w:val="18"/>
                <w:lang w:val="en-AU"/>
              </w:rPr>
              <w:t>KPI 4 – Compliance and monitoring approaches are streamlined and coordinated</w:t>
            </w:r>
          </w:p>
        </w:tc>
        <w:tc>
          <w:tcPr>
            <w:tcW w:w="1327" w:type="pct"/>
          </w:tcPr>
          <w:p w:rsidR="0012517C" w:rsidRPr="0012517C" w:rsidRDefault="0012517C" w:rsidP="0012517C">
            <w:pPr>
              <w:pStyle w:val="bullets"/>
              <w:numPr>
                <w:ilvl w:val="0"/>
                <w:numId w:val="11"/>
              </w:numPr>
              <w:spacing w:after="120" w:line="240" w:lineRule="auto"/>
              <w:rPr>
                <w:rFonts w:asciiTheme="minorHAnsi" w:hAnsiTheme="minorHAnsi" w:cs="Times New Roman"/>
                <w:sz w:val="18"/>
                <w:szCs w:val="18"/>
              </w:rPr>
            </w:pPr>
            <w:r w:rsidRPr="0012517C">
              <w:rPr>
                <w:rFonts w:asciiTheme="minorHAnsi" w:hAnsiTheme="minorHAnsi" w:cs="Times New Roman"/>
                <w:sz w:val="18"/>
                <w:szCs w:val="18"/>
              </w:rPr>
              <w:t>DVA utilises existing information to limit the reliance on requests from regulated entities and shares the information among other regulators, where possible.</w:t>
            </w:r>
          </w:p>
          <w:p w:rsidR="0012517C" w:rsidRPr="0012517C" w:rsidRDefault="0012517C" w:rsidP="0012517C">
            <w:pPr>
              <w:pStyle w:val="bullets"/>
              <w:numPr>
                <w:ilvl w:val="0"/>
                <w:numId w:val="11"/>
              </w:numPr>
              <w:spacing w:after="120" w:line="240" w:lineRule="auto"/>
              <w:rPr>
                <w:rFonts w:asciiTheme="minorHAnsi" w:hAnsiTheme="minorHAnsi" w:cs="Times New Roman"/>
                <w:sz w:val="18"/>
                <w:szCs w:val="18"/>
              </w:rPr>
            </w:pPr>
            <w:r w:rsidRPr="0012517C">
              <w:rPr>
                <w:rFonts w:asciiTheme="minorHAnsi" w:hAnsiTheme="minorHAnsi" w:cs="Times New Roman"/>
                <w:sz w:val="18"/>
                <w:szCs w:val="18"/>
              </w:rPr>
              <w:t xml:space="preserve">DVA bases monitoring and inspection approaches on risk and, where possible, takes into account the circumstance and operational needs of the regulated entity. </w:t>
            </w:r>
          </w:p>
        </w:tc>
        <w:tc>
          <w:tcPr>
            <w:tcW w:w="1327" w:type="pct"/>
          </w:tcPr>
          <w:p w:rsidR="0012517C" w:rsidRPr="0012517C" w:rsidRDefault="0012517C" w:rsidP="0012517C">
            <w:pPr>
              <w:pStyle w:val="bullets"/>
              <w:numPr>
                <w:ilvl w:val="0"/>
                <w:numId w:val="1"/>
              </w:numPr>
              <w:spacing w:after="120" w:line="240" w:lineRule="auto"/>
              <w:ind w:left="317" w:hanging="283"/>
              <w:rPr>
                <w:rFonts w:asciiTheme="minorHAnsi" w:hAnsiTheme="minorHAnsi" w:cs="Times New Roman"/>
                <w:sz w:val="18"/>
                <w:szCs w:val="18"/>
              </w:rPr>
            </w:pPr>
            <w:r w:rsidRPr="0012517C">
              <w:rPr>
                <w:rFonts w:asciiTheme="minorHAnsi" w:hAnsiTheme="minorHAnsi" w:cs="Times New Roman"/>
                <w:sz w:val="18"/>
                <w:szCs w:val="18"/>
              </w:rPr>
              <w:t>Information shared and received among regulators.</w:t>
            </w:r>
          </w:p>
          <w:p w:rsidR="0012517C" w:rsidRPr="0012517C" w:rsidRDefault="0012517C" w:rsidP="0012517C">
            <w:pPr>
              <w:pStyle w:val="bullets"/>
              <w:numPr>
                <w:ilvl w:val="0"/>
                <w:numId w:val="1"/>
              </w:numPr>
              <w:spacing w:after="120" w:line="240" w:lineRule="auto"/>
              <w:ind w:left="317" w:hanging="283"/>
              <w:rPr>
                <w:rFonts w:asciiTheme="minorHAnsi" w:hAnsiTheme="minorHAnsi" w:cs="Times New Roman"/>
                <w:sz w:val="18"/>
                <w:szCs w:val="18"/>
              </w:rPr>
            </w:pPr>
            <w:r w:rsidRPr="0012517C">
              <w:rPr>
                <w:rFonts w:asciiTheme="minorHAnsi" w:hAnsiTheme="minorHAnsi" w:cs="Times New Roman"/>
                <w:sz w:val="18"/>
                <w:szCs w:val="18"/>
              </w:rPr>
              <w:t xml:space="preserve">Evidence of collected information being acted upon, stored and re-used. </w:t>
            </w:r>
          </w:p>
          <w:p w:rsidR="0012517C" w:rsidRPr="0012517C" w:rsidRDefault="0012517C" w:rsidP="0012517C">
            <w:pPr>
              <w:pStyle w:val="bullets"/>
              <w:numPr>
                <w:ilvl w:val="0"/>
                <w:numId w:val="1"/>
              </w:numPr>
              <w:spacing w:after="120" w:line="240" w:lineRule="auto"/>
              <w:ind w:left="317" w:hanging="283"/>
              <w:rPr>
                <w:rFonts w:asciiTheme="minorHAnsi" w:hAnsiTheme="minorHAnsi" w:cs="Times New Roman"/>
                <w:sz w:val="18"/>
                <w:szCs w:val="18"/>
              </w:rPr>
            </w:pPr>
            <w:r w:rsidRPr="0012517C">
              <w:rPr>
                <w:rFonts w:asciiTheme="minorHAnsi" w:hAnsiTheme="minorHAnsi" w:cs="Times New Roman"/>
                <w:sz w:val="18"/>
                <w:szCs w:val="18"/>
              </w:rPr>
              <w:t>Regular review and assessment of agreed monitoring and compliance strategies, including use of earned autonomy approaches.</w:t>
            </w:r>
          </w:p>
        </w:tc>
        <w:tc>
          <w:tcPr>
            <w:tcW w:w="1327" w:type="pct"/>
          </w:tcPr>
          <w:p w:rsidR="0012517C" w:rsidRPr="0012517C" w:rsidRDefault="008A0152" w:rsidP="00583965">
            <w:pPr>
              <w:rPr>
                <w:sz w:val="18"/>
                <w:szCs w:val="18"/>
              </w:rPr>
            </w:pPr>
            <w:r>
              <w:rPr>
                <w:sz w:val="18"/>
                <w:szCs w:val="18"/>
              </w:rPr>
              <w:t>I</w:t>
            </w:r>
            <w:r w:rsidR="0012517C" w:rsidRPr="0012517C">
              <w:rPr>
                <w:sz w:val="18"/>
                <w:szCs w:val="18"/>
              </w:rPr>
              <w:t>nformation will be shared with similar regulators, such as the Army Brand Manager.</w:t>
            </w:r>
          </w:p>
          <w:p w:rsidR="0012517C" w:rsidRPr="0012517C" w:rsidRDefault="0012517C" w:rsidP="00583965">
            <w:pPr>
              <w:rPr>
                <w:sz w:val="18"/>
                <w:szCs w:val="18"/>
              </w:rPr>
            </w:pPr>
          </w:p>
          <w:p w:rsidR="0012517C" w:rsidRPr="0012517C" w:rsidRDefault="0012517C" w:rsidP="00583965">
            <w:pPr>
              <w:rPr>
                <w:sz w:val="18"/>
                <w:szCs w:val="18"/>
              </w:rPr>
            </w:pPr>
            <w:r w:rsidRPr="0012517C">
              <w:rPr>
                <w:sz w:val="18"/>
                <w:szCs w:val="18"/>
              </w:rPr>
              <w:t>Information collected will be used to update the Use of the Word ‘Anzac’ Guidelines as necessary.</w:t>
            </w:r>
          </w:p>
          <w:p w:rsidR="0012517C" w:rsidRPr="0012517C" w:rsidRDefault="0012517C" w:rsidP="00583965">
            <w:pPr>
              <w:rPr>
                <w:sz w:val="18"/>
                <w:szCs w:val="18"/>
              </w:rPr>
            </w:pPr>
          </w:p>
          <w:p w:rsidR="0012517C" w:rsidRPr="0012517C" w:rsidRDefault="0012517C" w:rsidP="00583965">
            <w:pPr>
              <w:rPr>
                <w:sz w:val="18"/>
                <w:szCs w:val="18"/>
              </w:rPr>
            </w:pPr>
            <w:r w:rsidRPr="0012517C">
              <w:rPr>
                <w:sz w:val="18"/>
                <w:szCs w:val="18"/>
              </w:rPr>
              <w:t>Where appropriate, earned autonomy approaches will be considered for organisations that make use of the word ‘Anzac’ regularly.</w:t>
            </w:r>
          </w:p>
        </w:tc>
      </w:tr>
      <w:tr w:rsidR="0012517C" w:rsidRPr="00D44AAF" w:rsidTr="00797AE5">
        <w:tc>
          <w:tcPr>
            <w:tcW w:w="1019" w:type="pct"/>
          </w:tcPr>
          <w:p w:rsidR="0012517C" w:rsidRPr="0012517C" w:rsidRDefault="0012517C" w:rsidP="00797AE5">
            <w:pPr>
              <w:pStyle w:val="bullets"/>
              <w:spacing w:after="120" w:line="240" w:lineRule="auto"/>
              <w:ind w:left="0" w:firstLine="0"/>
              <w:rPr>
                <w:rFonts w:asciiTheme="minorHAnsi" w:hAnsiTheme="minorHAnsi" w:cs="Times New Roman"/>
                <w:sz w:val="18"/>
                <w:szCs w:val="18"/>
              </w:rPr>
            </w:pPr>
            <w:r w:rsidRPr="0012517C">
              <w:rPr>
                <w:rFonts w:asciiTheme="minorHAnsi" w:hAnsiTheme="minorHAnsi" w:cs="Times New Roman"/>
                <w:b/>
                <w:sz w:val="18"/>
                <w:szCs w:val="18"/>
                <w:lang w:val="en-AU"/>
              </w:rPr>
              <w:t xml:space="preserve">KPI 5 </w:t>
            </w:r>
            <w:r w:rsidR="00487022" w:rsidRPr="0012517C">
              <w:rPr>
                <w:rFonts w:asciiTheme="minorHAnsi" w:hAnsiTheme="minorHAnsi" w:cs="Times New Roman"/>
                <w:b/>
                <w:sz w:val="18"/>
                <w:szCs w:val="18"/>
                <w:lang w:val="en-AU"/>
              </w:rPr>
              <w:t>–</w:t>
            </w:r>
            <w:r w:rsidRPr="0012517C">
              <w:rPr>
                <w:rFonts w:asciiTheme="minorHAnsi" w:hAnsiTheme="minorHAnsi" w:cs="Times New Roman"/>
                <w:b/>
                <w:sz w:val="18"/>
                <w:szCs w:val="18"/>
                <w:lang w:val="en-AU"/>
              </w:rPr>
              <w:t xml:space="preserve"> Regulators are open and transparent in their dealings with regulated entities</w:t>
            </w:r>
          </w:p>
        </w:tc>
        <w:tc>
          <w:tcPr>
            <w:tcW w:w="1327" w:type="pct"/>
          </w:tcPr>
          <w:p w:rsidR="0012517C" w:rsidRPr="0012517C" w:rsidRDefault="0012517C" w:rsidP="0012517C">
            <w:pPr>
              <w:pStyle w:val="bullets"/>
              <w:numPr>
                <w:ilvl w:val="0"/>
                <w:numId w:val="12"/>
              </w:numPr>
              <w:spacing w:after="120" w:line="240" w:lineRule="auto"/>
              <w:rPr>
                <w:rFonts w:asciiTheme="minorHAnsi" w:hAnsiTheme="minorHAnsi" w:cs="Times New Roman"/>
                <w:sz w:val="18"/>
                <w:szCs w:val="18"/>
              </w:rPr>
            </w:pPr>
            <w:r w:rsidRPr="0012517C">
              <w:rPr>
                <w:rFonts w:asciiTheme="minorHAnsi" w:hAnsiTheme="minorHAnsi" w:cs="Times New Roman"/>
                <w:sz w:val="18"/>
                <w:szCs w:val="18"/>
              </w:rPr>
              <w:t>DVA’s risk-based framework is publicly available in a format which is clear, understandable and accessible.</w:t>
            </w:r>
          </w:p>
          <w:p w:rsidR="0012517C" w:rsidRPr="0012517C" w:rsidRDefault="0012517C" w:rsidP="0012517C">
            <w:pPr>
              <w:pStyle w:val="bullets"/>
              <w:numPr>
                <w:ilvl w:val="0"/>
                <w:numId w:val="12"/>
              </w:numPr>
              <w:spacing w:after="120" w:line="240" w:lineRule="auto"/>
              <w:rPr>
                <w:rFonts w:asciiTheme="minorHAnsi" w:hAnsiTheme="minorHAnsi" w:cs="Times New Roman"/>
                <w:sz w:val="18"/>
                <w:szCs w:val="18"/>
              </w:rPr>
            </w:pPr>
            <w:r w:rsidRPr="0012517C">
              <w:rPr>
                <w:rFonts w:asciiTheme="minorHAnsi" w:hAnsiTheme="minorHAnsi" w:cs="Times New Roman"/>
                <w:sz w:val="18"/>
                <w:szCs w:val="18"/>
              </w:rPr>
              <w:t>DVA is open and responsive to requests from regulated entities regarding the operation of the regulatory framework, and approaches implemented by regulators.</w:t>
            </w:r>
          </w:p>
          <w:p w:rsidR="0012517C" w:rsidRPr="0012517C" w:rsidRDefault="0012517C" w:rsidP="0012517C">
            <w:pPr>
              <w:pStyle w:val="bullets"/>
              <w:numPr>
                <w:ilvl w:val="0"/>
                <w:numId w:val="12"/>
              </w:numPr>
              <w:spacing w:after="120" w:line="240" w:lineRule="auto"/>
              <w:rPr>
                <w:rFonts w:asciiTheme="minorHAnsi" w:hAnsiTheme="minorHAnsi" w:cs="Times New Roman"/>
                <w:sz w:val="18"/>
                <w:szCs w:val="18"/>
              </w:rPr>
            </w:pPr>
            <w:r w:rsidRPr="0012517C">
              <w:rPr>
                <w:rFonts w:asciiTheme="minorHAnsi" w:hAnsiTheme="minorHAnsi" w:cs="Times New Roman"/>
                <w:sz w:val="18"/>
                <w:szCs w:val="18"/>
              </w:rPr>
              <w:t>DVA’s performance measurement results are published in a timely manner to ensure accountability to the public.</w:t>
            </w:r>
          </w:p>
        </w:tc>
        <w:tc>
          <w:tcPr>
            <w:tcW w:w="1327" w:type="pct"/>
          </w:tcPr>
          <w:p w:rsidR="0012517C" w:rsidRPr="0012517C" w:rsidRDefault="0012517C" w:rsidP="0012517C">
            <w:pPr>
              <w:pStyle w:val="bullets"/>
              <w:numPr>
                <w:ilvl w:val="0"/>
                <w:numId w:val="1"/>
              </w:numPr>
              <w:spacing w:after="120" w:line="240" w:lineRule="auto"/>
              <w:ind w:left="317" w:hanging="283"/>
              <w:rPr>
                <w:rFonts w:asciiTheme="minorHAnsi" w:hAnsiTheme="minorHAnsi" w:cs="Times New Roman"/>
                <w:sz w:val="18"/>
                <w:szCs w:val="18"/>
              </w:rPr>
            </w:pPr>
            <w:r w:rsidRPr="0012517C">
              <w:rPr>
                <w:rFonts w:asciiTheme="minorHAnsi" w:hAnsiTheme="minorHAnsi" w:cs="Times New Roman"/>
                <w:sz w:val="18"/>
                <w:szCs w:val="18"/>
              </w:rPr>
              <w:t>Enforcement strategy and risk approach are published.</w:t>
            </w:r>
          </w:p>
          <w:p w:rsidR="0012517C" w:rsidRPr="0012517C" w:rsidRDefault="0012517C" w:rsidP="0012517C">
            <w:pPr>
              <w:pStyle w:val="bullets"/>
              <w:numPr>
                <w:ilvl w:val="0"/>
                <w:numId w:val="1"/>
              </w:numPr>
              <w:spacing w:after="120" w:line="240" w:lineRule="auto"/>
              <w:ind w:left="317" w:hanging="283"/>
              <w:rPr>
                <w:rFonts w:asciiTheme="minorHAnsi" w:hAnsiTheme="minorHAnsi" w:cs="Times New Roman"/>
                <w:sz w:val="18"/>
                <w:szCs w:val="18"/>
              </w:rPr>
            </w:pPr>
            <w:r w:rsidRPr="0012517C">
              <w:rPr>
                <w:rFonts w:asciiTheme="minorHAnsi" w:hAnsiTheme="minorHAnsi" w:cs="Times New Roman"/>
                <w:sz w:val="18"/>
                <w:szCs w:val="18"/>
              </w:rPr>
              <w:t>Performance measurement results are published.</w:t>
            </w:r>
          </w:p>
          <w:p w:rsidR="0012517C" w:rsidRPr="0012517C" w:rsidRDefault="0012517C" w:rsidP="0012517C">
            <w:pPr>
              <w:pStyle w:val="bullets"/>
              <w:numPr>
                <w:ilvl w:val="0"/>
                <w:numId w:val="1"/>
              </w:numPr>
              <w:spacing w:after="120" w:line="240" w:lineRule="auto"/>
              <w:ind w:left="317" w:hanging="283"/>
              <w:rPr>
                <w:rFonts w:asciiTheme="minorHAnsi" w:hAnsiTheme="minorHAnsi" w:cs="Times New Roman"/>
                <w:sz w:val="18"/>
                <w:szCs w:val="18"/>
              </w:rPr>
            </w:pPr>
            <w:r w:rsidRPr="0012517C">
              <w:rPr>
                <w:rFonts w:asciiTheme="minorHAnsi" w:hAnsiTheme="minorHAnsi" w:cs="Times New Roman"/>
                <w:sz w:val="18"/>
                <w:szCs w:val="18"/>
              </w:rPr>
              <w:t>Number of responses to requests from regulated entities provided within specified timeframes.</w:t>
            </w:r>
          </w:p>
          <w:p w:rsidR="0012517C" w:rsidRPr="0012517C" w:rsidRDefault="0012517C" w:rsidP="0012517C">
            <w:pPr>
              <w:pStyle w:val="ListParagraph"/>
              <w:numPr>
                <w:ilvl w:val="0"/>
                <w:numId w:val="1"/>
              </w:numPr>
              <w:spacing w:after="120"/>
              <w:ind w:left="317" w:hanging="283"/>
              <w:rPr>
                <w:color w:val="000000" w:themeColor="text1"/>
                <w:sz w:val="18"/>
                <w:szCs w:val="18"/>
                <w:lang w:val="en-GB"/>
              </w:rPr>
            </w:pPr>
            <w:r w:rsidRPr="0012517C">
              <w:rPr>
                <w:color w:val="000000" w:themeColor="text1"/>
                <w:sz w:val="18"/>
                <w:szCs w:val="18"/>
                <w:lang w:val="en-GB"/>
              </w:rPr>
              <w:t>Advice and guidance is widely available to stakeholders, with feedback mechanisms in place to support and inform continuous improvement.</w:t>
            </w:r>
          </w:p>
        </w:tc>
        <w:tc>
          <w:tcPr>
            <w:tcW w:w="1327" w:type="pct"/>
          </w:tcPr>
          <w:p w:rsidR="0012517C" w:rsidRPr="0012517C" w:rsidRDefault="0012517C" w:rsidP="00583965">
            <w:pPr>
              <w:rPr>
                <w:sz w:val="18"/>
                <w:szCs w:val="18"/>
              </w:rPr>
            </w:pPr>
            <w:r w:rsidRPr="0012517C">
              <w:rPr>
                <w:sz w:val="18"/>
                <w:szCs w:val="18"/>
              </w:rPr>
              <w:t>The Use of the Word ‘Anzac’ Guidelines will contain information on DVA’s enforcement strategy and risk approach.</w:t>
            </w:r>
          </w:p>
          <w:p w:rsidR="0012517C" w:rsidRPr="0012517C" w:rsidRDefault="0012517C" w:rsidP="00583965">
            <w:pPr>
              <w:rPr>
                <w:sz w:val="18"/>
                <w:szCs w:val="18"/>
              </w:rPr>
            </w:pPr>
          </w:p>
          <w:p w:rsidR="0012517C" w:rsidRPr="0012517C" w:rsidRDefault="0012517C" w:rsidP="00583965">
            <w:pPr>
              <w:rPr>
                <w:sz w:val="18"/>
                <w:szCs w:val="18"/>
              </w:rPr>
            </w:pPr>
            <w:r w:rsidRPr="0012517C">
              <w:rPr>
                <w:sz w:val="18"/>
                <w:szCs w:val="18"/>
              </w:rPr>
              <w:t>Information on responses will be collected</w:t>
            </w:r>
            <w:r w:rsidR="00A24C6E">
              <w:rPr>
                <w:sz w:val="18"/>
                <w:szCs w:val="18"/>
              </w:rPr>
              <w:t>.</w:t>
            </w:r>
          </w:p>
          <w:p w:rsidR="0012517C" w:rsidRPr="0012517C" w:rsidRDefault="0012517C" w:rsidP="00583965">
            <w:pPr>
              <w:rPr>
                <w:sz w:val="18"/>
                <w:szCs w:val="18"/>
              </w:rPr>
            </w:pPr>
          </w:p>
          <w:p w:rsidR="0012517C" w:rsidRPr="0012517C" w:rsidRDefault="0012517C" w:rsidP="00A24C6E">
            <w:pPr>
              <w:rPr>
                <w:sz w:val="18"/>
                <w:szCs w:val="18"/>
              </w:rPr>
            </w:pPr>
            <w:r w:rsidRPr="0012517C">
              <w:rPr>
                <w:sz w:val="18"/>
                <w:szCs w:val="18"/>
              </w:rPr>
              <w:t>The Guidelines include information for the public. Feedback will be used to update the Guidelines as necessary.</w:t>
            </w:r>
          </w:p>
        </w:tc>
      </w:tr>
      <w:tr w:rsidR="0012517C" w:rsidRPr="00D44AAF" w:rsidTr="00797AE5">
        <w:trPr>
          <w:trHeight w:val="3018"/>
        </w:trPr>
        <w:tc>
          <w:tcPr>
            <w:tcW w:w="1019" w:type="pct"/>
          </w:tcPr>
          <w:p w:rsidR="0012517C" w:rsidRPr="0012517C" w:rsidRDefault="0012517C" w:rsidP="00797AE5">
            <w:pPr>
              <w:pStyle w:val="bullets"/>
              <w:spacing w:after="120" w:line="240" w:lineRule="auto"/>
              <w:ind w:left="0" w:firstLine="0"/>
              <w:rPr>
                <w:rFonts w:asciiTheme="minorHAnsi" w:hAnsiTheme="minorHAnsi" w:cs="Times New Roman"/>
                <w:sz w:val="18"/>
                <w:szCs w:val="18"/>
              </w:rPr>
            </w:pPr>
            <w:r w:rsidRPr="0012517C">
              <w:rPr>
                <w:rFonts w:asciiTheme="minorHAnsi" w:hAnsiTheme="minorHAnsi" w:cs="Times New Roman"/>
                <w:b/>
                <w:sz w:val="18"/>
                <w:szCs w:val="18"/>
                <w:lang w:val="en-AU"/>
              </w:rPr>
              <w:t>KPI 6 – Regulators actively contribute to the continuous improvement of regulatory frameworks</w:t>
            </w:r>
          </w:p>
        </w:tc>
        <w:tc>
          <w:tcPr>
            <w:tcW w:w="1327" w:type="pct"/>
          </w:tcPr>
          <w:p w:rsidR="0012517C" w:rsidRPr="0012517C" w:rsidRDefault="0012517C" w:rsidP="0012517C">
            <w:pPr>
              <w:pStyle w:val="bullets"/>
              <w:numPr>
                <w:ilvl w:val="0"/>
                <w:numId w:val="13"/>
              </w:numPr>
              <w:spacing w:after="120" w:line="240" w:lineRule="auto"/>
              <w:rPr>
                <w:rFonts w:asciiTheme="minorHAnsi" w:hAnsiTheme="minorHAnsi" w:cs="Times New Roman"/>
                <w:sz w:val="18"/>
                <w:szCs w:val="18"/>
              </w:rPr>
            </w:pPr>
            <w:r w:rsidRPr="0012517C">
              <w:rPr>
                <w:rFonts w:asciiTheme="minorHAnsi" w:hAnsiTheme="minorHAnsi" w:cs="Times New Roman"/>
                <w:sz w:val="18"/>
                <w:szCs w:val="18"/>
              </w:rPr>
              <w:t>DVA establishes cooperative and collaborative relationships with stakeholders to promote trust and improve the efficiency and effectiveness of the regulatory framework.</w:t>
            </w:r>
          </w:p>
          <w:p w:rsidR="0012517C" w:rsidRPr="0012517C" w:rsidRDefault="0012517C" w:rsidP="0012517C">
            <w:pPr>
              <w:pStyle w:val="bullets"/>
              <w:numPr>
                <w:ilvl w:val="0"/>
                <w:numId w:val="13"/>
              </w:numPr>
              <w:spacing w:after="120" w:line="240" w:lineRule="auto"/>
              <w:rPr>
                <w:rFonts w:asciiTheme="minorHAnsi" w:hAnsiTheme="minorHAnsi" w:cs="Times New Roman"/>
                <w:sz w:val="18"/>
                <w:szCs w:val="18"/>
              </w:rPr>
            </w:pPr>
            <w:r w:rsidRPr="0012517C">
              <w:rPr>
                <w:rFonts w:asciiTheme="minorHAnsi" w:hAnsiTheme="minorHAnsi" w:cs="Times New Roman"/>
                <w:sz w:val="18"/>
                <w:szCs w:val="18"/>
              </w:rPr>
              <w:t>DVA regularly shares feedback from stakeholders and performance information (including from inspections) with policy departments to improve the operation of the regulatory framework and administrative processes.</w:t>
            </w:r>
          </w:p>
        </w:tc>
        <w:tc>
          <w:tcPr>
            <w:tcW w:w="1327" w:type="pct"/>
          </w:tcPr>
          <w:p w:rsidR="0012517C" w:rsidRPr="0012517C" w:rsidRDefault="0012517C" w:rsidP="0012517C">
            <w:pPr>
              <w:pStyle w:val="bullets"/>
              <w:numPr>
                <w:ilvl w:val="0"/>
                <w:numId w:val="1"/>
              </w:numPr>
              <w:spacing w:after="120" w:line="240" w:lineRule="auto"/>
              <w:ind w:left="317" w:hanging="283"/>
              <w:rPr>
                <w:rFonts w:asciiTheme="minorHAnsi" w:hAnsiTheme="minorHAnsi" w:cs="Times New Roman"/>
                <w:sz w:val="18"/>
                <w:szCs w:val="18"/>
              </w:rPr>
            </w:pPr>
            <w:r w:rsidRPr="0012517C">
              <w:rPr>
                <w:rFonts w:asciiTheme="minorHAnsi" w:hAnsiTheme="minorHAnsi" w:cs="Times New Roman"/>
                <w:sz w:val="18"/>
                <w:szCs w:val="18"/>
              </w:rPr>
              <w:t xml:space="preserve">Feedback mechanisms are </w:t>
            </w:r>
            <w:r w:rsidR="00A24C6E" w:rsidRPr="0012517C">
              <w:rPr>
                <w:rFonts w:asciiTheme="minorHAnsi" w:hAnsiTheme="minorHAnsi" w:cs="Times New Roman"/>
                <w:sz w:val="18"/>
                <w:szCs w:val="18"/>
              </w:rPr>
              <w:t>available</w:t>
            </w:r>
            <w:r w:rsidRPr="0012517C">
              <w:rPr>
                <w:rFonts w:asciiTheme="minorHAnsi" w:hAnsiTheme="minorHAnsi" w:cs="Times New Roman"/>
                <w:sz w:val="18"/>
                <w:szCs w:val="18"/>
              </w:rPr>
              <w:t>.</w:t>
            </w:r>
          </w:p>
          <w:p w:rsidR="0012517C" w:rsidRPr="0012517C" w:rsidRDefault="0012517C" w:rsidP="0012517C">
            <w:pPr>
              <w:pStyle w:val="bullets"/>
              <w:numPr>
                <w:ilvl w:val="0"/>
                <w:numId w:val="1"/>
              </w:numPr>
              <w:spacing w:after="120" w:line="240" w:lineRule="auto"/>
              <w:ind w:left="317" w:hanging="283"/>
              <w:rPr>
                <w:rFonts w:asciiTheme="minorHAnsi" w:hAnsiTheme="minorHAnsi" w:cs="Times New Roman"/>
                <w:sz w:val="18"/>
                <w:szCs w:val="18"/>
              </w:rPr>
            </w:pPr>
            <w:r w:rsidRPr="0012517C">
              <w:rPr>
                <w:rFonts w:asciiTheme="minorHAnsi" w:hAnsiTheme="minorHAnsi" w:cs="Times New Roman"/>
                <w:sz w:val="18"/>
                <w:szCs w:val="18"/>
              </w:rPr>
              <w:t>Documented procedures are in place to facilitate the flow of information between the regulator and policy departments.</w:t>
            </w:r>
          </w:p>
        </w:tc>
        <w:tc>
          <w:tcPr>
            <w:tcW w:w="1327" w:type="pct"/>
          </w:tcPr>
          <w:p w:rsidR="0012517C" w:rsidRPr="0012517C" w:rsidRDefault="00C67922" w:rsidP="00583965">
            <w:pPr>
              <w:rPr>
                <w:sz w:val="18"/>
                <w:szCs w:val="18"/>
              </w:rPr>
            </w:pPr>
            <w:r>
              <w:rPr>
                <w:sz w:val="18"/>
                <w:szCs w:val="18"/>
              </w:rPr>
              <w:t>Regulated entities are able to provide feedback.</w:t>
            </w:r>
          </w:p>
          <w:p w:rsidR="0012517C" w:rsidRPr="0012517C" w:rsidRDefault="0012517C" w:rsidP="00583965">
            <w:pPr>
              <w:rPr>
                <w:sz w:val="18"/>
                <w:szCs w:val="18"/>
              </w:rPr>
            </w:pPr>
          </w:p>
          <w:p w:rsidR="0012517C" w:rsidRPr="0012517C" w:rsidRDefault="0012517C">
            <w:pPr>
              <w:rPr>
                <w:sz w:val="18"/>
                <w:szCs w:val="18"/>
              </w:rPr>
            </w:pPr>
            <w:r w:rsidRPr="0012517C">
              <w:rPr>
                <w:sz w:val="18"/>
                <w:szCs w:val="18"/>
              </w:rPr>
              <w:t xml:space="preserve">A </w:t>
            </w:r>
            <w:r w:rsidR="00487022">
              <w:rPr>
                <w:sz w:val="18"/>
                <w:szCs w:val="18"/>
              </w:rPr>
              <w:t>h</w:t>
            </w:r>
            <w:r w:rsidR="00C67922">
              <w:rPr>
                <w:sz w:val="18"/>
                <w:szCs w:val="18"/>
              </w:rPr>
              <w:t>andbook</w:t>
            </w:r>
            <w:r w:rsidRPr="0012517C">
              <w:rPr>
                <w:sz w:val="18"/>
                <w:szCs w:val="18"/>
              </w:rPr>
              <w:t xml:space="preserve"> outlining internal processes for use of the word ‘Anzac’, including standard words and templates </w:t>
            </w:r>
            <w:r w:rsidR="00A24C6E">
              <w:rPr>
                <w:sz w:val="18"/>
                <w:szCs w:val="18"/>
              </w:rPr>
              <w:t>is</w:t>
            </w:r>
            <w:r w:rsidRPr="0012517C">
              <w:rPr>
                <w:sz w:val="18"/>
                <w:szCs w:val="18"/>
              </w:rPr>
              <w:t xml:space="preserve"> available to DVA staff.</w:t>
            </w:r>
          </w:p>
        </w:tc>
      </w:tr>
    </w:tbl>
    <w:p w:rsidR="0012517C" w:rsidRPr="0012517C" w:rsidRDefault="0012517C" w:rsidP="0012517C"/>
    <w:p w:rsidR="00B33A0B" w:rsidRDefault="00B33A0B"/>
    <w:p w:rsidR="008F129B" w:rsidRDefault="008F129B"/>
    <w:p w:rsidR="008F129B" w:rsidRDefault="008F129B">
      <w:r>
        <w:br w:type="page"/>
      </w:r>
    </w:p>
    <w:p w:rsidR="00E43847" w:rsidRDefault="00E43847" w:rsidP="00E43847">
      <w:pPr>
        <w:pStyle w:val="Heading1"/>
      </w:pPr>
      <w:bookmarkStart w:id="28" w:name="_Toc465262929"/>
      <w:r>
        <w:t xml:space="preserve">Appendix </w:t>
      </w:r>
      <w:bookmarkEnd w:id="25"/>
      <w:bookmarkEnd w:id="26"/>
      <w:r w:rsidR="0012517C">
        <w:t>B</w:t>
      </w:r>
      <w:r w:rsidR="001D4F51">
        <w:t>: Results and evidence against each metric</w:t>
      </w:r>
      <w:bookmarkEnd w:id="28"/>
    </w:p>
    <w:tbl>
      <w:tblPr>
        <w:tblStyle w:val="TableGrid1"/>
        <w:tblW w:w="5000" w:type="pct"/>
        <w:tblLook w:val="04A0" w:firstRow="1" w:lastRow="0" w:firstColumn="1" w:lastColumn="0" w:noHBand="0" w:noVBand="1"/>
      </w:tblPr>
      <w:tblGrid>
        <w:gridCol w:w="1838"/>
        <w:gridCol w:w="3589"/>
        <w:gridCol w:w="3589"/>
      </w:tblGrid>
      <w:tr w:rsidR="001D4F51" w:rsidRPr="00D44AAF" w:rsidTr="00797AE5">
        <w:trPr>
          <w:cantSplit/>
          <w:tblHeader/>
        </w:trPr>
        <w:tc>
          <w:tcPr>
            <w:tcW w:w="1019" w:type="pct"/>
            <w:shd w:val="clear" w:color="auto" w:fill="D9D9D9"/>
          </w:tcPr>
          <w:p w:rsidR="001D4F51" w:rsidRPr="001D4F51" w:rsidRDefault="001D4F51" w:rsidP="00583965">
            <w:pPr>
              <w:ind w:left="360" w:hanging="218"/>
              <w:rPr>
                <w:rFonts w:eastAsia="Times New Roman"/>
                <w:b/>
                <w:sz w:val="18"/>
                <w:szCs w:val="18"/>
                <w:lang w:eastAsia="en-AU"/>
              </w:rPr>
            </w:pPr>
            <w:r w:rsidRPr="001D4F51">
              <w:rPr>
                <w:rFonts w:eastAsia="Times New Roman"/>
                <w:b/>
                <w:sz w:val="18"/>
                <w:szCs w:val="18"/>
                <w:lang w:eastAsia="en-AU"/>
              </w:rPr>
              <w:t>KPI</w:t>
            </w:r>
          </w:p>
        </w:tc>
        <w:tc>
          <w:tcPr>
            <w:tcW w:w="1990" w:type="pct"/>
            <w:shd w:val="clear" w:color="auto" w:fill="D9D9D9"/>
          </w:tcPr>
          <w:p w:rsidR="001D4F51" w:rsidRPr="001D4F51" w:rsidRDefault="001D4F51" w:rsidP="00583965">
            <w:pPr>
              <w:ind w:left="720" w:hanging="686"/>
              <w:contextualSpacing/>
              <w:jc w:val="center"/>
              <w:rPr>
                <w:rFonts w:eastAsia="Times New Roman"/>
                <w:b/>
                <w:sz w:val="18"/>
                <w:szCs w:val="18"/>
                <w:lang w:eastAsia="en-AU"/>
              </w:rPr>
            </w:pPr>
            <w:r w:rsidRPr="001D4F51">
              <w:rPr>
                <w:rFonts w:eastAsia="Times New Roman"/>
                <w:b/>
                <w:sz w:val="18"/>
                <w:szCs w:val="18"/>
                <w:lang w:eastAsia="en-AU"/>
              </w:rPr>
              <w:t>Output Metric</w:t>
            </w:r>
          </w:p>
          <w:p w:rsidR="001D4F51" w:rsidRPr="001D4F51" w:rsidRDefault="001D4F51" w:rsidP="00583965">
            <w:pPr>
              <w:jc w:val="center"/>
              <w:rPr>
                <w:rFonts w:eastAsia="Times New Roman"/>
                <w:b/>
                <w:i/>
                <w:sz w:val="18"/>
                <w:szCs w:val="18"/>
                <w:lang w:eastAsia="en-AU"/>
              </w:rPr>
            </w:pPr>
          </w:p>
        </w:tc>
        <w:tc>
          <w:tcPr>
            <w:tcW w:w="1990" w:type="pct"/>
            <w:shd w:val="clear" w:color="auto" w:fill="D9D9D9"/>
          </w:tcPr>
          <w:p w:rsidR="001D4F51" w:rsidRPr="001D4F51" w:rsidRDefault="001D4F51" w:rsidP="00583965">
            <w:pPr>
              <w:ind w:left="720" w:hanging="686"/>
              <w:contextualSpacing/>
              <w:jc w:val="center"/>
              <w:rPr>
                <w:rFonts w:eastAsia="Times New Roman"/>
                <w:b/>
                <w:sz w:val="18"/>
                <w:szCs w:val="18"/>
                <w:lang w:eastAsia="en-AU"/>
              </w:rPr>
            </w:pPr>
            <w:r w:rsidRPr="001D4F51">
              <w:rPr>
                <w:rFonts w:eastAsia="Times New Roman"/>
                <w:b/>
                <w:sz w:val="18"/>
                <w:szCs w:val="18"/>
                <w:lang w:eastAsia="en-AU"/>
              </w:rPr>
              <w:t>Evidence and Results</w:t>
            </w:r>
          </w:p>
        </w:tc>
      </w:tr>
      <w:tr w:rsidR="001D4F51" w:rsidRPr="00D44AAF" w:rsidTr="00797AE5">
        <w:trPr>
          <w:cantSplit/>
          <w:trHeight w:val="497"/>
        </w:trPr>
        <w:tc>
          <w:tcPr>
            <w:tcW w:w="1019" w:type="pct"/>
            <w:vMerge w:val="restart"/>
          </w:tcPr>
          <w:p w:rsidR="001D4F51" w:rsidRPr="001D4F51" w:rsidRDefault="001D4F51" w:rsidP="00797AE5">
            <w:pPr>
              <w:rPr>
                <w:rFonts w:eastAsia="Times New Roman"/>
                <w:b/>
                <w:sz w:val="18"/>
                <w:szCs w:val="18"/>
                <w:lang w:eastAsia="en-AU"/>
              </w:rPr>
            </w:pPr>
            <w:r w:rsidRPr="001D4F51">
              <w:rPr>
                <w:rFonts w:eastAsia="Times New Roman"/>
                <w:b/>
                <w:sz w:val="18"/>
                <w:szCs w:val="18"/>
                <w:lang w:eastAsia="en-AU"/>
              </w:rPr>
              <w:t xml:space="preserve">KPI 1 – Regulators do not unnecessarily impede the </w:t>
            </w:r>
            <w:r w:rsidR="00797AE5">
              <w:rPr>
                <w:rFonts w:eastAsia="Times New Roman"/>
                <w:b/>
                <w:sz w:val="18"/>
                <w:szCs w:val="18"/>
                <w:lang w:eastAsia="en-AU"/>
              </w:rPr>
              <w:t xml:space="preserve">efficient operation </w:t>
            </w:r>
            <w:r w:rsidRPr="001D4F51">
              <w:rPr>
                <w:rFonts w:eastAsia="Times New Roman"/>
                <w:b/>
                <w:sz w:val="18"/>
                <w:szCs w:val="18"/>
                <w:lang w:eastAsia="en-AU"/>
              </w:rPr>
              <w:t>of regulated entities</w:t>
            </w:r>
          </w:p>
        </w:tc>
        <w:tc>
          <w:tcPr>
            <w:tcW w:w="1990" w:type="pct"/>
          </w:tcPr>
          <w:p w:rsidR="001D4F51" w:rsidRPr="001D4F51" w:rsidRDefault="001D4F51" w:rsidP="00797AE5">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Documented responsiveness to feedback from regulated entities, including feedback from existing complaint mechanisms and surveys of regulated entities.</w:t>
            </w:r>
          </w:p>
        </w:tc>
        <w:tc>
          <w:tcPr>
            <w:tcW w:w="1990" w:type="pct"/>
            <w:shd w:val="clear" w:color="auto" w:fill="E2EFD9" w:themeFill="accent6" w:themeFillTint="33"/>
          </w:tcPr>
          <w:p w:rsidR="001D4F51" w:rsidRPr="001D4F51" w:rsidRDefault="001D4F51" w:rsidP="00797AE5">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Register of interactions with regulated entities stored in Department’s TRIM system.</w:t>
            </w:r>
          </w:p>
        </w:tc>
      </w:tr>
      <w:tr w:rsidR="001D4F51" w:rsidRPr="00D44AAF" w:rsidTr="00797AE5">
        <w:trPr>
          <w:cantSplit/>
          <w:trHeight w:val="70"/>
        </w:trPr>
        <w:tc>
          <w:tcPr>
            <w:tcW w:w="1019" w:type="pct"/>
            <w:vMerge/>
          </w:tcPr>
          <w:p w:rsidR="001D4F51" w:rsidRPr="001D4F51" w:rsidRDefault="001D4F51" w:rsidP="0012517C">
            <w:pPr>
              <w:jc w:val="center"/>
              <w:rPr>
                <w:rFonts w:eastAsia="Times New Roman"/>
                <w:b/>
                <w:sz w:val="18"/>
                <w:szCs w:val="18"/>
                <w:lang w:eastAsia="en-AU"/>
              </w:rPr>
            </w:pPr>
          </w:p>
        </w:tc>
        <w:tc>
          <w:tcPr>
            <w:tcW w:w="1990" w:type="pct"/>
          </w:tcPr>
          <w:p w:rsidR="001D4F51" w:rsidRPr="001D4F51" w:rsidRDefault="001D4F51" w:rsidP="00797AE5">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Environment scanning is undertaken regularly and at a minimum, on an annual basis.</w:t>
            </w:r>
          </w:p>
        </w:tc>
        <w:tc>
          <w:tcPr>
            <w:tcW w:w="1990" w:type="pct"/>
            <w:shd w:val="clear" w:color="auto" w:fill="FFF2CC" w:themeFill="accent4" w:themeFillTint="33"/>
          </w:tcPr>
          <w:p w:rsidR="001D4F51" w:rsidRPr="001D4F51" w:rsidRDefault="001D4F51" w:rsidP="0016395E">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Department-initiated enforcements resulting from environment scanning recorded.</w:t>
            </w:r>
          </w:p>
        </w:tc>
      </w:tr>
      <w:tr w:rsidR="001D4F51" w:rsidRPr="00D44AAF" w:rsidTr="00797AE5">
        <w:trPr>
          <w:cantSplit/>
          <w:trHeight w:val="335"/>
        </w:trPr>
        <w:tc>
          <w:tcPr>
            <w:tcW w:w="1019" w:type="pct"/>
            <w:vMerge w:val="restart"/>
            <w:shd w:val="clear" w:color="auto" w:fill="auto"/>
          </w:tcPr>
          <w:p w:rsidR="001D4F51" w:rsidRPr="001D4F51" w:rsidRDefault="001D4F51" w:rsidP="00797AE5">
            <w:pPr>
              <w:rPr>
                <w:rFonts w:eastAsia="Times New Roman"/>
                <w:b/>
                <w:bCs/>
                <w:sz w:val="18"/>
                <w:szCs w:val="18"/>
                <w:lang w:eastAsia="en-AU"/>
              </w:rPr>
            </w:pPr>
            <w:r w:rsidRPr="001D4F51">
              <w:rPr>
                <w:rFonts w:eastAsia="Times New Roman"/>
                <w:b/>
                <w:bCs/>
                <w:sz w:val="18"/>
                <w:szCs w:val="18"/>
                <w:lang w:eastAsia="en-AU"/>
              </w:rPr>
              <w:t xml:space="preserve">KPI 2 – </w:t>
            </w:r>
            <w:r w:rsidR="00797AE5">
              <w:rPr>
                <w:rFonts w:eastAsia="Times New Roman"/>
                <w:b/>
                <w:bCs/>
                <w:sz w:val="18"/>
                <w:szCs w:val="18"/>
                <w:lang w:eastAsia="en-AU"/>
              </w:rPr>
              <w:t>C</w:t>
            </w:r>
            <w:r w:rsidRPr="001D4F51">
              <w:rPr>
                <w:rFonts w:eastAsia="Times New Roman"/>
                <w:b/>
                <w:bCs/>
                <w:sz w:val="18"/>
                <w:szCs w:val="18"/>
                <w:lang w:eastAsia="en-AU"/>
              </w:rPr>
              <w:t>ommunication with regulated entities is clear, targeted and effective</w:t>
            </w:r>
          </w:p>
          <w:p w:rsidR="001D4F51" w:rsidRPr="001D4F51" w:rsidRDefault="001D4F51" w:rsidP="0012517C">
            <w:pPr>
              <w:jc w:val="center"/>
              <w:rPr>
                <w:rFonts w:eastAsia="Times New Roman"/>
                <w:b/>
                <w:sz w:val="18"/>
                <w:szCs w:val="18"/>
                <w:lang w:eastAsia="en-AU"/>
              </w:rPr>
            </w:pPr>
          </w:p>
        </w:tc>
        <w:tc>
          <w:tcPr>
            <w:tcW w:w="1990" w:type="pct"/>
          </w:tcPr>
          <w:p w:rsidR="001D4F51" w:rsidRPr="001D4F51" w:rsidRDefault="001D4F51" w:rsidP="00797AE5">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Percentage of guidance materials that complies with government accessibility guidelines.</w:t>
            </w:r>
          </w:p>
        </w:tc>
        <w:tc>
          <w:tcPr>
            <w:tcW w:w="1990" w:type="pct"/>
            <w:shd w:val="clear" w:color="auto" w:fill="E2EFD9" w:themeFill="accent6" w:themeFillTint="33"/>
          </w:tcPr>
          <w:p w:rsidR="001D4F51" w:rsidRPr="001D4F51" w:rsidRDefault="001D4F51" w:rsidP="00797AE5">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 xml:space="preserve">100% of website and </w:t>
            </w:r>
            <w:r w:rsidRPr="003B568A">
              <w:rPr>
                <w:rFonts w:eastAsia="Times New Roman"/>
                <w:color w:val="000000"/>
                <w:sz w:val="18"/>
                <w:szCs w:val="18"/>
                <w:lang w:val="en-GB"/>
              </w:rPr>
              <w:t>Guidelines</w:t>
            </w:r>
            <w:r w:rsidRPr="001D4F51">
              <w:rPr>
                <w:rFonts w:eastAsia="Times New Roman"/>
                <w:i/>
                <w:color w:val="000000"/>
                <w:sz w:val="18"/>
                <w:szCs w:val="18"/>
                <w:lang w:val="en-GB"/>
              </w:rPr>
              <w:t xml:space="preserve"> </w:t>
            </w:r>
            <w:r w:rsidRPr="001D4F51">
              <w:rPr>
                <w:rFonts w:eastAsia="Times New Roman"/>
                <w:color w:val="000000"/>
                <w:sz w:val="18"/>
                <w:szCs w:val="18"/>
                <w:lang w:val="en-GB"/>
              </w:rPr>
              <w:t>complies with government accessibility guidelines.</w:t>
            </w:r>
          </w:p>
        </w:tc>
      </w:tr>
      <w:tr w:rsidR="001D4F51" w:rsidRPr="00D44AAF" w:rsidTr="00797AE5">
        <w:trPr>
          <w:cantSplit/>
          <w:trHeight w:val="251"/>
        </w:trPr>
        <w:tc>
          <w:tcPr>
            <w:tcW w:w="1019" w:type="pct"/>
            <w:vMerge/>
            <w:shd w:val="clear" w:color="auto" w:fill="auto"/>
          </w:tcPr>
          <w:p w:rsidR="001D4F51" w:rsidRPr="001D4F51" w:rsidRDefault="001D4F51" w:rsidP="0012517C">
            <w:pPr>
              <w:jc w:val="center"/>
              <w:rPr>
                <w:rFonts w:eastAsia="Times New Roman"/>
                <w:b/>
                <w:bCs/>
                <w:sz w:val="18"/>
                <w:szCs w:val="18"/>
                <w:lang w:eastAsia="en-AU"/>
              </w:rPr>
            </w:pPr>
          </w:p>
        </w:tc>
        <w:tc>
          <w:tcPr>
            <w:tcW w:w="1990" w:type="pct"/>
          </w:tcPr>
          <w:p w:rsidR="001D4F51" w:rsidRPr="001D4F51" w:rsidRDefault="001D4F51" w:rsidP="00797AE5">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Maximum, minimum and average time for decision.</w:t>
            </w:r>
          </w:p>
        </w:tc>
        <w:tc>
          <w:tcPr>
            <w:tcW w:w="1990" w:type="pct"/>
            <w:shd w:val="clear" w:color="auto" w:fill="FFF2CC" w:themeFill="accent4" w:themeFillTint="33"/>
          </w:tcPr>
          <w:p w:rsidR="001D4F51" w:rsidRPr="001D4F51" w:rsidRDefault="001D4F51" w:rsidP="00797AE5">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Information not recorded.</w:t>
            </w:r>
          </w:p>
        </w:tc>
      </w:tr>
      <w:tr w:rsidR="001D4F51" w:rsidRPr="00D44AAF" w:rsidTr="00797AE5">
        <w:trPr>
          <w:cantSplit/>
          <w:trHeight w:val="259"/>
        </w:trPr>
        <w:tc>
          <w:tcPr>
            <w:tcW w:w="1019" w:type="pct"/>
            <w:vMerge/>
            <w:shd w:val="clear" w:color="auto" w:fill="auto"/>
          </w:tcPr>
          <w:p w:rsidR="001D4F51" w:rsidRPr="001D4F51" w:rsidRDefault="001D4F51" w:rsidP="0012517C">
            <w:pPr>
              <w:jc w:val="center"/>
              <w:rPr>
                <w:rFonts w:eastAsia="Times New Roman"/>
                <w:b/>
                <w:bCs/>
                <w:sz w:val="18"/>
                <w:szCs w:val="18"/>
                <w:lang w:eastAsia="en-AU"/>
              </w:rPr>
            </w:pPr>
          </w:p>
        </w:tc>
        <w:tc>
          <w:tcPr>
            <w:tcW w:w="1990" w:type="pct"/>
          </w:tcPr>
          <w:p w:rsidR="001D4F51" w:rsidRPr="001D4F51" w:rsidRDefault="001D4F51" w:rsidP="00797AE5">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Published timeframes for decision making.</w:t>
            </w:r>
          </w:p>
        </w:tc>
        <w:tc>
          <w:tcPr>
            <w:tcW w:w="1990" w:type="pct"/>
            <w:shd w:val="clear" w:color="auto" w:fill="FBE4D5" w:themeFill="accent2" w:themeFillTint="33"/>
          </w:tcPr>
          <w:p w:rsidR="001D4F51" w:rsidRPr="001D4F51" w:rsidRDefault="001D4F51" w:rsidP="00797AE5">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No timeframes specified.</w:t>
            </w:r>
          </w:p>
        </w:tc>
      </w:tr>
      <w:tr w:rsidR="001D4F51" w:rsidRPr="00D44AAF" w:rsidTr="00797AE5">
        <w:trPr>
          <w:cantSplit/>
          <w:trHeight w:val="898"/>
        </w:trPr>
        <w:tc>
          <w:tcPr>
            <w:tcW w:w="1019" w:type="pct"/>
            <w:vMerge/>
            <w:shd w:val="clear" w:color="auto" w:fill="auto"/>
          </w:tcPr>
          <w:p w:rsidR="001D4F51" w:rsidRPr="001D4F51" w:rsidRDefault="001D4F51" w:rsidP="0012517C">
            <w:pPr>
              <w:jc w:val="center"/>
              <w:rPr>
                <w:rFonts w:eastAsia="Times New Roman"/>
                <w:b/>
                <w:bCs/>
                <w:sz w:val="18"/>
                <w:szCs w:val="18"/>
                <w:lang w:eastAsia="en-AU"/>
              </w:rPr>
            </w:pPr>
          </w:p>
        </w:tc>
        <w:tc>
          <w:tcPr>
            <w:tcW w:w="1990" w:type="pct"/>
          </w:tcPr>
          <w:p w:rsidR="001D4F51" w:rsidRPr="001D4F51" w:rsidRDefault="001D4F51" w:rsidP="00797AE5">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Percentage of decisions accompanied by statement of reasons and advice about relevant review or appeal mechanisms, where appropriate.</w:t>
            </w:r>
          </w:p>
        </w:tc>
        <w:tc>
          <w:tcPr>
            <w:tcW w:w="1990" w:type="pct"/>
            <w:shd w:val="clear" w:color="auto" w:fill="E2EFD9" w:themeFill="accent6" w:themeFillTint="33"/>
          </w:tcPr>
          <w:p w:rsidR="001D4F51" w:rsidRPr="001D4F51" w:rsidRDefault="001D4F51" w:rsidP="00797AE5">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 xml:space="preserve">Advice to all applicants on review rights available in </w:t>
            </w:r>
            <w:r w:rsidRPr="003B568A">
              <w:rPr>
                <w:rFonts w:eastAsia="Times New Roman"/>
                <w:color w:val="000000"/>
                <w:sz w:val="18"/>
                <w:szCs w:val="18"/>
                <w:lang w:val="en-GB"/>
              </w:rPr>
              <w:t>Guidelines</w:t>
            </w:r>
            <w:r w:rsidRPr="001D4F51">
              <w:rPr>
                <w:rFonts w:eastAsia="Times New Roman"/>
                <w:color w:val="000000"/>
                <w:sz w:val="18"/>
                <w:szCs w:val="18"/>
                <w:lang w:val="en-GB"/>
              </w:rPr>
              <w:t>.</w:t>
            </w:r>
          </w:p>
          <w:p w:rsidR="001D4F51" w:rsidRPr="001D4F51" w:rsidRDefault="001D4F51" w:rsidP="00797AE5">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All decisions are communicated by explanatory letter</w:t>
            </w:r>
            <w:r w:rsidR="007774F9">
              <w:rPr>
                <w:rFonts w:eastAsia="Times New Roman"/>
                <w:color w:val="000000"/>
                <w:sz w:val="18"/>
                <w:szCs w:val="18"/>
                <w:lang w:val="en-GB"/>
              </w:rPr>
              <w:t xml:space="preserve"> or email</w:t>
            </w:r>
            <w:r w:rsidRPr="001D4F51">
              <w:rPr>
                <w:rFonts w:eastAsia="Times New Roman"/>
                <w:color w:val="000000"/>
                <w:sz w:val="18"/>
                <w:szCs w:val="18"/>
                <w:lang w:val="en-GB"/>
              </w:rPr>
              <w:t>. Letters include contact details in case of further queries.</w:t>
            </w:r>
          </w:p>
        </w:tc>
      </w:tr>
      <w:tr w:rsidR="001D4F51" w:rsidRPr="00D44AAF" w:rsidTr="00797AE5">
        <w:trPr>
          <w:cantSplit/>
          <w:trHeight w:val="640"/>
        </w:trPr>
        <w:tc>
          <w:tcPr>
            <w:tcW w:w="1019" w:type="pct"/>
            <w:vMerge/>
            <w:shd w:val="clear" w:color="auto" w:fill="auto"/>
          </w:tcPr>
          <w:p w:rsidR="001D4F51" w:rsidRPr="001D4F51" w:rsidRDefault="001D4F51" w:rsidP="0012517C">
            <w:pPr>
              <w:jc w:val="center"/>
              <w:rPr>
                <w:rFonts w:eastAsia="Times New Roman"/>
                <w:b/>
                <w:bCs/>
                <w:sz w:val="18"/>
                <w:szCs w:val="18"/>
                <w:lang w:eastAsia="en-AU"/>
              </w:rPr>
            </w:pPr>
          </w:p>
        </w:tc>
        <w:tc>
          <w:tcPr>
            <w:tcW w:w="1990" w:type="pct"/>
          </w:tcPr>
          <w:p w:rsidR="001D4F51" w:rsidRPr="001D4F51" w:rsidRDefault="001D4F51" w:rsidP="00797AE5">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Approved procedures for communications (including issue-specific scripts if relevant) are available for staff use when interacting with regulated entities.</w:t>
            </w:r>
          </w:p>
        </w:tc>
        <w:tc>
          <w:tcPr>
            <w:tcW w:w="1990" w:type="pct"/>
            <w:shd w:val="clear" w:color="auto" w:fill="E2EFD9" w:themeFill="accent6" w:themeFillTint="33"/>
          </w:tcPr>
          <w:p w:rsidR="001D4F51" w:rsidRPr="001D4F51" w:rsidRDefault="001D4F51" w:rsidP="00797AE5">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 xml:space="preserve">Templates exist and are used for decisions and enforcement actions. </w:t>
            </w:r>
          </w:p>
        </w:tc>
      </w:tr>
      <w:tr w:rsidR="001D4F51" w:rsidRPr="00D44AAF" w:rsidTr="00797AE5">
        <w:trPr>
          <w:cantSplit/>
          <w:trHeight w:val="372"/>
        </w:trPr>
        <w:tc>
          <w:tcPr>
            <w:tcW w:w="1019" w:type="pct"/>
            <w:vMerge/>
            <w:shd w:val="clear" w:color="auto" w:fill="auto"/>
          </w:tcPr>
          <w:p w:rsidR="001D4F51" w:rsidRPr="001D4F51" w:rsidRDefault="001D4F51" w:rsidP="0012517C">
            <w:pPr>
              <w:jc w:val="center"/>
              <w:rPr>
                <w:rFonts w:eastAsia="Times New Roman"/>
                <w:b/>
                <w:bCs/>
                <w:sz w:val="18"/>
                <w:szCs w:val="18"/>
                <w:lang w:eastAsia="en-AU"/>
              </w:rPr>
            </w:pPr>
          </w:p>
        </w:tc>
        <w:tc>
          <w:tcPr>
            <w:tcW w:w="1990" w:type="pct"/>
          </w:tcPr>
          <w:p w:rsidR="001D4F51" w:rsidRPr="001D4F51" w:rsidRDefault="001D4F51" w:rsidP="00797AE5">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Advice provided to regulated entities is consistent with communication policies.</w:t>
            </w:r>
          </w:p>
        </w:tc>
        <w:tc>
          <w:tcPr>
            <w:tcW w:w="1990" w:type="pct"/>
          </w:tcPr>
          <w:p w:rsidR="001D4F51" w:rsidRPr="001D4F51" w:rsidRDefault="001D4F51" w:rsidP="00797AE5">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Advice is consistent with DVA’s Communications Framework.</w:t>
            </w:r>
          </w:p>
        </w:tc>
      </w:tr>
      <w:tr w:rsidR="001D4F51" w:rsidRPr="00D44AAF" w:rsidTr="00797AE5">
        <w:trPr>
          <w:cantSplit/>
          <w:trHeight w:val="394"/>
        </w:trPr>
        <w:tc>
          <w:tcPr>
            <w:tcW w:w="1019" w:type="pct"/>
            <w:vMerge w:val="restart"/>
            <w:shd w:val="clear" w:color="auto" w:fill="auto"/>
          </w:tcPr>
          <w:p w:rsidR="001D4F51" w:rsidRPr="001D4F51" w:rsidRDefault="001D4F51" w:rsidP="00797AE5">
            <w:pPr>
              <w:rPr>
                <w:rFonts w:eastAsia="Times New Roman"/>
                <w:b/>
                <w:sz w:val="18"/>
                <w:szCs w:val="18"/>
                <w:lang w:eastAsia="en-AU"/>
              </w:rPr>
            </w:pPr>
            <w:r w:rsidRPr="001D4F51">
              <w:rPr>
                <w:rFonts w:eastAsia="Times New Roman"/>
                <w:b/>
                <w:sz w:val="18"/>
                <w:szCs w:val="18"/>
                <w:lang w:eastAsia="en-AU"/>
              </w:rPr>
              <w:t>KPI 3 – Actions undertaken by regulators are proportionate to the regulatory risk being managed</w:t>
            </w:r>
          </w:p>
        </w:tc>
        <w:tc>
          <w:tcPr>
            <w:tcW w:w="1990" w:type="pct"/>
          </w:tcPr>
          <w:p w:rsidR="001D4F51" w:rsidRPr="001D4F51" w:rsidRDefault="001D4F51" w:rsidP="00797AE5">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Risk management policies and procedures are available to regulator staff and the public.</w:t>
            </w:r>
          </w:p>
        </w:tc>
        <w:tc>
          <w:tcPr>
            <w:tcW w:w="1990" w:type="pct"/>
            <w:shd w:val="clear" w:color="auto" w:fill="FFF2CC" w:themeFill="accent4" w:themeFillTint="33"/>
          </w:tcPr>
          <w:p w:rsidR="001D4F51" w:rsidRPr="001D4F51" w:rsidRDefault="001D4F51" w:rsidP="00797AE5">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Handbook, available to staff, contains procedures.</w:t>
            </w:r>
          </w:p>
        </w:tc>
      </w:tr>
      <w:tr w:rsidR="001D4F51" w:rsidRPr="00D44AAF" w:rsidTr="00797AE5">
        <w:trPr>
          <w:cantSplit/>
          <w:trHeight w:val="757"/>
        </w:trPr>
        <w:tc>
          <w:tcPr>
            <w:tcW w:w="1019" w:type="pct"/>
            <w:vMerge/>
            <w:shd w:val="clear" w:color="auto" w:fill="auto"/>
          </w:tcPr>
          <w:p w:rsidR="001D4F51" w:rsidRPr="001D4F51" w:rsidRDefault="001D4F51" w:rsidP="0012517C">
            <w:pPr>
              <w:jc w:val="center"/>
              <w:rPr>
                <w:rFonts w:eastAsia="Times New Roman"/>
                <w:b/>
                <w:sz w:val="18"/>
                <w:szCs w:val="18"/>
                <w:lang w:eastAsia="en-AU"/>
              </w:rPr>
            </w:pPr>
          </w:p>
        </w:tc>
        <w:tc>
          <w:tcPr>
            <w:tcW w:w="1990" w:type="pct"/>
          </w:tcPr>
          <w:p w:rsidR="001D4F51" w:rsidRPr="001D4F51" w:rsidRDefault="001D4F51" w:rsidP="00797AE5">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Compliance and enforcement strategies, consistent with agreed risk management policies are published.</w:t>
            </w:r>
          </w:p>
        </w:tc>
        <w:tc>
          <w:tcPr>
            <w:tcW w:w="1990" w:type="pct"/>
            <w:shd w:val="clear" w:color="auto" w:fill="E2EFD9" w:themeFill="accent6" w:themeFillTint="33"/>
          </w:tcPr>
          <w:p w:rsidR="001D4F51" w:rsidRPr="001D4F51" w:rsidRDefault="001D4F51" w:rsidP="00797AE5">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 xml:space="preserve">Compliance and enforcement strategies contained in </w:t>
            </w:r>
            <w:r w:rsidRPr="003B568A">
              <w:rPr>
                <w:rFonts w:eastAsia="Times New Roman"/>
                <w:color w:val="000000"/>
                <w:sz w:val="18"/>
                <w:szCs w:val="18"/>
                <w:lang w:val="en-GB"/>
              </w:rPr>
              <w:t>Guidelines</w:t>
            </w:r>
            <w:r w:rsidRPr="00487022">
              <w:rPr>
                <w:rFonts w:eastAsia="Times New Roman"/>
                <w:color w:val="000000"/>
                <w:sz w:val="18"/>
                <w:szCs w:val="18"/>
                <w:lang w:val="en-GB"/>
              </w:rPr>
              <w:t>.</w:t>
            </w:r>
          </w:p>
        </w:tc>
      </w:tr>
      <w:tr w:rsidR="001D4F51" w:rsidRPr="00D44AAF" w:rsidTr="00797AE5">
        <w:trPr>
          <w:cantSplit/>
          <w:trHeight w:val="757"/>
        </w:trPr>
        <w:tc>
          <w:tcPr>
            <w:tcW w:w="1019" w:type="pct"/>
            <w:vMerge/>
            <w:shd w:val="clear" w:color="auto" w:fill="auto"/>
          </w:tcPr>
          <w:p w:rsidR="001D4F51" w:rsidRPr="001D4F51" w:rsidRDefault="001D4F51" w:rsidP="0012517C">
            <w:pPr>
              <w:jc w:val="center"/>
              <w:rPr>
                <w:rFonts w:eastAsia="Times New Roman"/>
                <w:b/>
                <w:sz w:val="18"/>
                <w:szCs w:val="18"/>
                <w:lang w:eastAsia="en-AU"/>
              </w:rPr>
            </w:pPr>
          </w:p>
        </w:tc>
        <w:tc>
          <w:tcPr>
            <w:tcW w:w="1990" w:type="pct"/>
          </w:tcPr>
          <w:p w:rsidR="001D4F51" w:rsidRPr="001D4F51" w:rsidRDefault="001D4F51" w:rsidP="00797AE5">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 xml:space="preserve">Documented enforcement strategy which allows for the compliance records of regulated entities to be considered in determining regulatory actions. </w:t>
            </w:r>
          </w:p>
        </w:tc>
        <w:tc>
          <w:tcPr>
            <w:tcW w:w="1990" w:type="pct"/>
            <w:vMerge w:val="restart"/>
            <w:shd w:val="clear" w:color="auto" w:fill="E2EFD9" w:themeFill="accent6" w:themeFillTint="33"/>
          </w:tcPr>
          <w:p w:rsidR="001D4F51" w:rsidRPr="001D4F51" w:rsidRDefault="001D4F51" w:rsidP="00797AE5">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Handbook contains enforcement strategy.</w:t>
            </w:r>
          </w:p>
        </w:tc>
      </w:tr>
      <w:tr w:rsidR="001D4F51" w:rsidRPr="00D44AAF" w:rsidTr="00797AE5">
        <w:trPr>
          <w:cantSplit/>
          <w:trHeight w:val="757"/>
        </w:trPr>
        <w:tc>
          <w:tcPr>
            <w:tcW w:w="1019" w:type="pct"/>
            <w:vMerge/>
            <w:shd w:val="clear" w:color="auto" w:fill="auto"/>
          </w:tcPr>
          <w:p w:rsidR="001D4F51" w:rsidRPr="001D4F51" w:rsidRDefault="001D4F51" w:rsidP="0012517C">
            <w:pPr>
              <w:jc w:val="center"/>
              <w:rPr>
                <w:rFonts w:eastAsia="Times New Roman"/>
                <w:b/>
                <w:sz w:val="18"/>
                <w:szCs w:val="18"/>
                <w:lang w:eastAsia="en-AU"/>
              </w:rPr>
            </w:pPr>
          </w:p>
        </w:tc>
        <w:tc>
          <w:tcPr>
            <w:tcW w:w="1990" w:type="pct"/>
          </w:tcPr>
          <w:p w:rsidR="001D4F51" w:rsidRPr="001D4F51" w:rsidRDefault="001D4F51" w:rsidP="00797AE5">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Documented enforcement strategy includes options for graduated compliance actions consistent with regulators’ powers.</w:t>
            </w:r>
          </w:p>
        </w:tc>
        <w:tc>
          <w:tcPr>
            <w:tcW w:w="1990" w:type="pct"/>
            <w:vMerge/>
            <w:shd w:val="clear" w:color="auto" w:fill="E2EFD9" w:themeFill="accent6" w:themeFillTint="33"/>
          </w:tcPr>
          <w:p w:rsidR="001D4F51" w:rsidRPr="001D4F51" w:rsidRDefault="001D4F51" w:rsidP="001D4F51">
            <w:pPr>
              <w:widowControl w:val="0"/>
              <w:numPr>
                <w:ilvl w:val="0"/>
                <w:numId w:val="1"/>
              </w:numPr>
              <w:suppressAutoHyphens/>
              <w:autoSpaceDE w:val="0"/>
              <w:autoSpaceDN w:val="0"/>
              <w:adjustRightInd w:val="0"/>
              <w:spacing w:after="120"/>
              <w:ind w:left="317" w:hanging="283"/>
              <w:textAlignment w:val="center"/>
              <w:rPr>
                <w:rFonts w:eastAsia="Times New Roman"/>
                <w:color w:val="000000"/>
                <w:sz w:val="18"/>
                <w:szCs w:val="18"/>
                <w:lang w:val="en-GB"/>
              </w:rPr>
            </w:pPr>
          </w:p>
        </w:tc>
      </w:tr>
      <w:tr w:rsidR="001D4F51" w:rsidRPr="00D44AAF" w:rsidTr="00797AE5">
        <w:trPr>
          <w:cantSplit/>
          <w:trHeight w:val="1033"/>
        </w:trPr>
        <w:tc>
          <w:tcPr>
            <w:tcW w:w="1019" w:type="pct"/>
            <w:vMerge w:val="restart"/>
            <w:shd w:val="clear" w:color="auto" w:fill="auto"/>
          </w:tcPr>
          <w:p w:rsidR="001D4F51" w:rsidRPr="001D4F51" w:rsidRDefault="001D4F51" w:rsidP="00797AE5">
            <w:pPr>
              <w:rPr>
                <w:rFonts w:eastAsia="Times New Roman"/>
                <w:b/>
                <w:sz w:val="18"/>
                <w:szCs w:val="18"/>
                <w:lang w:eastAsia="en-AU"/>
              </w:rPr>
            </w:pPr>
            <w:r w:rsidRPr="001D4F51">
              <w:rPr>
                <w:rFonts w:eastAsia="Times New Roman"/>
                <w:b/>
                <w:sz w:val="18"/>
                <w:szCs w:val="18"/>
                <w:lang w:eastAsia="en-AU"/>
              </w:rPr>
              <w:t>KPI 4 – Compliance and monitoring approaches are streamlined and coordinated</w:t>
            </w:r>
          </w:p>
        </w:tc>
        <w:tc>
          <w:tcPr>
            <w:tcW w:w="1990" w:type="pct"/>
          </w:tcPr>
          <w:p w:rsidR="001D4F51" w:rsidRPr="001D4F51" w:rsidRDefault="001D4F51" w:rsidP="00797AE5">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Information shared and received among regulators.</w:t>
            </w:r>
          </w:p>
        </w:tc>
        <w:tc>
          <w:tcPr>
            <w:tcW w:w="1990" w:type="pct"/>
            <w:shd w:val="clear" w:color="auto" w:fill="E2EFD9" w:themeFill="accent6" w:themeFillTint="33"/>
          </w:tcPr>
          <w:p w:rsidR="001D4F51" w:rsidRPr="0053444A" w:rsidRDefault="0053444A" w:rsidP="00797AE5">
            <w:pPr>
              <w:widowControl w:val="0"/>
              <w:suppressAutoHyphens/>
              <w:autoSpaceDE w:val="0"/>
              <w:autoSpaceDN w:val="0"/>
              <w:adjustRightInd w:val="0"/>
              <w:spacing w:after="120"/>
              <w:textAlignment w:val="center"/>
              <w:rPr>
                <w:rFonts w:eastAsia="Times New Roman"/>
                <w:color w:val="000000"/>
                <w:sz w:val="18"/>
                <w:szCs w:val="18"/>
                <w:lang w:val="en-GB"/>
              </w:rPr>
            </w:pPr>
            <w:r w:rsidRPr="0053444A">
              <w:rPr>
                <w:rFonts w:eastAsia="Times New Roman"/>
                <w:color w:val="000000"/>
                <w:sz w:val="18"/>
                <w:szCs w:val="18"/>
                <w:lang w:val="en-GB"/>
              </w:rPr>
              <w:t>One matter</w:t>
            </w:r>
            <w:r w:rsidR="001D4F51" w:rsidRPr="0053444A">
              <w:rPr>
                <w:rFonts w:eastAsia="Times New Roman"/>
                <w:color w:val="000000"/>
                <w:sz w:val="18"/>
                <w:szCs w:val="18"/>
                <w:lang w:val="en-GB"/>
              </w:rPr>
              <w:t xml:space="preserve"> referred to Army Brand Manager.</w:t>
            </w:r>
          </w:p>
          <w:p w:rsidR="001D4F51" w:rsidRPr="00305948" w:rsidRDefault="0053444A" w:rsidP="00797AE5">
            <w:pPr>
              <w:widowControl w:val="0"/>
              <w:suppressAutoHyphens/>
              <w:autoSpaceDE w:val="0"/>
              <w:autoSpaceDN w:val="0"/>
              <w:adjustRightInd w:val="0"/>
              <w:spacing w:after="120"/>
              <w:textAlignment w:val="center"/>
              <w:rPr>
                <w:rFonts w:eastAsia="Times New Roman"/>
                <w:color w:val="000000"/>
                <w:sz w:val="18"/>
                <w:szCs w:val="18"/>
                <w:highlight w:val="yellow"/>
                <w:lang w:val="en-GB"/>
              </w:rPr>
            </w:pPr>
            <w:r w:rsidRPr="0053444A">
              <w:rPr>
                <w:rFonts w:eastAsia="Times New Roman"/>
                <w:color w:val="000000"/>
                <w:sz w:val="18"/>
                <w:szCs w:val="18"/>
                <w:lang w:val="en-GB"/>
              </w:rPr>
              <w:t>No</w:t>
            </w:r>
            <w:r w:rsidR="001D4F51" w:rsidRPr="0053444A">
              <w:rPr>
                <w:rFonts w:eastAsia="Times New Roman"/>
                <w:color w:val="000000"/>
                <w:sz w:val="18"/>
                <w:szCs w:val="18"/>
                <w:lang w:val="en-GB"/>
              </w:rPr>
              <w:t xml:space="preserve"> referral</w:t>
            </w:r>
            <w:r w:rsidRPr="0053444A">
              <w:rPr>
                <w:rFonts w:eastAsia="Times New Roman"/>
                <w:color w:val="000000"/>
                <w:sz w:val="18"/>
                <w:szCs w:val="18"/>
                <w:lang w:val="en-GB"/>
              </w:rPr>
              <w:t>s were</w:t>
            </w:r>
            <w:r w:rsidR="001D4F51" w:rsidRPr="0053444A">
              <w:rPr>
                <w:rFonts w:eastAsia="Times New Roman"/>
                <w:color w:val="000000"/>
                <w:sz w:val="18"/>
                <w:szCs w:val="18"/>
                <w:lang w:val="en-GB"/>
              </w:rPr>
              <w:t xml:space="preserve"> received from Army Brand Manager</w:t>
            </w:r>
            <w:r w:rsidRPr="0053444A">
              <w:rPr>
                <w:rFonts w:eastAsia="Times New Roman"/>
                <w:color w:val="000000"/>
                <w:sz w:val="18"/>
                <w:szCs w:val="18"/>
                <w:lang w:val="en-GB"/>
              </w:rPr>
              <w:t xml:space="preserve"> in 2017-18</w:t>
            </w:r>
            <w:r w:rsidR="001D4F51" w:rsidRPr="0053444A">
              <w:rPr>
                <w:rFonts w:eastAsia="Times New Roman"/>
                <w:color w:val="000000"/>
                <w:sz w:val="18"/>
                <w:szCs w:val="18"/>
                <w:lang w:val="en-GB"/>
              </w:rPr>
              <w:t>.</w:t>
            </w:r>
          </w:p>
        </w:tc>
      </w:tr>
      <w:tr w:rsidR="001D4F51" w:rsidRPr="00D44AAF" w:rsidTr="00797AE5">
        <w:trPr>
          <w:cantSplit/>
          <w:trHeight w:val="1032"/>
        </w:trPr>
        <w:tc>
          <w:tcPr>
            <w:tcW w:w="1019" w:type="pct"/>
            <w:vMerge/>
            <w:shd w:val="clear" w:color="auto" w:fill="auto"/>
          </w:tcPr>
          <w:p w:rsidR="001D4F51" w:rsidRPr="001D4F51" w:rsidRDefault="001D4F51" w:rsidP="0012517C">
            <w:pPr>
              <w:jc w:val="center"/>
              <w:rPr>
                <w:rFonts w:eastAsia="Times New Roman"/>
                <w:b/>
                <w:sz w:val="18"/>
                <w:szCs w:val="18"/>
                <w:lang w:eastAsia="en-AU"/>
              </w:rPr>
            </w:pPr>
          </w:p>
        </w:tc>
        <w:tc>
          <w:tcPr>
            <w:tcW w:w="1990" w:type="pct"/>
          </w:tcPr>
          <w:p w:rsidR="001D4F51" w:rsidRPr="001D4F51" w:rsidRDefault="001D4F51" w:rsidP="00797AE5">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 xml:space="preserve">Evidence of collected information being acted upon, stored and re-used. </w:t>
            </w:r>
          </w:p>
        </w:tc>
        <w:tc>
          <w:tcPr>
            <w:tcW w:w="1990" w:type="pct"/>
            <w:shd w:val="clear" w:color="auto" w:fill="E2EFD9" w:themeFill="accent6" w:themeFillTint="33"/>
          </w:tcPr>
          <w:p w:rsidR="001D4F51" w:rsidRPr="001D4F51" w:rsidRDefault="001D4F51" w:rsidP="00797AE5">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Register of interactions with regulated entities stored in Department’s TRIM system.</w:t>
            </w:r>
          </w:p>
          <w:p w:rsidR="001D4F51" w:rsidRPr="001D4F51" w:rsidRDefault="001D4F51" w:rsidP="00797AE5">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TRIM register consulted whe</w:t>
            </w:r>
            <w:r w:rsidR="007774F9">
              <w:rPr>
                <w:rFonts w:eastAsia="Times New Roman"/>
                <w:color w:val="000000"/>
                <w:sz w:val="18"/>
                <w:szCs w:val="18"/>
                <w:lang w:val="en-GB"/>
              </w:rPr>
              <w:t>n</w:t>
            </w:r>
            <w:r w:rsidRPr="001D4F51">
              <w:rPr>
                <w:rFonts w:eastAsia="Times New Roman"/>
                <w:color w:val="000000"/>
                <w:sz w:val="18"/>
                <w:szCs w:val="18"/>
                <w:lang w:val="en-GB"/>
              </w:rPr>
              <w:t>ever complaint received.</w:t>
            </w:r>
          </w:p>
        </w:tc>
      </w:tr>
      <w:tr w:rsidR="001D4F51" w:rsidRPr="00D44AAF" w:rsidTr="00797AE5">
        <w:trPr>
          <w:cantSplit/>
          <w:trHeight w:val="1032"/>
        </w:trPr>
        <w:tc>
          <w:tcPr>
            <w:tcW w:w="1019" w:type="pct"/>
            <w:vMerge/>
            <w:shd w:val="clear" w:color="auto" w:fill="auto"/>
          </w:tcPr>
          <w:p w:rsidR="001D4F51" w:rsidRPr="001D4F51" w:rsidRDefault="001D4F51" w:rsidP="0012517C">
            <w:pPr>
              <w:jc w:val="center"/>
              <w:rPr>
                <w:rFonts w:eastAsia="Times New Roman"/>
                <w:b/>
                <w:sz w:val="18"/>
                <w:szCs w:val="18"/>
                <w:lang w:eastAsia="en-AU"/>
              </w:rPr>
            </w:pPr>
          </w:p>
        </w:tc>
        <w:tc>
          <w:tcPr>
            <w:tcW w:w="1990" w:type="pct"/>
          </w:tcPr>
          <w:p w:rsidR="001D4F51" w:rsidRPr="001D4F51" w:rsidRDefault="001D4F51" w:rsidP="00797AE5">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Regular review and assessment of agreed monitoring and compliance strategies, including use of earned autonomy approaches.</w:t>
            </w:r>
          </w:p>
        </w:tc>
        <w:tc>
          <w:tcPr>
            <w:tcW w:w="1990" w:type="pct"/>
            <w:shd w:val="clear" w:color="auto" w:fill="E2EFD9" w:themeFill="accent6" w:themeFillTint="33"/>
          </w:tcPr>
          <w:p w:rsidR="001D4F51" w:rsidRPr="0053444A" w:rsidRDefault="001D4F51" w:rsidP="00797AE5">
            <w:pPr>
              <w:widowControl w:val="0"/>
              <w:suppressAutoHyphens/>
              <w:autoSpaceDE w:val="0"/>
              <w:autoSpaceDN w:val="0"/>
              <w:adjustRightInd w:val="0"/>
              <w:spacing w:after="120"/>
              <w:textAlignment w:val="center"/>
              <w:rPr>
                <w:rFonts w:eastAsia="Times New Roman"/>
                <w:color w:val="000000"/>
                <w:sz w:val="18"/>
                <w:szCs w:val="18"/>
                <w:lang w:val="en-GB"/>
              </w:rPr>
            </w:pPr>
            <w:r w:rsidRPr="0053444A">
              <w:rPr>
                <w:rFonts w:eastAsia="Times New Roman"/>
                <w:color w:val="000000"/>
                <w:sz w:val="18"/>
                <w:szCs w:val="18"/>
                <w:lang w:val="en-GB"/>
              </w:rPr>
              <w:t>Two groups given earned autonomy.</w:t>
            </w:r>
          </w:p>
          <w:p w:rsidR="001D4F51" w:rsidRPr="001D4F51" w:rsidRDefault="001D4F51" w:rsidP="008632FE">
            <w:pPr>
              <w:widowControl w:val="0"/>
              <w:suppressAutoHyphens/>
              <w:autoSpaceDE w:val="0"/>
              <w:autoSpaceDN w:val="0"/>
              <w:adjustRightInd w:val="0"/>
              <w:spacing w:after="120"/>
              <w:textAlignment w:val="center"/>
              <w:rPr>
                <w:rFonts w:eastAsia="Times New Roman"/>
                <w:color w:val="000000"/>
                <w:sz w:val="18"/>
                <w:szCs w:val="18"/>
                <w:lang w:val="en-GB"/>
              </w:rPr>
            </w:pPr>
            <w:r w:rsidRPr="0053444A">
              <w:rPr>
                <w:rFonts w:eastAsia="Times New Roman"/>
                <w:color w:val="000000"/>
                <w:sz w:val="18"/>
                <w:szCs w:val="18"/>
                <w:lang w:val="en-GB"/>
              </w:rPr>
              <w:t xml:space="preserve">One entity with </w:t>
            </w:r>
            <w:r w:rsidR="008632FE" w:rsidRPr="0053444A">
              <w:rPr>
                <w:rFonts w:eastAsia="Times New Roman"/>
                <w:color w:val="000000"/>
                <w:sz w:val="18"/>
                <w:szCs w:val="18"/>
                <w:lang w:val="en-GB"/>
              </w:rPr>
              <w:t>below</w:t>
            </w:r>
            <w:r w:rsidRPr="0053444A">
              <w:rPr>
                <w:rFonts w:eastAsia="Times New Roman"/>
                <w:color w:val="000000"/>
                <w:sz w:val="18"/>
                <w:szCs w:val="18"/>
                <w:lang w:val="en-GB"/>
              </w:rPr>
              <w:t>-average degree of autonomy due to assessed ongoing risk.</w:t>
            </w:r>
          </w:p>
        </w:tc>
      </w:tr>
      <w:tr w:rsidR="001D4F51" w:rsidRPr="00D44AAF" w:rsidTr="00797AE5">
        <w:trPr>
          <w:cantSplit/>
          <w:trHeight w:val="634"/>
        </w:trPr>
        <w:tc>
          <w:tcPr>
            <w:tcW w:w="1019" w:type="pct"/>
            <w:vMerge w:val="restart"/>
            <w:shd w:val="clear" w:color="auto" w:fill="auto"/>
          </w:tcPr>
          <w:p w:rsidR="001D4F51" w:rsidRPr="001D4F51" w:rsidRDefault="001D4F51" w:rsidP="00797AE5">
            <w:pPr>
              <w:rPr>
                <w:rFonts w:eastAsia="Times New Roman"/>
                <w:b/>
                <w:sz w:val="18"/>
                <w:szCs w:val="18"/>
                <w:lang w:eastAsia="en-AU"/>
              </w:rPr>
            </w:pPr>
            <w:r w:rsidRPr="001D4F51">
              <w:br w:type="page"/>
            </w:r>
            <w:r w:rsidRPr="001D4F51">
              <w:rPr>
                <w:rFonts w:eastAsia="Times New Roman"/>
                <w:b/>
                <w:sz w:val="18"/>
                <w:szCs w:val="18"/>
                <w:lang w:eastAsia="en-AU"/>
              </w:rPr>
              <w:t>KPI 5 - Regulators are open and transparent in their dealings with regulated entities</w:t>
            </w:r>
          </w:p>
        </w:tc>
        <w:tc>
          <w:tcPr>
            <w:tcW w:w="1990" w:type="pct"/>
          </w:tcPr>
          <w:p w:rsidR="001D4F51" w:rsidRPr="001D4F51" w:rsidRDefault="001D4F51" w:rsidP="00797AE5">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Enforcement strategy and risk approach are published.</w:t>
            </w:r>
          </w:p>
        </w:tc>
        <w:tc>
          <w:tcPr>
            <w:tcW w:w="1990" w:type="pct"/>
            <w:shd w:val="clear" w:color="auto" w:fill="E2EFD9" w:themeFill="accent6" w:themeFillTint="33"/>
          </w:tcPr>
          <w:p w:rsidR="001D4F51" w:rsidRPr="001D4F51" w:rsidRDefault="001D4F51" w:rsidP="00797AE5">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 xml:space="preserve">Compliance and enforcement strategies contained in </w:t>
            </w:r>
            <w:r w:rsidRPr="003B568A">
              <w:rPr>
                <w:rFonts w:eastAsia="Times New Roman"/>
                <w:color w:val="000000"/>
                <w:sz w:val="18"/>
                <w:szCs w:val="18"/>
                <w:lang w:val="en-GB"/>
              </w:rPr>
              <w:t>Guideline</w:t>
            </w:r>
            <w:r w:rsidRPr="001D4F51">
              <w:rPr>
                <w:rFonts w:eastAsia="Times New Roman"/>
                <w:i/>
                <w:color w:val="000000"/>
                <w:sz w:val="18"/>
                <w:szCs w:val="18"/>
                <w:lang w:val="en-GB"/>
              </w:rPr>
              <w:t>s</w:t>
            </w:r>
            <w:r w:rsidRPr="001D4F51">
              <w:rPr>
                <w:rFonts w:eastAsia="Times New Roman"/>
                <w:color w:val="000000"/>
                <w:sz w:val="18"/>
                <w:szCs w:val="18"/>
                <w:lang w:val="en-GB"/>
              </w:rPr>
              <w:t>.</w:t>
            </w:r>
          </w:p>
        </w:tc>
      </w:tr>
      <w:tr w:rsidR="001D4F51" w:rsidRPr="00D44AAF" w:rsidTr="00797AE5">
        <w:trPr>
          <w:cantSplit/>
          <w:trHeight w:val="631"/>
        </w:trPr>
        <w:tc>
          <w:tcPr>
            <w:tcW w:w="1019" w:type="pct"/>
            <w:vMerge/>
            <w:shd w:val="clear" w:color="auto" w:fill="auto"/>
          </w:tcPr>
          <w:p w:rsidR="001D4F51" w:rsidRPr="001D4F51" w:rsidRDefault="001D4F51" w:rsidP="0012517C">
            <w:pPr>
              <w:jc w:val="center"/>
              <w:rPr>
                <w:rFonts w:eastAsia="Times New Roman"/>
                <w:b/>
                <w:sz w:val="18"/>
                <w:szCs w:val="18"/>
                <w:lang w:eastAsia="en-AU"/>
              </w:rPr>
            </w:pPr>
          </w:p>
        </w:tc>
        <w:tc>
          <w:tcPr>
            <w:tcW w:w="1990" w:type="pct"/>
          </w:tcPr>
          <w:p w:rsidR="001D4F51" w:rsidRPr="001D4F51" w:rsidRDefault="001D4F51" w:rsidP="00797AE5">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Performance measurement results are published.</w:t>
            </w:r>
          </w:p>
        </w:tc>
        <w:tc>
          <w:tcPr>
            <w:tcW w:w="1990" w:type="pct"/>
            <w:shd w:val="clear" w:color="auto" w:fill="FBE4D5" w:themeFill="accent2" w:themeFillTint="33"/>
          </w:tcPr>
          <w:p w:rsidR="001D4F51" w:rsidRPr="001D4F51" w:rsidRDefault="001D4F51" w:rsidP="00797AE5">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No results published.</w:t>
            </w:r>
          </w:p>
        </w:tc>
      </w:tr>
      <w:tr w:rsidR="001D4F51" w:rsidRPr="00D44AAF" w:rsidTr="00797AE5">
        <w:trPr>
          <w:cantSplit/>
          <w:trHeight w:val="631"/>
        </w:trPr>
        <w:tc>
          <w:tcPr>
            <w:tcW w:w="1019" w:type="pct"/>
            <w:vMerge/>
            <w:shd w:val="clear" w:color="auto" w:fill="auto"/>
          </w:tcPr>
          <w:p w:rsidR="001D4F51" w:rsidRPr="001D4F51" w:rsidRDefault="001D4F51" w:rsidP="0012517C">
            <w:pPr>
              <w:jc w:val="center"/>
              <w:rPr>
                <w:rFonts w:eastAsia="Times New Roman"/>
                <w:b/>
                <w:sz w:val="18"/>
                <w:szCs w:val="18"/>
                <w:lang w:eastAsia="en-AU"/>
              </w:rPr>
            </w:pPr>
          </w:p>
        </w:tc>
        <w:tc>
          <w:tcPr>
            <w:tcW w:w="1990" w:type="pct"/>
          </w:tcPr>
          <w:p w:rsidR="001D4F51" w:rsidRPr="001D4F51" w:rsidRDefault="001D4F51" w:rsidP="00797AE5">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Number of responses to requests from regulated entities provided within specified timeframes.</w:t>
            </w:r>
          </w:p>
        </w:tc>
        <w:tc>
          <w:tcPr>
            <w:tcW w:w="1990" w:type="pct"/>
            <w:shd w:val="clear" w:color="auto" w:fill="FBE4D5" w:themeFill="accent2" w:themeFillTint="33"/>
          </w:tcPr>
          <w:p w:rsidR="001D4F51" w:rsidRPr="001D4F51" w:rsidRDefault="001D4F51" w:rsidP="00797AE5">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No timeframes specified.</w:t>
            </w:r>
          </w:p>
        </w:tc>
      </w:tr>
      <w:tr w:rsidR="001D4F51" w:rsidRPr="00D44AAF" w:rsidTr="00797AE5">
        <w:trPr>
          <w:cantSplit/>
          <w:trHeight w:val="631"/>
        </w:trPr>
        <w:tc>
          <w:tcPr>
            <w:tcW w:w="1019" w:type="pct"/>
            <w:vMerge/>
            <w:shd w:val="clear" w:color="auto" w:fill="auto"/>
          </w:tcPr>
          <w:p w:rsidR="001D4F51" w:rsidRPr="001D4F51" w:rsidRDefault="001D4F51" w:rsidP="0012517C">
            <w:pPr>
              <w:jc w:val="center"/>
              <w:rPr>
                <w:rFonts w:eastAsia="Times New Roman"/>
                <w:b/>
                <w:sz w:val="18"/>
                <w:szCs w:val="18"/>
                <w:lang w:eastAsia="en-AU"/>
              </w:rPr>
            </w:pPr>
          </w:p>
        </w:tc>
        <w:tc>
          <w:tcPr>
            <w:tcW w:w="1990" w:type="pct"/>
          </w:tcPr>
          <w:p w:rsidR="001D4F51" w:rsidRPr="001D4F51" w:rsidRDefault="001D4F51" w:rsidP="00797AE5">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Advice and guidance is widely available to stakeholders, with feedback mechanisms in place to support and inform continuous improvement.</w:t>
            </w:r>
          </w:p>
        </w:tc>
        <w:tc>
          <w:tcPr>
            <w:tcW w:w="1990" w:type="pct"/>
            <w:shd w:val="clear" w:color="auto" w:fill="E2EFD9" w:themeFill="accent6" w:themeFillTint="33"/>
          </w:tcPr>
          <w:p w:rsidR="001D4F51" w:rsidRPr="001D4F51" w:rsidRDefault="001D4F51" w:rsidP="00797AE5">
            <w:pPr>
              <w:widowControl w:val="0"/>
              <w:suppressAutoHyphens/>
              <w:autoSpaceDE w:val="0"/>
              <w:autoSpaceDN w:val="0"/>
              <w:adjustRightInd w:val="0"/>
              <w:spacing w:after="120"/>
              <w:textAlignment w:val="center"/>
              <w:rPr>
                <w:rFonts w:eastAsia="Times New Roman"/>
                <w:color w:val="000000"/>
                <w:sz w:val="18"/>
                <w:szCs w:val="18"/>
                <w:lang w:val="en-GB"/>
              </w:rPr>
            </w:pPr>
            <w:r w:rsidRPr="003B568A">
              <w:rPr>
                <w:rFonts w:eastAsia="Times New Roman"/>
                <w:color w:val="000000"/>
                <w:sz w:val="18"/>
                <w:szCs w:val="18"/>
                <w:lang w:val="en-GB"/>
              </w:rPr>
              <w:t>Guidelines</w:t>
            </w:r>
            <w:r w:rsidRPr="00487022">
              <w:rPr>
                <w:rFonts w:eastAsia="Times New Roman"/>
                <w:color w:val="000000"/>
                <w:sz w:val="18"/>
                <w:szCs w:val="18"/>
                <w:lang w:val="en-GB"/>
              </w:rPr>
              <w:t xml:space="preserve"> </w:t>
            </w:r>
            <w:r w:rsidRPr="001D4F51">
              <w:rPr>
                <w:rFonts w:eastAsia="Times New Roman"/>
                <w:color w:val="000000"/>
                <w:sz w:val="18"/>
                <w:szCs w:val="18"/>
                <w:lang w:val="en-GB"/>
              </w:rPr>
              <w:t>published on DVA website.</w:t>
            </w:r>
          </w:p>
        </w:tc>
      </w:tr>
      <w:tr w:rsidR="001D4F51" w:rsidRPr="00D44AAF" w:rsidTr="00797AE5">
        <w:trPr>
          <w:cantSplit/>
          <w:trHeight w:val="844"/>
        </w:trPr>
        <w:tc>
          <w:tcPr>
            <w:tcW w:w="1019" w:type="pct"/>
            <w:vMerge w:val="restart"/>
            <w:shd w:val="clear" w:color="auto" w:fill="auto"/>
          </w:tcPr>
          <w:p w:rsidR="001D4F51" w:rsidRPr="001D4F51" w:rsidRDefault="001D4F51" w:rsidP="00797AE5">
            <w:pPr>
              <w:rPr>
                <w:rFonts w:eastAsia="Times New Roman"/>
                <w:b/>
                <w:sz w:val="18"/>
                <w:szCs w:val="18"/>
                <w:lang w:eastAsia="en-AU"/>
              </w:rPr>
            </w:pPr>
            <w:r w:rsidRPr="001D4F51">
              <w:rPr>
                <w:rFonts w:eastAsia="Times New Roman"/>
                <w:b/>
                <w:sz w:val="18"/>
                <w:szCs w:val="18"/>
                <w:lang w:eastAsia="en-AU"/>
              </w:rPr>
              <w:t>KPI 6 – Regulators actively contribute to the continuous improvement of regulatory frameworks</w:t>
            </w:r>
          </w:p>
        </w:tc>
        <w:tc>
          <w:tcPr>
            <w:tcW w:w="1990" w:type="pct"/>
          </w:tcPr>
          <w:p w:rsidR="001D4F51" w:rsidRPr="001D4F51" w:rsidRDefault="001D4F51" w:rsidP="00797AE5">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Feedback mechanisms are available and made known to all stakeholders.</w:t>
            </w:r>
          </w:p>
        </w:tc>
        <w:tc>
          <w:tcPr>
            <w:tcW w:w="1990" w:type="pct"/>
            <w:shd w:val="clear" w:color="auto" w:fill="E2EFD9" w:themeFill="accent6" w:themeFillTint="33"/>
          </w:tcPr>
          <w:p w:rsidR="001D4F51" w:rsidRPr="001D4F51" w:rsidRDefault="001D4F51" w:rsidP="00797AE5">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Shared mailbox address published on DVA website.</w:t>
            </w:r>
          </w:p>
        </w:tc>
      </w:tr>
      <w:tr w:rsidR="001D4F51" w:rsidRPr="00D44AAF" w:rsidTr="00797AE5">
        <w:trPr>
          <w:cantSplit/>
          <w:trHeight w:val="842"/>
        </w:trPr>
        <w:tc>
          <w:tcPr>
            <w:tcW w:w="1019" w:type="pct"/>
            <w:vMerge/>
            <w:shd w:val="clear" w:color="auto" w:fill="auto"/>
            <w:textDirection w:val="btLr"/>
          </w:tcPr>
          <w:p w:rsidR="001D4F51" w:rsidRPr="001D4F51" w:rsidRDefault="001D4F51" w:rsidP="00583965">
            <w:pPr>
              <w:ind w:left="113" w:right="113"/>
              <w:jc w:val="center"/>
              <w:rPr>
                <w:rFonts w:eastAsia="Times New Roman"/>
                <w:b/>
                <w:sz w:val="18"/>
                <w:szCs w:val="18"/>
                <w:lang w:eastAsia="en-AU"/>
              </w:rPr>
            </w:pPr>
          </w:p>
        </w:tc>
        <w:tc>
          <w:tcPr>
            <w:tcW w:w="1990" w:type="pct"/>
          </w:tcPr>
          <w:p w:rsidR="001D4F51" w:rsidRPr="001D4F51" w:rsidRDefault="001D4F51" w:rsidP="00797AE5">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Documented procedures are in place to facilitate the flow of information between the regulator and policy departments.</w:t>
            </w:r>
          </w:p>
        </w:tc>
        <w:tc>
          <w:tcPr>
            <w:tcW w:w="1990" w:type="pct"/>
            <w:shd w:val="clear" w:color="auto" w:fill="E2EFD9" w:themeFill="accent6" w:themeFillTint="33"/>
          </w:tcPr>
          <w:p w:rsidR="001D4F51" w:rsidRPr="001D4F51" w:rsidRDefault="001D4F51" w:rsidP="00797AE5">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Use of ‘Anzac’ policy and regulation co-compartmentalised.</w:t>
            </w:r>
          </w:p>
        </w:tc>
      </w:tr>
    </w:tbl>
    <w:p w:rsidR="00B33A0B" w:rsidRDefault="00B33A0B" w:rsidP="00D941FD">
      <w:bookmarkStart w:id="29" w:name="_Toc464043330"/>
      <w:bookmarkStart w:id="30" w:name="_Toc464043470"/>
    </w:p>
    <w:p w:rsidR="00B33A0B" w:rsidRDefault="00B33A0B">
      <w:pPr>
        <w:rPr>
          <w:rFonts w:asciiTheme="majorHAnsi" w:eastAsiaTheme="majorEastAsia" w:hAnsiTheme="majorHAnsi" w:cstheme="majorBidi"/>
          <w:color w:val="2E74B5" w:themeColor="accent1" w:themeShade="BF"/>
          <w:sz w:val="32"/>
          <w:szCs w:val="32"/>
        </w:rPr>
      </w:pPr>
      <w:r>
        <w:br w:type="page"/>
      </w:r>
    </w:p>
    <w:p w:rsidR="00E43847" w:rsidRDefault="00E43847" w:rsidP="00E43847">
      <w:pPr>
        <w:pStyle w:val="Heading1"/>
      </w:pPr>
      <w:bookmarkStart w:id="31" w:name="_Toc465262930"/>
      <w:r>
        <w:t xml:space="preserve">Appendix </w:t>
      </w:r>
      <w:bookmarkEnd w:id="29"/>
      <w:bookmarkEnd w:id="30"/>
      <w:r w:rsidR="0012517C">
        <w:t>C</w:t>
      </w:r>
      <w:r w:rsidR="001D4F51">
        <w:t>: Summary of feedback from consultation</w:t>
      </w:r>
      <w:bookmarkEnd w:id="31"/>
    </w:p>
    <w:tbl>
      <w:tblPr>
        <w:tblStyle w:val="TableGrid2"/>
        <w:tblW w:w="9209" w:type="dxa"/>
        <w:tblInd w:w="0" w:type="dxa"/>
        <w:tblLook w:val="04A0" w:firstRow="1" w:lastRow="0" w:firstColumn="1" w:lastColumn="0" w:noHBand="0" w:noVBand="1"/>
      </w:tblPr>
      <w:tblGrid>
        <w:gridCol w:w="3256"/>
        <w:gridCol w:w="5953"/>
      </w:tblGrid>
      <w:tr w:rsidR="00E862D1" w:rsidRPr="00E862D1" w:rsidTr="00B2235F">
        <w:tc>
          <w:tcPr>
            <w:tcW w:w="3256" w:type="dxa"/>
            <w:shd w:val="clear" w:color="auto" w:fill="BFBFBF" w:themeFill="background1" w:themeFillShade="BF"/>
            <w:hideMark/>
          </w:tcPr>
          <w:p w:rsidR="00E862D1" w:rsidRPr="00E862D1" w:rsidRDefault="00E862D1" w:rsidP="00B2235F">
            <w:pPr>
              <w:spacing w:before="120" w:after="120"/>
              <w:rPr>
                <w:b/>
                <w:sz w:val="18"/>
                <w:szCs w:val="18"/>
              </w:rPr>
            </w:pPr>
          </w:p>
          <w:p w:rsidR="00E862D1" w:rsidRPr="00E862D1" w:rsidRDefault="00E862D1" w:rsidP="00B2235F">
            <w:pPr>
              <w:spacing w:before="120" w:after="120"/>
              <w:rPr>
                <w:b/>
                <w:sz w:val="18"/>
                <w:szCs w:val="18"/>
              </w:rPr>
            </w:pPr>
            <w:r w:rsidRPr="00E862D1">
              <w:rPr>
                <w:b/>
                <w:sz w:val="18"/>
                <w:szCs w:val="18"/>
              </w:rPr>
              <w:t>Ex-Service Organisation</w:t>
            </w:r>
          </w:p>
        </w:tc>
        <w:tc>
          <w:tcPr>
            <w:tcW w:w="5953" w:type="dxa"/>
            <w:shd w:val="clear" w:color="auto" w:fill="BFBFBF" w:themeFill="background1" w:themeFillShade="BF"/>
            <w:hideMark/>
          </w:tcPr>
          <w:p w:rsidR="00E862D1" w:rsidRPr="00E862D1" w:rsidRDefault="00E862D1" w:rsidP="00B2235F">
            <w:pPr>
              <w:spacing w:before="120" w:after="120"/>
              <w:rPr>
                <w:b/>
                <w:sz w:val="18"/>
                <w:szCs w:val="18"/>
              </w:rPr>
            </w:pPr>
          </w:p>
          <w:p w:rsidR="00E862D1" w:rsidRPr="00E862D1" w:rsidRDefault="00E862D1" w:rsidP="00B2235F">
            <w:pPr>
              <w:spacing w:before="120" w:after="120"/>
              <w:rPr>
                <w:b/>
                <w:sz w:val="18"/>
                <w:szCs w:val="18"/>
              </w:rPr>
            </w:pPr>
            <w:r w:rsidRPr="00E862D1">
              <w:rPr>
                <w:b/>
                <w:sz w:val="18"/>
                <w:szCs w:val="18"/>
              </w:rPr>
              <w:t>Feedback</w:t>
            </w:r>
          </w:p>
        </w:tc>
      </w:tr>
      <w:tr w:rsidR="00E862D1" w:rsidRPr="00E862D1" w:rsidTr="00B2235F">
        <w:tc>
          <w:tcPr>
            <w:tcW w:w="3256" w:type="dxa"/>
            <w:hideMark/>
          </w:tcPr>
          <w:p w:rsidR="00E862D1" w:rsidRPr="00E862D1" w:rsidRDefault="00E862D1" w:rsidP="00B2235F">
            <w:pPr>
              <w:spacing w:before="120" w:after="120"/>
              <w:rPr>
                <w:sz w:val="18"/>
                <w:szCs w:val="18"/>
              </w:rPr>
            </w:pPr>
            <w:r w:rsidRPr="00E862D1">
              <w:rPr>
                <w:sz w:val="18"/>
                <w:szCs w:val="18"/>
              </w:rPr>
              <w:t>Partners of Veterans Association of Australia</w:t>
            </w:r>
          </w:p>
        </w:tc>
        <w:tc>
          <w:tcPr>
            <w:tcW w:w="5953" w:type="dxa"/>
            <w:hideMark/>
          </w:tcPr>
          <w:p w:rsidR="00E862D1" w:rsidRPr="00E862D1" w:rsidRDefault="00E862D1" w:rsidP="00B2235F">
            <w:pPr>
              <w:spacing w:before="120" w:after="120"/>
              <w:rPr>
                <w:sz w:val="18"/>
                <w:szCs w:val="18"/>
              </w:rPr>
            </w:pPr>
          </w:p>
        </w:tc>
      </w:tr>
      <w:tr w:rsidR="00A5614D" w:rsidRPr="00E862D1" w:rsidTr="00B2235F">
        <w:tc>
          <w:tcPr>
            <w:tcW w:w="3256" w:type="dxa"/>
          </w:tcPr>
          <w:p w:rsidR="00A5614D" w:rsidRPr="00E862D1" w:rsidRDefault="00A5614D" w:rsidP="00B2235F">
            <w:pPr>
              <w:spacing w:before="120" w:after="120"/>
              <w:rPr>
                <w:sz w:val="18"/>
                <w:szCs w:val="18"/>
              </w:rPr>
            </w:pPr>
            <w:r w:rsidRPr="00A5614D">
              <w:rPr>
                <w:sz w:val="18"/>
                <w:szCs w:val="18"/>
              </w:rPr>
              <w:t xml:space="preserve">RSL of Australia </w:t>
            </w:r>
          </w:p>
        </w:tc>
        <w:tc>
          <w:tcPr>
            <w:tcW w:w="5953" w:type="dxa"/>
          </w:tcPr>
          <w:p w:rsidR="00A5614D" w:rsidRDefault="00A5614D" w:rsidP="00B2235F">
            <w:pPr>
              <w:spacing w:before="120" w:after="120"/>
              <w:rPr>
                <w:sz w:val="18"/>
                <w:szCs w:val="18"/>
              </w:rPr>
            </w:pPr>
          </w:p>
        </w:tc>
      </w:tr>
      <w:tr w:rsidR="00A5614D" w:rsidRPr="00E862D1" w:rsidTr="00B2235F">
        <w:tc>
          <w:tcPr>
            <w:tcW w:w="3256" w:type="dxa"/>
          </w:tcPr>
          <w:p w:rsidR="00A5614D" w:rsidRPr="00E862D1" w:rsidRDefault="00A5614D" w:rsidP="00B2235F">
            <w:pPr>
              <w:spacing w:before="120" w:after="120"/>
              <w:rPr>
                <w:sz w:val="18"/>
                <w:szCs w:val="18"/>
              </w:rPr>
            </w:pPr>
            <w:r w:rsidRPr="00E862D1">
              <w:rPr>
                <w:sz w:val="18"/>
                <w:szCs w:val="18"/>
              </w:rPr>
              <w:t>Vietnam Veterans Association of Australia</w:t>
            </w:r>
          </w:p>
        </w:tc>
        <w:tc>
          <w:tcPr>
            <w:tcW w:w="5953" w:type="dxa"/>
          </w:tcPr>
          <w:p w:rsidR="00A5614D" w:rsidRDefault="00A5614D" w:rsidP="00B2235F">
            <w:pPr>
              <w:spacing w:before="120" w:after="120"/>
              <w:rPr>
                <w:sz w:val="18"/>
                <w:szCs w:val="18"/>
              </w:rPr>
            </w:pPr>
          </w:p>
        </w:tc>
      </w:tr>
      <w:tr w:rsidR="00A5614D" w:rsidRPr="00E862D1" w:rsidTr="00B2235F">
        <w:tc>
          <w:tcPr>
            <w:tcW w:w="3256" w:type="dxa"/>
          </w:tcPr>
          <w:p w:rsidR="00A5614D" w:rsidRPr="00E862D1" w:rsidRDefault="00A5614D" w:rsidP="00B2235F">
            <w:pPr>
              <w:spacing w:before="120" w:after="120"/>
              <w:rPr>
                <w:sz w:val="18"/>
                <w:szCs w:val="18"/>
              </w:rPr>
            </w:pPr>
            <w:r>
              <w:rPr>
                <w:sz w:val="18"/>
                <w:szCs w:val="18"/>
              </w:rPr>
              <w:t>Legacy Australia Inc.</w:t>
            </w:r>
          </w:p>
        </w:tc>
        <w:tc>
          <w:tcPr>
            <w:tcW w:w="5953" w:type="dxa"/>
          </w:tcPr>
          <w:p w:rsidR="00A5614D" w:rsidRDefault="00A5614D" w:rsidP="00B2235F">
            <w:pPr>
              <w:spacing w:before="120" w:after="120"/>
              <w:rPr>
                <w:sz w:val="18"/>
                <w:szCs w:val="18"/>
              </w:rPr>
            </w:pPr>
          </w:p>
        </w:tc>
      </w:tr>
      <w:tr w:rsidR="00A5614D" w:rsidRPr="00E862D1" w:rsidTr="00B2235F">
        <w:tc>
          <w:tcPr>
            <w:tcW w:w="3256" w:type="dxa"/>
            <w:hideMark/>
          </w:tcPr>
          <w:p w:rsidR="00A5614D" w:rsidRPr="00E862D1" w:rsidRDefault="00A5614D" w:rsidP="00B2235F">
            <w:pPr>
              <w:spacing w:before="120" w:after="120"/>
              <w:rPr>
                <w:sz w:val="18"/>
                <w:szCs w:val="18"/>
              </w:rPr>
            </w:pPr>
            <w:r>
              <w:rPr>
                <w:sz w:val="18"/>
                <w:szCs w:val="18"/>
              </w:rPr>
              <w:t>War Widows’ Guild of Australia</w:t>
            </w:r>
          </w:p>
        </w:tc>
        <w:tc>
          <w:tcPr>
            <w:tcW w:w="5953" w:type="dxa"/>
            <w:hideMark/>
          </w:tcPr>
          <w:p w:rsidR="00A5614D" w:rsidRPr="00E862D1" w:rsidRDefault="00A5614D" w:rsidP="00B2235F">
            <w:pPr>
              <w:spacing w:before="120" w:after="120"/>
              <w:rPr>
                <w:sz w:val="18"/>
                <w:szCs w:val="18"/>
              </w:rPr>
            </w:pPr>
          </w:p>
        </w:tc>
      </w:tr>
      <w:tr w:rsidR="00E707A2" w:rsidRPr="00E862D1" w:rsidTr="00B2235F">
        <w:tc>
          <w:tcPr>
            <w:tcW w:w="3256" w:type="dxa"/>
          </w:tcPr>
          <w:p w:rsidR="00E707A2" w:rsidRDefault="00E707A2" w:rsidP="00B2235F">
            <w:pPr>
              <w:spacing w:before="120" w:after="120"/>
              <w:rPr>
                <w:sz w:val="18"/>
                <w:szCs w:val="18"/>
              </w:rPr>
            </w:pPr>
            <w:r w:rsidRPr="00E862D1">
              <w:rPr>
                <w:sz w:val="18"/>
                <w:szCs w:val="18"/>
              </w:rPr>
              <w:t>Defence Force Welfare Association</w:t>
            </w:r>
          </w:p>
        </w:tc>
        <w:tc>
          <w:tcPr>
            <w:tcW w:w="5953" w:type="dxa"/>
          </w:tcPr>
          <w:p w:rsidR="00E707A2" w:rsidRDefault="00E707A2" w:rsidP="00B2235F">
            <w:pPr>
              <w:spacing w:before="120" w:after="120"/>
              <w:rPr>
                <w:sz w:val="18"/>
                <w:szCs w:val="18"/>
              </w:rPr>
            </w:pPr>
          </w:p>
        </w:tc>
      </w:tr>
      <w:tr w:rsidR="00E707A2" w:rsidRPr="00E862D1" w:rsidTr="00B2235F">
        <w:tc>
          <w:tcPr>
            <w:tcW w:w="3256" w:type="dxa"/>
          </w:tcPr>
          <w:p w:rsidR="00E707A2" w:rsidRPr="00E862D1" w:rsidRDefault="00E707A2" w:rsidP="00B2235F">
            <w:pPr>
              <w:spacing w:before="120" w:after="120"/>
              <w:rPr>
                <w:sz w:val="18"/>
                <w:szCs w:val="18"/>
              </w:rPr>
            </w:pPr>
            <w:r>
              <w:rPr>
                <w:sz w:val="18"/>
                <w:szCs w:val="18"/>
              </w:rPr>
              <w:t>TPI</w:t>
            </w:r>
            <w:r w:rsidRPr="00A5614D">
              <w:rPr>
                <w:sz w:val="18"/>
                <w:szCs w:val="18"/>
              </w:rPr>
              <w:t xml:space="preserve"> Federation Australia</w:t>
            </w:r>
          </w:p>
        </w:tc>
        <w:tc>
          <w:tcPr>
            <w:tcW w:w="5953" w:type="dxa"/>
          </w:tcPr>
          <w:p w:rsidR="00E707A2" w:rsidRDefault="00E707A2" w:rsidP="00B2235F">
            <w:pPr>
              <w:spacing w:before="120" w:after="120"/>
              <w:rPr>
                <w:sz w:val="18"/>
                <w:szCs w:val="18"/>
              </w:rPr>
            </w:pPr>
          </w:p>
        </w:tc>
      </w:tr>
      <w:tr w:rsidR="00E707A2" w:rsidRPr="00E862D1" w:rsidTr="00B2235F">
        <w:tc>
          <w:tcPr>
            <w:tcW w:w="3256" w:type="dxa"/>
          </w:tcPr>
          <w:p w:rsidR="00E707A2" w:rsidRPr="00E862D1" w:rsidRDefault="00E707A2" w:rsidP="00B2235F">
            <w:pPr>
              <w:spacing w:before="120" w:after="120"/>
              <w:rPr>
                <w:sz w:val="18"/>
                <w:szCs w:val="18"/>
              </w:rPr>
            </w:pPr>
            <w:r w:rsidRPr="00A5614D">
              <w:rPr>
                <w:sz w:val="18"/>
                <w:szCs w:val="18"/>
              </w:rPr>
              <w:t>Australian Special Air Service Association</w:t>
            </w:r>
          </w:p>
        </w:tc>
        <w:tc>
          <w:tcPr>
            <w:tcW w:w="5953" w:type="dxa"/>
          </w:tcPr>
          <w:p w:rsidR="00E707A2" w:rsidRDefault="00E707A2" w:rsidP="00B2235F">
            <w:pPr>
              <w:spacing w:before="120" w:after="120"/>
              <w:rPr>
                <w:sz w:val="18"/>
                <w:szCs w:val="18"/>
              </w:rPr>
            </w:pPr>
          </w:p>
        </w:tc>
      </w:tr>
      <w:tr w:rsidR="00E707A2" w:rsidRPr="00E862D1" w:rsidTr="00B2235F">
        <w:tc>
          <w:tcPr>
            <w:tcW w:w="3256" w:type="dxa"/>
          </w:tcPr>
          <w:p w:rsidR="00E707A2" w:rsidRPr="00E862D1" w:rsidRDefault="00E707A2" w:rsidP="00B2235F">
            <w:pPr>
              <w:spacing w:before="120" w:after="120"/>
              <w:rPr>
                <w:sz w:val="18"/>
                <w:szCs w:val="18"/>
              </w:rPr>
            </w:pPr>
            <w:r w:rsidRPr="001C65F2">
              <w:rPr>
                <w:sz w:val="18"/>
                <w:szCs w:val="18"/>
              </w:rPr>
              <w:t>Naval Association of Australia</w:t>
            </w:r>
          </w:p>
        </w:tc>
        <w:tc>
          <w:tcPr>
            <w:tcW w:w="5953" w:type="dxa"/>
          </w:tcPr>
          <w:p w:rsidR="00E707A2" w:rsidRDefault="00E707A2" w:rsidP="00B2235F">
            <w:pPr>
              <w:spacing w:before="120" w:after="120"/>
              <w:rPr>
                <w:sz w:val="18"/>
                <w:szCs w:val="18"/>
              </w:rPr>
            </w:pPr>
          </w:p>
        </w:tc>
      </w:tr>
      <w:tr w:rsidR="00E707A2" w:rsidRPr="00E862D1" w:rsidTr="00B2235F">
        <w:tc>
          <w:tcPr>
            <w:tcW w:w="3256" w:type="dxa"/>
          </w:tcPr>
          <w:p w:rsidR="00E707A2" w:rsidRPr="00E862D1" w:rsidRDefault="00E707A2" w:rsidP="00B2235F">
            <w:pPr>
              <w:spacing w:before="120" w:after="120"/>
              <w:rPr>
                <w:sz w:val="18"/>
                <w:szCs w:val="18"/>
              </w:rPr>
            </w:pPr>
            <w:r w:rsidRPr="001C65F2">
              <w:rPr>
                <w:sz w:val="18"/>
                <w:szCs w:val="18"/>
              </w:rPr>
              <w:t>Defence Families Australia</w:t>
            </w:r>
          </w:p>
        </w:tc>
        <w:tc>
          <w:tcPr>
            <w:tcW w:w="5953" w:type="dxa"/>
          </w:tcPr>
          <w:p w:rsidR="00E707A2" w:rsidRDefault="00E707A2" w:rsidP="00B2235F">
            <w:pPr>
              <w:spacing w:before="120" w:after="120"/>
              <w:rPr>
                <w:sz w:val="18"/>
                <w:szCs w:val="18"/>
              </w:rPr>
            </w:pPr>
          </w:p>
        </w:tc>
      </w:tr>
      <w:tr w:rsidR="00E707A2" w:rsidRPr="00E862D1" w:rsidTr="00B2235F">
        <w:tc>
          <w:tcPr>
            <w:tcW w:w="3256" w:type="dxa"/>
          </w:tcPr>
          <w:p w:rsidR="00E707A2" w:rsidRPr="00E862D1" w:rsidRDefault="00E707A2" w:rsidP="00B2235F">
            <w:pPr>
              <w:spacing w:before="120" w:after="120"/>
              <w:rPr>
                <w:sz w:val="18"/>
                <w:szCs w:val="18"/>
              </w:rPr>
            </w:pPr>
            <w:r w:rsidRPr="001C65F2">
              <w:rPr>
                <w:sz w:val="18"/>
                <w:szCs w:val="18"/>
              </w:rPr>
              <w:t>Australian Peacekeeper &amp; Peacemaker Veterans Association</w:t>
            </w:r>
          </w:p>
        </w:tc>
        <w:tc>
          <w:tcPr>
            <w:tcW w:w="5953" w:type="dxa"/>
          </w:tcPr>
          <w:p w:rsidR="00E707A2" w:rsidRDefault="00E707A2" w:rsidP="00B2235F">
            <w:pPr>
              <w:spacing w:before="120" w:after="120"/>
              <w:rPr>
                <w:sz w:val="18"/>
                <w:szCs w:val="18"/>
              </w:rPr>
            </w:pPr>
          </w:p>
        </w:tc>
      </w:tr>
      <w:tr w:rsidR="00E707A2" w:rsidRPr="00E862D1" w:rsidTr="00B2235F">
        <w:tc>
          <w:tcPr>
            <w:tcW w:w="3256" w:type="dxa"/>
          </w:tcPr>
          <w:p w:rsidR="00E707A2" w:rsidRPr="00E862D1" w:rsidRDefault="00E707A2" w:rsidP="00B2235F">
            <w:pPr>
              <w:spacing w:before="120" w:after="120"/>
              <w:rPr>
                <w:sz w:val="18"/>
                <w:szCs w:val="18"/>
              </w:rPr>
            </w:pPr>
            <w:r w:rsidRPr="001C65F2">
              <w:rPr>
                <w:sz w:val="18"/>
                <w:szCs w:val="18"/>
              </w:rPr>
              <w:t>The Royal Australian Regiment Corporation</w:t>
            </w:r>
          </w:p>
        </w:tc>
        <w:tc>
          <w:tcPr>
            <w:tcW w:w="5953" w:type="dxa"/>
          </w:tcPr>
          <w:p w:rsidR="00E707A2" w:rsidRDefault="00E707A2" w:rsidP="00B2235F">
            <w:pPr>
              <w:spacing w:before="120" w:after="120"/>
              <w:rPr>
                <w:sz w:val="18"/>
                <w:szCs w:val="18"/>
              </w:rPr>
            </w:pPr>
          </w:p>
        </w:tc>
      </w:tr>
      <w:tr w:rsidR="00E707A2" w:rsidRPr="00E862D1" w:rsidTr="00B2235F">
        <w:tc>
          <w:tcPr>
            <w:tcW w:w="3256" w:type="dxa"/>
          </w:tcPr>
          <w:p w:rsidR="00E707A2" w:rsidRPr="00E862D1" w:rsidRDefault="00E707A2" w:rsidP="00B2235F">
            <w:pPr>
              <w:spacing w:before="120" w:after="120"/>
              <w:rPr>
                <w:sz w:val="18"/>
                <w:szCs w:val="18"/>
              </w:rPr>
            </w:pPr>
            <w:r w:rsidRPr="001C65F2">
              <w:rPr>
                <w:sz w:val="18"/>
                <w:szCs w:val="18"/>
              </w:rPr>
              <w:t>Defence Reserves Association</w:t>
            </w:r>
          </w:p>
        </w:tc>
        <w:tc>
          <w:tcPr>
            <w:tcW w:w="5953" w:type="dxa"/>
          </w:tcPr>
          <w:p w:rsidR="00E707A2" w:rsidRDefault="00E707A2" w:rsidP="00B2235F">
            <w:pPr>
              <w:spacing w:before="120" w:after="120"/>
              <w:rPr>
                <w:sz w:val="18"/>
                <w:szCs w:val="18"/>
              </w:rPr>
            </w:pPr>
          </w:p>
        </w:tc>
      </w:tr>
      <w:tr w:rsidR="00E707A2" w:rsidRPr="00E862D1" w:rsidTr="00B2235F">
        <w:tc>
          <w:tcPr>
            <w:tcW w:w="3256" w:type="dxa"/>
          </w:tcPr>
          <w:p w:rsidR="00E707A2" w:rsidRPr="00E862D1" w:rsidRDefault="00E707A2" w:rsidP="00B2235F">
            <w:pPr>
              <w:spacing w:before="120" w:after="120"/>
              <w:rPr>
                <w:sz w:val="18"/>
                <w:szCs w:val="18"/>
              </w:rPr>
            </w:pPr>
            <w:r>
              <w:rPr>
                <w:sz w:val="18"/>
                <w:szCs w:val="18"/>
              </w:rPr>
              <w:t xml:space="preserve">Royal Australian </w:t>
            </w:r>
            <w:r w:rsidRPr="00E862D1">
              <w:rPr>
                <w:sz w:val="18"/>
                <w:szCs w:val="18"/>
              </w:rPr>
              <w:t>Air Force Association</w:t>
            </w:r>
          </w:p>
        </w:tc>
        <w:tc>
          <w:tcPr>
            <w:tcW w:w="5953" w:type="dxa"/>
          </w:tcPr>
          <w:p w:rsidR="00E707A2" w:rsidRDefault="00E707A2" w:rsidP="00B2235F">
            <w:pPr>
              <w:spacing w:before="120" w:after="120"/>
              <w:rPr>
                <w:sz w:val="18"/>
                <w:szCs w:val="18"/>
              </w:rPr>
            </w:pPr>
          </w:p>
        </w:tc>
      </w:tr>
      <w:tr w:rsidR="00E707A2" w:rsidRPr="00E862D1" w:rsidTr="00B2235F">
        <w:tc>
          <w:tcPr>
            <w:tcW w:w="3256" w:type="dxa"/>
          </w:tcPr>
          <w:p w:rsidR="00E707A2" w:rsidRPr="00E862D1" w:rsidRDefault="00E707A2" w:rsidP="00B2235F">
            <w:pPr>
              <w:spacing w:before="120" w:after="120"/>
              <w:rPr>
                <w:sz w:val="18"/>
                <w:szCs w:val="18"/>
              </w:rPr>
            </w:pPr>
            <w:r w:rsidRPr="00E862D1">
              <w:rPr>
                <w:sz w:val="18"/>
                <w:szCs w:val="18"/>
              </w:rPr>
              <w:t>Vietnam Veterans Federation of Australia</w:t>
            </w:r>
          </w:p>
        </w:tc>
        <w:tc>
          <w:tcPr>
            <w:tcW w:w="5953" w:type="dxa"/>
          </w:tcPr>
          <w:p w:rsidR="00E707A2" w:rsidRDefault="00E707A2" w:rsidP="00B2235F">
            <w:pPr>
              <w:spacing w:before="120" w:after="120"/>
              <w:rPr>
                <w:sz w:val="18"/>
                <w:szCs w:val="18"/>
              </w:rPr>
            </w:pPr>
          </w:p>
        </w:tc>
      </w:tr>
    </w:tbl>
    <w:p w:rsidR="00E43847" w:rsidRPr="00E43847" w:rsidRDefault="00E43847" w:rsidP="00E43847"/>
    <w:p w:rsidR="00E43847" w:rsidRPr="00E43847" w:rsidRDefault="00E43847" w:rsidP="00E43847"/>
    <w:p w:rsidR="00E43847" w:rsidRPr="00E43847" w:rsidRDefault="00E43847" w:rsidP="00E43847"/>
    <w:p w:rsidR="00E43847" w:rsidRPr="00E43847" w:rsidRDefault="00E43847" w:rsidP="00E43847"/>
    <w:p w:rsidR="00E43847" w:rsidRPr="00E43847" w:rsidRDefault="00E43847" w:rsidP="00E43847"/>
    <w:p w:rsidR="00E43847" w:rsidRPr="00E43847" w:rsidRDefault="00E43847" w:rsidP="00E43847">
      <w:pPr>
        <w:tabs>
          <w:tab w:val="left" w:pos="3366"/>
        </w:tabs>
      </w:pPr>
      <w:r>
        <w:tab/>
      </w:r>
    </w:p>
    <w:p w:rsidR="00E43847" w:rsidRPr="00E43847" w:rsidRDefault="00E43847" w:rsidP="00E43847"/>
    <w:p w:rsidR="00583965" w:rsidRPr="00E43847" w:rsidRDefault="00583965" w:rsidP="00E43847"/>
    <w:sectPr w:rsidR="00583965" w:rsidRPr="00E43847" w:rsidSect="003700D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79C" w:rsidRDefault="00D7079C" w:rsidP="00E43847">
      <w:pPr>
        <w:spacing w:after="0" w:line="240" w:lineRule="auto"/>
      </w:pPr>
      <w:r>
        <w:separator/>
      </w:r>
    </w:p>
  </w:endnote>
  <w:endnote w:type="continuationSeparator" w:id="0">
    <w:p w:rsidR="00D7079C" w:rsidRDefault="00D7079C" w:rsidP="00E43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F1F" w:rsidRDefault="00FF6F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30F" w:rsidRDefault="000F230F">
    <w:pPr>
      <w:pStyle w:val="Footer"/>
    </w:pPr>
    <w:r>
      <w:rPr>
        <w:noProof/>
        <w:lang w:eastAsia="en-AU"/>
      </w:rPr>
      <mc:AlternateContent>
        <mc:Choice Requires="wpg">
          <w:drawing>
            <wp:anchor distT="0" distB="0" distL="114300" distR="114300" simplePos="0" relativeHeight="251659264" behindDoc="0" locked="0" layoutInCell="1" allowOverlap="1" wp14:anchorId="774E80EA" wp14:editId="19B49AF4">
              <wp:simplePos x="0" y="0"/>
              <wp:positionH relativeFrom="page">
                <wp:posOffset>676894</wp:posOffset>
              </wp:positionH>
              <wp:positionV relativeFrom="bottomMargin">
                <wp:posOffset>245044</wp:posOffset>
              </wp:positionV>
              <wp:extent cx="6884719"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884719" cy="274320"/>
                        <a:chOff x="-712519" y="0"/>
                        <a:chExt cx="6884719"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712519" y="9525"/>
                          <a:ext cx="665607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230F" w:rsidRDefault="000F230F" w:rsidP="00B33A0B">
                            <w:pPr>
                              <w:pStyle w:val="Footer"/>
                            </w:pPr>
                            <w:r>
                              <w:rPr>
                                <w:caps/>
                                <w:color w:val="5B9BD5" w:themeColor="accent1"/>
                                <w:sz w:val="20"/>
                                <w:szCs w:val="20"/>
                              </w:rPr>
                              <w:t>2016-17 Assessment under the Regulator Performance Framework</w:t>
                            </w:r>
                            <w:r>
                              <w:rPr>
                                <w:caps/>
                                <w:color w:val="5B9BD5" w:themeColor="accent1"/>
                                <w:sz w:val="20"/>
                                <w:szCs w:val="20"/>
                              </w:rPr>
                              <w:tab/>
                            </w:r>
                            <w:r>
                              <w:rPr>
                                <w:caps/>
                                <w:color w:val="5B9BD5" w:themeColor="accent1"/>
                                <w:sz w:val="20"/>
                                <w:szCs w:val="20"/>
                              </w:rPr>
                              <w:tab/>
                            </w:r>
                            <w:r>
                              <w:rPr>
                                <w:caps/>
                                <w:color w:val="5B9BD5" w:themeColor="accent1"/>
                                <w:sz w:val="20"/>
                                <w:szCs w:val="20"/>
                              </w:rPr>
                              <w:tab/>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774E80EA" id="Group 164" o:spid="_x0000_s1032" style="position:absolute;margin-left:53.3pt;margin-top:19.3pt;width:542.1pt;height:21.6pt;z-index:251659264;mso-position-horizontal-relative:page;mso-position-vertical-relative:bottom-margin-area;mso-width-relative:margin" coordorigin="-7125" coordsize="68847,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">
              <v:rect id="Rectangle 165" o:spid="_x0000_s1033"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1gk8QA&#10;AADcAAAADwAAAGRycy9kb3ducmV2LnhtbERP22rCQBB9F/yHZQRfRDcVDRJdRSqC0lLwhq9DdkyC&#10;2dmYXTX167uFQt/mcK4zWzSmFA+qXWFZwdsgAkGcWl1wpuB4WPcnIJxH1lhaJgXf5GAxb7dmmGj7&#10;5B099j4TIYRdggpy76tESpfmZNANbEUcuIutDfoA60zqGp8h3JRyGEWxNFhwaMixovec0uv+bhTc&#10;RhPeHj+G8ae/nF+v86l3GK++lOp2muUUhKfG/4v/3Bsd5sd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YJP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Text Box 166" o:spid="_x0000_s1034" type="#_x0000_t202" style="position:absolute;left:-7125;top:95;width:66560;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rsidR="00583965" w:rsidRDefault="00583965" w:rsidP="00B33A0B">
                      <w:pPr>
                        <w:pStyle w:val="Footer"/>
                      </w:pPr>
                      <w:r>
                        <w:rPr>
                          <w:caps/>
                          <w:color w:val="5B9BD5" w:themeColor="accent1"/>
                          <w:sz w:val="20"/>
                          <w:szCs w:val="20"/>
                        </w:rPr>
                        <w:t>201</w:t>
                      </w:r>
                      <w:r w:rsidR="003C4322">
                        <w:rPr>
                          <w:caps/>
                          <w:color w:val="5B9BD5" w:themeColor="accent1"/>
                          <w:sz w:val="20"/>
                          <w:szCs w:val="20"/>
                        </w:rPr>
                        <w:t>6-17</w:t>
                      </w:r>
                      <w:r>
                        <w:rPr>
                          <w:caps/>
                          <w:color w:val="5B9BD5" w:themeColor="accent1"/>
                          <w:sz w:val="20"/>
                          <w:szCs w:val="20"/>
                        </w:rPr>
                        <w:t xml:space="preserve"> Assessment under the Regulator Performance Framework</w:t>
                      </w:r>
                      <w:r>
                        <w:rPr>
                          <w:caps/>
                          <w:color w:val="5B9BD5" w:themeColor="accent1"/>
                          <w:sz w:val="20"/>
                          <w:szCs w:val="20"/>
                        </w:rPr>
                        <w:tab/>
                      </w:r>
                      <w:r>
                        <w:rPr>
                          <w:caps/>
                          <w:color w:val="5B9BD5" w:themeColor="accent1"/>
                          <w:sz w:val="20"/>
                          <w:szCs w:val="20"/>
                        </w:rPr>
                        <w:tab/>
                      </w:r>
                      <w:r>
                        <w:rPr>
                          <w:caps/>
                          <w:color w:val="5B9BD5" w:themeColor="accent1"/>
                          <w:sz w:val="20"/>
                          <w:szCs w:val="20"/>
                        </w:rPr>
                        <w:tab/>
                      </w:r>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F1F" w:rsidRDefault="00FF6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79C" w:rsidRDefault="00D7079C" w:rsidP="00E43847">
      <w:pPr>
        <w:spacing w:after="0" w:line="240" w:lineRule="auto"/>
      </w:pPr>
      <w:r>
        <w:separator/>
      </w:r>
    </w:p>
  </w:footnote>
  <w:footnote w:type="continuationSeparator" w:id="0">
    <w:p w:rsidR="00D7079C" w:rsidRDefault="00D7079C" w:rsidP="00E43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F1F" w:rsidRDefault="00FF6F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621243"/>
      <w:docPartObj>
        <w:docPartGallery w:val="Page Numbers (Top of Page)"/>
        <w:docPartUnique/>
      </w:docPartObj>
    </w:sdtPr>
    <w:sdtEndPr>
      <w:rPr>
        <w:noProof/>
      </w:rPr>
    </w:sdtEndPr>
    <w:sdtContent>
      <w:p w:rsidR="000F230F" w:rsidRDefault="000F230F">
        <w:pPr>
          <w:pStyle w:val="Header"/>
          <w:jc w:val="right"/>
        </w:pPr>
        <w:r>
          <w:fldChar w:fldCharType="begin"/>
        </w:r>
        <w:r>
          <w:instrText xml:space="preserve"> PAGE   \* MERGEFORMAT </w:instrText>
        </w:r>
        <w:r>
          <w:fldChar w:fldCharType="separate"/>
        </w:r>
        <w:r w:rsidR="001B7247">
          <w:rPr>
            <w:noProof/>
          </w:rPr>
          <w:t>10</w:t>
        </w:r>
        <w:r>
          <w:rPr>
            <w:noProof/>
          </w:rPr>
          <w:fldChar w:fldCharType="end"/>
        </w:r>
      </w:p>
    </w:sdtContent>
  </w:sdt>
  <w:p w:rsidR="000F230F" w:rsidRDefault="000F230F">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F1F" w:rsidRDefault="00FF6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06BC"/>
    <w:multiLevelType w:val="hybridMultilevel"/>
    <w:tmpl w:val="09705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B828A6"/>
    <w:multiLevelType w:val="hybridMultilevel"/>
    <w:tmpl w:val="383229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8761E3"/>
    <w:multiLevelType w:val="hybridMultilevel"/>
    <w:tmpl w:val="0F58E57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1C903B7"/>
    <w:multiLevelType w:val="hybridMultilevel"/>
    <w:tmpl w:val="76CC03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942E68"/>
    <w:multiLevelType w:val="hybridMultilevel"/>
    <w:tmpl w:val="305EEB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C237A92"/>
    <w:multiLevelType w:val="hybridMultilevel"/>
    <w:tmpl w:val="F3B04B9E"/>
    <w:lvl w:ilvl="0" w:tplc="C71E4B3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E0C3FB9"/>
    <w:multiLevelType w:val="hybridMultilevel"/>
    <w:tmpl w:val="BA3C30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F1C2377"/>
    <w:multiLevelType w:val="hybridMultilevel"/>
    <w:tmpl w:val="833AA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664576"/>
    <w:multiLevelType w:val="hybridMultilevel"/>
    <w:tmpl w:val="D90AFC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8FA38D1"/>
    <w:multiLevelType w:val="hybridMultilevel"/>
    <w:tmpl w:val="F3B04B9E"/>
    <w:lvl w:ilvl="0" w:tplc="C71E4B3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0695427"/>
    <w:multiLevelType w:val="hybridMultilevel"/>
    <w:tmpl w:val="42565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945EE5"/>
    <w:multiLevelType w:val="hybridMultilevel"/>
    <w:tmpl w:val="88BCF792"/>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2" w15:restartNumberingAfterBreak="0">
    <w:nsid w:val="63D47AF0"/>
    <w:multiLevelType w:val="hybridMultilevel"/>
    <w:tmpl w:val="33EC4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385195"/>
    <w:multiLevelType w:val="hybridMultilevel"/>
    <w:tmpl w:val="31A291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F316B93"/>
    <w:multiLevelType w:val="hybridMultilevel"/>
    <w:tmpl w:val="6402063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66B31C3"/>
    <w:multiLevelType w:val="hybridMultilevel"/>
    <w:tmpl w:val="1DFCAA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B221108"/>
    <w:multiLevelType w:val="hybridMultilevel"/>
    <w:tmpl w:val="1F080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10"/>
  </w:num>
  <w:num w:numId="5">
    <w:abstractNumId w:val="7"/>
  </w:num>
  <w:num w:numId="6">
    <w:abstractNumId w:val="16"/>
  </w:num>
  <w:num w:numId="7">
    <w:abstractNumId w:val="0"/>
  </w:num>
  <w:num w:numId="8">
    <w:abstractNumId w:val="5"/>
  </w:num>
  <w:num w:numId="9">
    <w:abstractNumId w:val="9"/>
  </w:num>
  <w:num w:numId="10">
    <w:abstractNumId w:val="13"/>
  </w:num>
  <w:num w:numId="11">
    <w:abstractNumId w:val="2"/>
  </w:num>
  <w:num w:numId="12">
    <w:abstractNumId w:val="6"/>
  </w:num>
  <w:num w:numId="13">
    <w:abstractNumId w:val="14"/>
  </w:num>
  <w:num w:numId="14">
    <w:abstractNumId w:val="11"/>
  </w:num>
  <w:num w:numId="15">
    <w:abstractNumId w:val="12"/>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0D4"/>
    <w:rsid w:val="00091A4E"/>
    <w:rsid w:val="000A62AD"/>
    <w:rsid w:val="000B4336"/>
    <w:rsid w:val="000F230F"/>
    <w:rsid w:val="0012517C"/>
    <w:rsid w:val="001475E4"/>
    <w:rsid w:val="0015090C"/>
    <w:rsid w:val="0016395E"/>
    <w:rsid w:val="001661C2"/>
    <w:rsid w:val="001733F3"/>
    <w:rsid w:val="001774B2"/>
    <w:rsid w:val="00190201"/>
    <w:rsid w:val="001B7247"/>
    <w:rsid w:val="001C0723"/>
    <w:rsid w:val="001C22BF"/>
    <w:rsid w:val="001C65F2"/>
    <w:rsid w:val="001D0978"/>
    <w:rsid w:val="001D4F51"/>
    <w:rsid w:val="00224E43"/>
    <w:rsid w:val="002D5224"/>
    <w:rsid w:val="002E1037"/>
    <w:rsid w:val="002F0CD8"/>
    <w:rsid w:val="002F1438"/>
    <w:rsid w:val="00305948"/>
    <w:rsid w:val="003314E3"/>
    <w:rsid w:val="003477DC"/>
    <w:rsid w:val="0035460D"/>
    <w:rsid w:val="003700D4"/>
    <w:rsid w:val="0039715C"/>
    <w:rsid w:val="003A7B8E"/>
    <w:rsid w:val="003B568A"/>
    <w:rsid w:val="003C4322"/>
    <w:rsid w:val="004007F2"/>
    <w:rsid w:val="00404607"/>
    <w:rsid w:val="004205C6"/>
    <w:rsid w:val="00435B64"/>
    <w:rsid w:val="0043601F"/>
    <w:rsid w:val="0044414B"/>
    <w:rsid w:val="004471DD"/>
    <w:rsid w:val="00487022"/>
    <w:rsid w:val="004D3E85"/>
    <w:rsid w:val="004F2F70"/>
    <w:rsid w:val="004F74C6"/>
    <w:rsid w:val="005054B3"/>
    <w:rsid w:val="005074F7"/>
    <w:rsid w:val="0052091F"/>
    <w:rsid w:val="005321CC"/>
    <w:rsid w:val="00532C32"/>
    <w:rsid w:val="0053444A"/>
    <w:rsid w:val="00583965"/>
    <w:rsid w:val="00583D67"/>
    <w:rsid w:val="005B6D44"/>
    <w:rsid w:val="005D3A46"/>
    <w:rsid w:val="005E01AE"/>
    <w:rsid w:val="00602AD5"/>
    <w:rsid w:val="006758E0"/>
    <w:rsid w:val="006B37E7"/>
    <w:rsid w:val="006F293A"/>
    <w:rsid w:val="00747628"/>
    <w:rsid w:val="0075193E"/>
    <w:rsid w:val="007575D8"/>
    <w:rsid w:val="007774F9"/>
    <w:rsid w:val="007911F9"/>
    <w:rsid w:val="00797AE5"/>
    <w:rsid w:val="007C039F"/>
    <w:rsid w:val="0082524E"/>
    <w:rsid w:val="008261C4"/>
    <w:rsid w:val="008434C4"/>
    <w:rsid w:val="008604CB"/>
    <w:rsid w:val="008632FE"/>
    <w:rsid w:val="00885337"/>
    <w:rsid w:val="00890215"/>
    <w:rsid w:val="008A0152"/>
    <w:rsid w:val="008A618F"/>
    <w:rsid w:val="008A6C8B"/>
    <w:rsid w:val="008C62A1"/>
    <w:rsid w:val="008D6EB3"/>
    <w:rsid w:val="008F129B"/>
    <w:rsid w:val="009135E6"/>
    <w:rsid w:val="00935E60"/>
    <w:rsid w:val="009415B9"/>
    <w:rsid w:val="00971C65"/>
    <w:rsid w:val="00993B82"/>
    <w:rsid w:val="0099690A"/>
    <w:rsid w:val="009A2C26"/>
    <w:rsid w:val="009A2C87"/>
    <w:rsid w:val="009B28F1"/>
    <w:rsid w:val="009B36D0"/>
    <w:rsid w:val="009D5089"/>
    <w:rsid w:val="009F7D5C"/>
    <w:rsid w:val="00A140FA"/>
    <w:rsid w:val="00A24C6E"/>
    <w:rsid w:val="00A5614D"/>
    <w:rsid w:val="00AA42B8"/>
    <w:rsid w:val="00B2235F"/>
    <w:rsid w:val="00B33A0B"/>
    <w:rsid w:val="00B436F5"/>
    <w:rsid w:val="00B517A5"/>
    <w:rsid w:val="00B65A4F"/>
    <w:rsid w:val="00BF5308"/>
    <w:rsid w:val="00C13FF5"/>
    <w:rsid w:val="00C43E23"/>
    <w:rsid w:val="00C56A7D"/>
    <w:rsid w:val="00C67922"/>
    <w:rsid w:val="00C86A30"/>
    <w:rsid w:val="00D025C6"/>
    <w:rsid w:val="00D3568E"/>
    <w:rsid w:val="00D3628D"/>
    <w:rsid w:val="00D7079C"/>
    <w:rsid w:val="00D71124"/>
    <w:rsid w:val="00D85C08"/>
    <w:rsid w:val="00D941FD"/>
    <w:rsid w:val="00DA17E2"/>
    <w:rsid w:val="00DA6E9C"/>
    <w:rsid w:val="00DF470E"/>
    <w:rsid w:val="00E05061"/>
    <w:rsid w:val="00E0607C"/>
    <w:rsid w:val="00E31E90"/>
    <w:rsid w:val="00E33048"/>
    <w:rsid w:val="00E353B5"/>
    <w:rsid w:val="00E43847"/>
    <w:rsid w:val="00E501BE"/>
    <w:rsid w:val="00E637E8"/>
    <w:rsid w:val="00E707A2"/>
    <w:rsid w:val="00E862D1"/>
    <w:rsid w:val="00E91B88"/>
    <w:rsid w:val="00EA34C5"/>
    <w:rsid w:val="00ED13ED"/>
    <w:rsid w:val="00F95140"/>
    <w:rsid w:val="00FD0230"/>
    <w:rsid w:val="00FD6999"/>
    <w:rsid w:val="00FF6F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38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438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700D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700D4"/>
    <w:rPr>
      <w:rFonts w:eastAsiaTheme="minorEastAsia"/>
      <w:lang w:val="en-US"/>
    </w:rPr>
  </w:style>
  <w:style w:type="paragraph" w:styleId="Header">
    <w:name w:val="header"/>
    <w:basedOn w:val="Normal"/>
    <w:link w:val="HeaderChar"/>
    <w:uiPriority w:val="99"/>
    <w:unhideWhenUsed/>
    <w:rsid w:val="00E438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847"/>
  </w:style>
  <w:style w:type="paragraph" w:styleId="Footer">
    <w:name w:val="footer"/>
    <w:basedOn w:val="Normal"/>
    <w:link w:val="FooterChar"/>
    <w:uiPriority w:val="99"/>
    <w:unhideWhenUsed/>
    <w:rsid w:val="00E438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847"/>
  </w:style>
  <w:style w:type="character" w:customStyle="1" w:styleId="Heading1Char">
    <w:name w:val="Heading 1 Char"/>
    <w:basedOn w:val="DefaultParagraphFont"/>
    <w:link w:val="Heading1"/>
    <w:uiPriority w:val="9"/>
    <w:rsid w:val="00E4384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43847"/>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0A62AD"/>
    <w:pPr>
      <w:outlineLvl w:val="9"/>
    </w:pPr>
    <w:rPr>
      <w:lang w:val="en-US"/>
    </w:rPr>
  </w:style>
  <w:style w:type="paragraph" w:styleId="TOC1">
    <w:name w:val="toc 1"/>
    <w:basedOn w:val="Normal"/>
    <w:next w:val="Normal"/>
    <w:autoRedefine/>
    <w:uiPriority w:val="39"/>
    <w:unhideWhenUsed/>
    <w:rsid w:val="000A62AD"/>
    <w:pPr>
      <w:spacing w:after="100"/>
    </w:pPr>
  </w:style>
  <w:style w:type="paragraph" w:styleId="TOC2">
    <w:name w:val="toc 2"/>
    <w:basedOn w:val="Normal"/>
    <w:next w:val="Normal"/>
    <w:autoRedefine/>
    <w:uiPriority w:val="39"/>
    <w:unhideWhenUsed/>
    <w:rsid w:val="000A62AD"/>
    <w:pPr>
      <w:spacing w:after="100"/>
      <w:ind w:left="220"/>
    </w:pPr>
  </w:style>
  <w:style w:type="character" w:styleId="Hyperlink">
    <w:name w:val="Hyperlink"/>
    <w:basedOn w:val="DefaultParagraphFont"/>
    <w:uiPriority w:val="99"/>
    <w:unhideWhenUsed/>
    <w:rsid w:val="000A62AD"/>
    <w:rPr>
      <w:color w:val="0563C1" w:themeColor="hyperlink"/>
      <w:u w:val="single"/>
    </w:rPr>
  </w:style>
  <w:style w:type="table" w:customStyle="1" w:styleId="TableGrid1">
    <w:name w:val="Table Grid1"/>
    <w:basedOn w:val="TableNormal"/>
    <w:next w:val="TableGrid"/>
    <w:uiPriority w:val="59"/>
    <w:rsid w:val="001D4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D4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4F51"/>
    <w:pPr>
      <w:ind w:left="720"/>
      <w:contextualSpacing/>
    </w:pPr>
  </w:style>
  <w:style w:type="paragraph" w:styleId="BalloonText">
    <w:name w:val="Balloon Text"/>
    <w:basedOn w:val="Normal"/>
    <w:link w:val="BalloonTextChar"/>
    <w:uiPriority w:val="99"/>
    <w:semiHidden/>
    <w:unhideWhenUsed/>
    <w:rsid w:val="00400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7F2"/>
    <w:rPr>
      <w:rFonts w:ascii="Segoe UI" w:hAnsi="Segoe UI" w:cs="Segoe UI"/>
      <w:sz w:val="18"/>
      <w:szCs w:val="18"/>
    </w:rPr>
  </w:style>
  <w:style w:type="paragraph" w:customStyle="1" w:styleId="bullets">
    <w:name w:val="bullets"/>
    <w:basedOn w:val="Normal"/>
    <w:uiPriority w:val="99"/>
    <w:rsid w:val="0012517C"/>
    <w:pPr>
      <w:widowControl w:val="0"/>
      <w:suppressAutoHyphens/>
      <w:autoSpaceDE w:val="0"/>
      <w:autoSpaceDN w:val="0"/>
      <w:adjustRightInd w:val="0"/>
      <w:spacing w:after="85" w:line="230" w:lineRule="atLeast"/>
      <w:ind w:left="170" w:hanging="170"/>
      <w:textAlignment w:val="center"/>
    </w:pPr>
    <w:rPr>
      <w:rFonts w:ascii="TimesNewRomanPSMT" w:eastAsia="Times New Roman" w:hAnsi="TimesNewRomanPSMT" w:cs="TimesNewRomanPSMT"/>
      <w:color w:val="000000" w:themeColor="text1"/>
      <w:sz w:val="24"/>
      <w:szCs w:val="24"/>
      <w:lang w:val="en-GB"/>
    </w:rPr>
  </w:style>
  <w:style w:type="table" w:customStyle="1" w:styleId="TableGrid2">
    <w:name w:val="Table Grid2"/>
    <w:basedOn w:val="TableNormal"/>
    <w:next w:val="TableGrid"/>
    <w:uiPriority w:val="39"/>
    <w:rsid w:val="00E862D1"/>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733F3"/>
    <w:rPr>
      <w:sz w:val="16"/>
      <w:szCs w:val="16"/>
    </w:rPr>
  </w:style>
  <w:style w:type="paragraph" w:styleId="CommentText">
    <w:name w:val="annotation text"/>
    <w:basedOn w:val="Normal"/>
    <w:link w:val="CommentTextChar"/>
    <w:uiPriority w:val="99"/>
    <w:semiHidden/>
    <w:unhideWhenUsed/>
    <w:rsid w:val="001733F3"/>
    <w:pPr>
      <w:spacing w:line="240" w:lineRule="auto"/>
    </w:pPr>
    <w:rPr>
      <w:sz w:val="20"/>
      <w:szCs w:val="20"/>
    </w:rPr>
  </w:style>
  <w:style w:type="character" w:customStyle="1" w:styleId="CommentTextChar">
    <w:name w:val="Comment Text Char"/>
    <w:basedOn w:val="DefaultParagraphFont"/>
    <w:link w:val="CommentText"/>
    <w:uiPriority w:val="99"/>
    <w:semiHidden/>
    <w:rsid w:val="001733F3"/>
    <w:rPr>
      <w:sz w:val="20"/>
      <w:szCs w:val="20"/>
    </w:rPr>
  </w:style>
  <w:style w:type="paragraph" w:styleId="CommentSubject">
    <w:name w:val="annotation subject"/>
    <w:basedOn w:val="CommentText"/>
    <w:next w:val="CommentText"/>
    <w:link w:val="CommentSubjectChar"/>
    <w:uiPriority w:val="99"/>
    <w:semiHidden/>
    <w:unhideWhenUsed/>
    <w:rsid w:val="001733F3"/>
    <w:rPr>
      <w:b/>
      <w:bCs/>
    </w:rPr>
  </w:style>
  <w:style w:type="character" w:customStyle="1" w:styleId="CommentSubjectChar">
    <w:name w:val="Comment Subject Char"/>
    <w:basedOn w:val="CommentTextChar"/>
    <w:link w:val="CommentSubject"/>
    <w:uiPriority w:val="99"/>
    <w:semiHidden/>
    <w:rsid w:val="001733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514008">
      <w:bodyDiv w:val="1"/>
      <w:marLeft w:val="0"/>
      <w:marRight w:val="0"/>
      <w:marTop w:val="0"/>
      <w:marBottom w:val="0"/>
      <w:divBdr>
        <w:top w:val="none" w:sz="0" w:space="0" w:color="auto"/>
        <w:left w:val="none" w:sz="0" w:space="0" w:color="auto"/>
        <w:bottom w:val="none" w:sz="0" w:space="0" w:color="auto"/>
        <w:right w:val="none" w:sz="0" w:space="0" w:color="auto"/>
      </w:divBdr>
    </w:div>
    <w:div w:id="1125584259">
      <w:bodyDiv w:val="1"/>
      <w:marLeft w:val="0"/>
      <w:marRight w:val="0"/>
      <w:marTop w:val="0"/>
      <w:marBottom w:val="0"/>
      <w:divBdr>
        <w:top w:val="none" w:sz="0" w:space="0" w:color="auto"/>
        <w:left w:val="none" w:sz="0" w:space="0" w:color="auto"/>
        <w:bottom w:val="none" w:sz="0" w:space="0" w:color="auto"/>
        <w:right w:val="none" w:sz="0" w:space="0" w:color="auto"/>
      </w:divBdr>
    </w:div>
    <w:div w:id="162615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3205</Words>
  <Characters>18271</Characters>
  <Application>Microsoft Office Word</Application>
  <DocSecurity>0</DocSecurity>
  <Lines>152</Lines>
  <Paragraphs>42</Paragraphs>
  <ScaleCrop>false</ScaleCrop>
  <Company/>
  <LinksUpToDate>false</LinksUpToDate>
  <CharactersWithSpaces>21434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2020-05-04T01:27:00Z</dcterms:created>
  <dcterms:modified xsi:type="dcterms:W3CDTF">2020-05-04T01:27:00Z</dcterms:modified>
  <cp:contentStatus/>
</cp:coreProperties>
</file>